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C2BC" w14:textId="77777777" w:rsidR="00452260" w:rsidRPr="00AC4620" w:rsidRDefault="00452260" w:rsidP="00452260">
      <w:pPr>
        <w:jc w:val="center"/>
        <w:rPr>
          <w:b/>
          <w:bCs/>
          <w:sz w:val="40"/>
          <w:szCs w:val="40"/>
        </w:rPr>
      </w:pPr>
      <w:r w:rsidRPr="00AC4620">
        <w:rPr>
          <w:b/>
          <w:bCs/>
          <w:sz w:val="40"/>
          <w:szCs w:val="40"/>
        </w:rPr>
        <w:t>Policy Brief</w:t>
      </w:r>
    </w:p>
    <w:p w14:paraId="27077E44" w14:textId="77777777" w:rsidR="00452260" w:rsidRDefault="00452260" w:rsidP="00452260">
      <w:pPr>
        <w:jc w:val="center"/>
        <w:rPr>
          <w:b/>
          <w:bCs/>
        </w:rPr>
      </w:pPr>
    </w:p>
    <w:p w14:paraId="6583B39E" w14:textId="77777777" w:rsidR="00452260" w:rsidRDefault="00452260" w:rsidP="00452260">
      <w:pPr>
        <w:rPr>
          <w:b/>
          <w:bCs/>
        </w:rPr>
      </w:pPr>
    </w:p>
    <w:p w14:paraId="088EA817" w14:textId="77777777" w:rsidR="00452260" w:rsidRPr="00B30558" w:rsidRDefault="00452260" w:rsidP="00452260">
      <w:pPr>
        <w:rPr>
          <w:sz w:val="28"/>
          <w:szCs w:val="28"/>
        </w:rPr>
      </w:pPr>
      <w:r w:rsidRPr="00B30558">
        <w:rPr>
          <w:b/>
          <w:bCs/>
          <w:sz w:val="28"/>
          <w:szCs w:val="28"/>
        </w:rPr>
        <w:t>Reforma administrației locale: de la tăieri mecanice la modernizare inteligentă</w:t>
      </w:r>
      <w:r w:rsidRPr="00B30558">
        <w:rPr>
          <w:sz w:val="28"/>
          <w:szCs w:val="28"/>
        </w:rPr>
        <w:br/>
      </w:r>
      <w:r w:rsidRPr="00B30558">
        <w:rPr>
          <w:i/>
          <w:iCs/>
          <w:sz w:val="28"/>
          <w:szCs w:val="28"/>
        </w:rPr>
        <w:t>Propunere strategică pentru o reformă sustenabilă a administrației publice locale din România</w:t>
      </w:r>
    </w:p>
    <w:p w14:paraId="63D33F36" w14:textId="77777777" w:rsidR="00452260" w:rsidRPr="00B30558" w:rsidRDefault="00452260" w:rsidP="00452260">
      <w:pPr>
        <w:rPr>
          <w:sz w:val="28"/>
          <w:szCs w:val="28"/>
        </w:rPr>
      </w:pPr>
    </w:p>
    <w:p w14:paraId="3A2CF80C" w14:textId="77777777" w:rsidR="00452260" w:rsidRPr="00B30558" w:rsidRDefault="00452260" w:rsidP="00452260">
      <w:pPr>
        <w:rPr>
          <w:b/>
          <w:bCs/>
          <w:sz w:val="28"/>
          <w:szCs w:val="28"/>
        </w:rPr>
      </w:pPr>
      <w:r w:rsidRPr="00B30558">
        <w:rPr>
          <w:b/>
          <w:bCs/>
          <w:sz w:val="28"/>
          <w:szCs w:val="28"/>
        </w:rPr>
        <w:t>Context și problemă</w:t>
      </w:r>
    </w:p>
    <w:p w14:paraId="6A34C0BE" w14:textId="77777777" w:rsidR="00452260" w:rsidRPr="00B30558" w:rsidRDefault="00452260" w:rsidP="00452260">
      <w:pPr>
        <w:rPr>
          <w:b/>
          <w:bCs/>
          <w:sz w:val="28"/>
          <w:szCs w:val="28"/>
        </w:rPr>
      </w:pPr>
    </w:p>
    <w:p w14:paraId="04D337CE" w14:textId="77777777" w:rsidR="00452260" w:rsidRDefault="00452260" w:rsidP="00452260">
      <w:pPr>
        <w:rPr>
          <w:sz w:val="28"/>
          <w:szCs w:val="28"/>
        </w:rPr>
      </w:pPr>
      <w:r w:rsidRPr="00B30558">
        <w:rPr>
          <w:sz w:val="28"/>
          <w:szCs w:val="28"/>
        </w:rPr>
        <w:t xml:space="preserve">România are astăzi </w:t>
      </w:r>
      <w:r w:rsidRPr="00B30558">
        <w:rPr>
          <w:b/>
          <w:bCs/>
          <w:sz w:val="28"/>
          <w:szCs w:val="28"/>
        </w:rPr>
        <w:t>3.228 de unități administrativ-teritoriale (UAT)</w:t>
      </w:r>
      <w:r w:rsidRPr="00B30558">
        <w:rPr>
          <w:sz w:val="28"/>
          <w:szCs w:val="28"/>
        </w:rPr>
        <w:t xml:space="preserve">, cu un total de </w:t>
      </w:r>
      <w:r w:rsidRPr="00B30558">
        <w:rPr>
          <w:b/>
          <w:bCs/>
          <w:sz w:val="28"/>
          <w:szCs w:val="28"/>
        </w:rPr>
        <w:t>189.777 posturi</w:t>
      </w:r>
      <w:r w:rsidRPr="00B30558">
        <w:rPr>
          <w:sz w:val="28"/>
          <w:szCs w:val="28"/>
        </w:rPr>
        <w:t xml:space="preserve"> în administrația locală. Simulările actuale privind o reducere de </w:t>
      </w:r>
      <w:r w:rsidRPr="00B30558">
        <w:rPr>
          <w:b/>
          <w:bCs/>
          <w:sz w:val="28"/>
          <w:szCs w:val="28"/>
        </w:rPr>
        <w:t>45% din totalul posturilor</w:t>
      </w:r>
      <w:r w:rsidRPr="00B30558">
        <w:rPr>
          <w:sz w:val="28"/>
          <w:szCs w:val="28"/>
        </w:rPr>
        <w:t xml:space="preserve"> ar conduce, în practică, la </w:t>
      </w:r>
      <w:r w:rsidRPr="00B30558">
        <w:rPr>
          <w:b/>
          <w:bCs/>
          <w:sz w:val="28"/>
          <w:szCs w:val="28"/>
        </w:rPr>
        <w:t>17.815 posturi ocupate desființate</w:t>
      </w:r>
      <w:r w:rsidRPr="00B30558">
        <w:rPr>
          <w:sz w:val="28"/>
          <w:szCs w:val="28"/>
        </w:rPr>
        <w:t xml:space="preserve">, adică o scădere medie de </w:t>
      </w:r>
      <w:r w:rsidRPr="00B30558">
        <w:rPr>
          <w:b/>
          <w:bCs/>
          <w:sz w:val="28"/>
          <w:szCs w:val="28"/>
        </w:rPr>
        <w:t>14% din totalul efectiv</w:t>
      </w:r>
      <w:r w:rsidRPr="00B30558">
        <w:rPr>
          <w:sz w:val="28"/>
          <w:szCs w:val="28"/>
        </w:rPr>
        <w:t>.</w:t>
      </w:r>
    </w:p>
    <w:p w14:paraId="26F7294B" w14:textId="77777777" w:rsidR="00F156F9" w:rsidRPr="00B30558" w:rsidRDefault="00F156F9" w:rsidP="00452260">
      <w:pPr>
        <w:rPr>
          <w:sz w:val="28"/>
          <w:szCs w:val="28"/>
        </w:rPr>
      </w:pPr>
    </w:p>
    <w:p w14:paraId="36109A33" w14:textId="77777777" w:rsidR="00452260" w:rsidRDefault="00452260" w:rsidP="00452260">
      <w:pPr>
        <w:rPr>
          <w:sz w:val="28"/>
          <w:szCs w:val="28"/>
        </w:rPr>
      </w:pPr>
      <w:r w:rsidRPr="00B30558">
        <w:rPr>
          <w:sz w:val="28"/>
          <w:szCs w:val="28"/>
        </w:rPr>
        <w:t xml:space="preserve">Problema centrală nu este cifra absolută, ci </w:t>
      </w:r>
      <w:r w:rsidRPr="00B30558">
        <w:rPr>
          <w:b/>
          <w:bCs/>
          <w:sz w:val="28"/>
          <w:szCs w:val="28"/>
        </w:rPr>
        <w:t>metoda de implementare</w:t>
      </w:r>
      <w:r w:rsidRPr="00B30558">
        <w:rPr>
          <w:sz w:val="28"/>
          <w:szCs w:val="28"/>
        </w:rPr>
        <w:t xml:space="preserve">: reducerea se aplică liniar, fără a ține cont de specificul fiecărei comunități. Datele arată dezechilibre regionale semnificative: Bihor ar pierde doar </w:t>
      </w:r>
      <w:r w:rsidRPr="00B30558">
        <w:rPr>
          <w:b/>
          <w:bCs/>
          <w:sz w:val="28"/>
          <w:szCs w:val="28"/>
        </w:rPr>
        <w:t>3%</w:t>
      </w:r>
      <w:r w:rsidRPr="00B30558">
        <w:rPr>
          <w:sz w:val="28"/>
          <w:szCs w:val="28"/>
        </w:rPr>
        <w:t xml:space="preserve">, în timp ce Buzău ar fi afectat cu </w:t>
      </w:r>
      <w:r w:rsidRPr="00B30558">
        <w:rPr>
          <w:b/>
          <w:bCs/>
          <w:sz w:val="28"/>
          <w:szCs w:val="28"/>
        </w:rPr>
        <w:t>-23%</w:t>
      </w:r>
      <w:r w:rsidRPr="00B30558">
        <w:rPr>
          <w:sz w:val="28"/>
          <w:szCs w:val="28"/>
        </w:rPr>
        <w:t xml:space="preserve">, Galați cu </w:t>
      </w:r>
      <w:r w:rsidRPr="00B30558">
        <w:rPr>
          <w:b/>
          <w:bCs/>
          <w:sz w:val="28"/>
          <w:szCs w:val="28"/>
        </w:rPr>
        <w:t>-22%</w:t>
      </w:r>
      <w:r w:rsidRPr="00B30558">
        <w:rPr>
          <w:sz w:val="28"/>
          <w:szCs w:val="28"/>
        </w:rPr>
        <w:t xml:space="preserve">, Sălaj cu </w:t>
      </w:r>
      <w:r w:rsidRPr="00B30558">
        <w:rPr>
          <w:b/>
          <w:bCs/>
          <w:sz w:val="28"/>
          <w:szCs w:val="28"/>
        </w:rPr>
        <w:t>-21%</w:t>
      </w:r>
      <w:r w:rsidRPr="00B30558">
        <w:rPr>
          <w:sz w:val="28"/>
          <w:szCs w:val="28"/>
        </w:rPr>
        <w:t>.</w:t>
      </w:r>
    </w:p>
    <w:p w14:paraId="294A8652" w14:textId="77777777" w:rsidR="00F156F9" w:rsidRPr="00B30558" w:rsidRDefault="00F156F9" w:rsidP="00452260">
      <w:pPr>
        <w:rPr>
          <w:sz w:val="28"/>
          <w:szCs w:val="28"/>
        </w:rPr>
      </w:pPr>
    </w:p>
    <w:p w14:paraId="35F8717E" w14:textId="77777777" w:rsidR="00452260" w:rsidRPr="00B30558" w:rsidRDefault="00452260" w:rsidP="00452260">
      <w:pPr>
        <w:rPr>
          <w:sz w:val="28"/>
          <w:szCs w:val="28"/>
        </w:rPr>
      </w:pPr>
      <w:r w:rsidRPr="00B30558">
        <w:rPr>
          <w:sz w:val="28"/>
          <w:szCs w:val="28"/>
        </w:rPr>
        <w:t xml:space="preserve">Această abordare riscă să genereze </w:t>
      </w:r>
      <w:r w:rsidRPr="00B30558">
        <w:rPr>
          <w:b/>
          <w:bCs/>
          <w:sz w:val="28"/>
          <w:szCs w:val="28"/>
        </w:rPr>
        <w:t>sub-administrație</w:t>
      </w:r>
      <w:r w:rsidRPr="00B30558">
        <w:rPr>
          <w:sz w:val="28"/>
          <w:szCs w:val="28"/>
        </w:rPr>
        <w:t xml:space="preserve"> în zonele rurale mici, unde 2–3 funcționari în minus pot însemna absența serviciilor publice de bază (contabilitate, urbanism, asistență socială). În plus, reforma nu este corelată cu un program de digitalizare sau cu o strategie de comasare voluntară a UAT-urilor, așa cum recomandă </w:t>
      </w:r>
      <w:r w:rsidRPr="00B30558">
        <w:rPr>
          <w:b/>
          <w:bCs/>
          <w:sz w:val="28"/>
          <w:szCs w:val="28"/>
        </w:rPr>
        <w:t>Carta Europeană a Autonomiei Locale</w:t>
      </w:r>
      <w:r w:rsidRPr="00B30558">
        <w:rPr>
          <w:sz w:val="28"/>
          <w:szCs w:val="28"/>
        </w:rPr>
        <w:t xml:space="preserve"> și practicile din Franța, Germania sau Polonia.</w:t>
      </w:r>
    </w:p>
    <w:p w14:paraId="1726B5E2" w14:textId="77777777" w:rsidR="00452260" w:rsidRPr="00B30558" w:rsidRDefault="00452260" w:rsidP="00452260">
      <w:pPr>
        <w:rPr>
          <w:sz w:val="28"/>
          <w:szCs w:val="28"/>
        </w:rPr>
      </w:pPr>
    </w:p>
    <w:p w14:paraId="431C610A" w14:textId="77777777" w:rsidR="00452260" w:rsidRPr="00B30558" w:rsidRDefault="00452260" w:rsidP="00452260">
      <w:pPr>
        <w:rPr>
          <w:b/>
          <w:bCs/>
          <w:sz w:val="28"/>
          <w:szCs w:val="28"/>
        </w:rPr>
      </w:pPr>
      <w:r w:rsidRPr="00B30558">
        <w:rPr>
          <w:b/>
          <w:bCs/>
          <w:sz w:val="28"/>
          <w:szCs w:val="28"/>
        </w:rPr>
        <w:t>Obiective strategice</w:t>
      </w:r>
    </w:p>
    <w:p w14:paraId="32C3907B" w14:textId="77777777" w:rsidR="00452260" w:rsidRPr="00B30558" w:rsidRDefault="00452260" w:rsidP="00452260">
      <w:pPr>
        <w:numPr>
          <w:ilvl w:val="0"/>
          <w:numId w:val="1"/>
        </w:numPr>
        <w:rPr>
          <w:sz w:val="28"/>
          <w:szCs w:val="28"/>
        </w:rPr>
      </w:pPr>
      <w:r w:rsidRPr="00B30558">
        <w:rPr>
          <w:b/>
          <w:bCs/>
          <w:sz w:val="28"/>
          <w:szCs w:val="28"/>
        </w:rPr>
        <w:t>Simplificare administrativă reală</w:t>
      </w:r>
      <w:r w:rsidRPr="00B30558">
        <w:rPr>
          <w:sz w:val="28"/>
          <w:szCs w:val="28"/>
        </w:rPr>
        <w:t>, nu doar reducere de personal.</w:t>
      </w:r>
    </w:p>
    <w:p w14:paraId="138A7BFA" w14:textId="77777777" w:rsidR="00452260" w:rsidRPr="00B30558" w:rsidRDefault="00452260" w:rsidP="00452260">
      <w:pPr>
        <w:numPr>
          <w:ilvl w:val="0"/>
          <w:numId w:val="1"/>
        </w:numPr>
        <w:rPr>
          <w:sz w:val="28"/>
          <w:szCs w:val="28"/>
        </w:rPr>
      </w:pPr>
      <w:r w:rsidRPr="00B30558">
        <w:rPr>
          <w:b/>
          <w:bCs/>
          <w:sz w:val="28"/>
          <w:szCs w:val="28"/>
        </w:rPr>
        <w:t>Creșterea eficienței</w:t>
      </w:r>
      <w:r w:rsidRPr="00B30558">
        <w:rPr>
          <w:sz w:val="28"/>
          <w:szCs w:val="28"/>
        </w:rPr>
        <w:t>: reducerea birocrației și orientarea resurselor spre servicii pentru cetățeni.</w:t>
      </w:r>
    </w:p>
    <w:p w14:paraId="42C2EFA0" w14:textId="77777777" w:rsidR="00452260" w:rsidRPr="00B30558" w:rsidRDefault="00452260" w:rsidP="00452260">
      <w:pPr>
        <w:numPr>
          <w:ilvl w:val="0"/>
          <w:numId w:val="1"/>
        </w:numPr>
        <w:rPr>
          <w:sz w:val="28"/>
          <w:szCs w:val="28"/>
          <w:lang w:val="it-IT"/>
        </w:rPr>
      </w:pPr>
      <w:r w:rsidRPr="00B30558">
        <w:rPr>
          <w:b/>
          <w:bCs/>
          <w:sz w:val="28"/>
          <w:szCs w:val="28"/>
          <w:lang w:val="it-IT"/>
        </w:rPr>
        <w:t>Consolidarea capacității locale</w:t>
      </w:r>
      <w:r w:rsidRPr="00B30558">
        <w:rPr>
          <w:sz w:val="28"/>
          <w:szCs w:val="28"/>
          <w:lang w:val="it-IT"/>
        </w:rPr>
        <w:t>, mai ales în zonele vulnerabile, pentru a evita colapsul instituțional.</w:t>
      </w:r>
    </w:p>
    <w:p w14:paraId="4B6FA3BE" w14:textId="77777777" w:rsidR="00452260" w:rsidRPr="00B30558" w:rsidRDefault="00452260" w:rsidP="00452260">
      <w:pPr>
        <w:numPr>
          <w:ilvl w:val="0"/>
          <w:numId w:val="1"/>
        </w:numPr>
        <w:rPr>
          <w:sz w:val="28"/>
          <w:szCs w:val="28"/>
          <w:lang w:val="it-IT"/>
        </w:rPr>
      </w:pPr>
      <w:r w:rsidRPr="00B30558">
        <w:rPr>
          <w:b/>
          <w:bCs/>
          <w:sz w:val="28"/>
          <w:szCs w:val="28"/>
          <w:lang w:val="it-IT"/>
        </w:rPr>
        <w:t>Alinierea la bunele practici europene</w:t>
      </w:r>
      <w:r w:rsidRPr="00B30558">
        <w:rPr>
          <w:sz w:val="28"/>
          <w:szCs w:val="28"/>
          <w:lang w:val="it-IT"/>
        </w:rPr>
        <w:t>: digitalizare, transparență, comasare voluntară, guvernanță participativă.</w:t>
      </w:r>
    </w:p>
    <w:p w14:paraId="14E988F7" w14:textId="77777777" w:rsidR="00452260" w:rsidRPr="00B30558" w:rsidRDefault="00452260" w:rsidP="00452260">
      <w:pPr>
        <w:rPr>
          <w:sz w:val="28"/>
          <w:szCs w:val="28"/>
          <w:lang w:val="it-IT"/>
        </w:rPr>
      </w:pPr>
    </w:p>
    <w:p w14:paraId="5E383682" w14:textId="77777777" w:rsidR="00452260" w:rsidRPr="00B30558" w:rsidRDefault="00452260" w:rsidP="00452260">
      <w:pPr>
        <w:rPr>
          <w:b/>
          <w:bCs/>
          <w:sz w:val="28"/>
          <w:szCs w:val="28"/>
        </w:rPr>
      </w:pPr>
      <w:r w:rsidRPr="00B30558">
        <w:rPr>
          <w:b/>
          <w:bCs/>
          <w:sz w:val="28"/>
          <w:szCs w:val="28"/>
        </w:rPr>
        <w:t>Criterii propuse pentru diferențierea reducerilor</w:t>
      </w:r>
    </w:p>
    <w:p w14:paraId="2D8FFDB5" w14:textId="77777777" w:rsidR="00452260" w:rsidRPr="00B30558" w:rsidRDefault="00452260" w:rsidP="00452260">
      <w:pPr>
        <w:numPr>
          <w:ilvl w:val="0"/>
          <w:numId w:val="2"/>
        </w:numPr>
        <w:rPr>
          <w:sz w:val="28"/>
          <w:szCs w:val="28"/>
        </w:rPr>
      </w:pPr>
      <w:r w:rsidRPr="00B30558">
        <w:rPr>
          <w:b/>
          <w:bCs/>
          <w:sz w:val="28"/>
          <w:szCs w:val="28"/>
        </w:rPr>
        <w:t>Raport angajați/locuitori</w:t>
      </w:r>
      <w:r w:rsidRPr="00B30558">
        <w:rPr>
          <w:sz w:val="28"/>
          <w:szCs w:val="28"/>
        </w:rPr>
        <w:t>:</w:t>
      </w:r>
    </w:p>
    <w:p w14:paraId="0804D27D" w14:textId="77777777" w:rsidR="00452260" w:rsidRPr="00B30558" w:rsidRDefault="00452260" w:rsidP="00452260">
      <w:pPr>
        <w:numPr>
          <w:ilvl w:val="1"/>
          <w:numId w:val="2"/>
        </w:numPr>
        <w:rPr>
          <w:sz w:val="28"/>
          <w:szCs w:val="28"/>
        </w:rPr>
      </w:pPr>
      <w:r w:rsidRPr="00B30558">
        <w:rPr>
          <w:sz w:val="28"/>
          <w:szCs w:val="28"/>
        </w:rPr>
        <w:t>UAT &lt; 1.500 locuitori – minimum 8–10 funcționari de bază, fără reduceri sub acest prag.</w:t>
      </w:r>
    </w:p>
    <w:p w14:paraId="3C0BAEB2" w14:textId="16FD67C8" w:rsidR="00452260" w:rsidRPr="00B30558" w:rsidRDefault="00452260" w:rsidP="00452260">
      <w:pPr>
        <w:numPr>
          <w:ilvl w:val="1"/>
          <w:numId w:val="2"/>
        </w:numPr>
        <w:rPr>
          <w:sz w:val="28"/>
          <w:szCs w:val="28"/>
        </w:rPr>
      </w:pPr>
      <w:r w:rsidRPr="00B30558">
        <w:rPr>
          <w:sz w:val="28"/>
          <w:szCs w:val="28"/>
        </w:rPr>
        <w:t>UAT &gt; 5.000 locuitori – țintă: 7 funcționari/1.000 locuitori.</w:t>
      </w:r>
    </w:p>
    <w:p w14:paraId="2739BFBA" w14:textId="77777777" w:rsidR="00452260" w:rsidRPr="00B30558" w:rsidRDefault="00452260" w:rsidP="00452260">
      <w:pPr>
        <w:numPr>
          <w:ilvl w:val="0"/>
          <w:numId w:val="2"/>
        </w:numPr>
        <w:rPr>
          <w:sz w:val="28"/>
          <w:szCs w:val="28"/>
        </w:rPr>
      </w:pPr>
      <w:r w:rsidRPr="00B30558">
        <w:rPr>
          <w:b/>
          <w:bCs/>
          <w:sz w:val="28"/>
          <w:szCs w:val="28"/>
        </w:rPr>
        <w:t>Capacitate de absorbție fonduri UE</w:t>
      </w:r>
      <w:r w:rsidRPr="00B30558">
        <w:rPr>
          <w:sz w:val="28"/>
          <w:szCs w:val="28"/>
        </w:rPr>
        <w:t>:</w:t>
      </w:r>
    </w:p>
    <w:p w14:paraId="6D7D0CF9" w14:textId="728C8B72" w:rsidR="00452260" w:rsidRPr="00B30558" w:rsidRDefault="00452260" w:rsidP="00452260">
      <w:pPr>
        <w:numPr>
          <w:ilvl w:val="1"/>
          <w:numId w:val="2"/>
        </w:numPr>
        <w:rPr>
          <w:sz w:val="28"/>
          <w:szCs w:val="28"/>
        </w:rPr>
      </w:pPr>
      <w:r w:rsidRPr="00B30558">
        <w:rPr>
          <w:sz w:val="28"/>
          <w:szCs w:val="28"/>
        </w:rPr>
        <w:lastRenderedPageBreak/>
        <w:t>UAT cu absorbție scăzută (&lt;50 €/locuitor ) – prioritate la întărirea echipelor de proiecte.</w:t>
      </w:r>
    </w:p>
    <w:p w14:paraId="71679474" w14:textId="77777777" w:rsidR="00452260" w:rsidRPr="00B30558" w:rsidRDefault="00452260" w:rsidP="00452260">
      <w:pPr>
        <w:numPr>
          <w:ilvl w:val="1"/>
          <w:numId w:val="2"/>
        </w:numPr>
        <w:rPr>
          <w:sz w:val="28"/>
          <w:szCs w:val="28"/>
        </w:rPr>
      </w:pPr>
      <w:r w:rsidRPr="00B30558">
        <w:rPr>
          <w:sz w:val="28"/>
          <w:szCs w:val="28"/>
        </w:rPr>
        <w:t>UAT performante – pot reduce personal auxiliar, dar cu condiția reinvestirii economiilor în digitalizare.</w:t>
      </w:r>
    </w:p>
    <w:p w14:paraId="2DB72AD7" w14:textId="77777777" w:rsidR="00452260" w:rsidRPr="00B30558" w:rsidRDefault="00452260" w:rsidP="00452260">
      <w:pPr>
        <w:numPr>
          <w:ilvl w:val="0"/>
          <w:numId w:val="2"/>
        </w:numPr>
        <w:rPr>
          <w:sz w:val="28"/>
          <w:szCs w:val="28"/>
          <w:lang w:val="es-ES"/>
        </w:rPr>
      </w:pPr>
      <w:r w:rsidRPr="00B30558">
        <w:rPr>
          <w:b/>
          <w:bCs/>
          <w:sz w:val="28"/>
          <w:szCs w:val="28"/>
          <w:lang w:val="es-ES"/>
        </w:rPr>
        <w:t>Grad de digitalizare a serviciilor</w:t>
      </w:r>
      <w:r w:rsidRPr="00B30558">
        <w:rPr>
          <w:sz w:val="28"/>
          <w:szCs w:val="28"/>
          <w:lang w:val="es-ES"/>
        </w:rPr>
        <w:t>:</w:t>
      </w:r>
    </w:p>
    <w:p w14:paraId="66F347F4" w14:textId="77777777" w:rsidR="00452260" w:rsidRPr="00B30558" w:rsidRDefault="00452260" w:rsidP="00452260">
      <w:pPr>
        <w:numPr>
          <w:ilvl w:val="1"/>
          <w:numId w:val="2"/>
        </w:numPr>
        <w:rPr>
          <w:sz w:val="28"/>
          <w:szCs w:val="28"/>
          <w:lang w:val="it-IT"/>
        </w:rPr>
      </w:pPr>
      <w:r w:rsidRPr="00B30558">
        <w:rPr>
          <w:sz w:val="28"/>
          <w:szCs w:val="28"/>
          <w:lang w:val="it-IT"/>
        </w:rPr>
        <w:t>&lt;30% servicii online – nu se reduc posturi, ci se investește în infrastructură și formare.</w:t>
      </w:r>
    </w:p>
    <w:p w14:paraId="1E1C5148" w14:textId="0DF80588" w:rsidR="00452260" w:rsidRPr="00B30558" w:rsidRDefault="00452260" w:rsidP="00452260">
      <w:pPr>
        <w:numPr>
          <w:ilvl w:val="1"/>
          <w:numId w:val="2"/>
        </w:numPr>
        <w:rPr>
          <w:sz w:val="28"/>
          <w:szCs w:val="28"/>
        </w:rPr>
      </w:pPr>
      <w:r w:rsidRPr="00B30558">
        <w:rPr>
          <w:sz w:val="28"/>
          <w:szCs w:val="28"/>
        </w:rPr>
        <w:t>30–60% – reducere graduală de max. 15%.</w:t>
      </w:r>
    </w:p>
    <w:p w14:paraId="3F66F160" w14:textId="77777777" w:rsidR="00452260" w:rsidRPr="00B30558" w:rsidRDefault="00452260" w:rsidP="00452260">
      <w:pPr>
        <w:numPr>
          <w:ilvl w:val="1"/>
          <w:numId w:val="2"/>
        </w:numPr>
        <w:rPr>
          <w:sz w:val="28"/>
          <w:szCs w:val="28"/>
          <w:lang w:val="it-IT"/>
        </w:rPr>
      </w:pPr>
      <w:r w:rsidRPr="00B30558">
        <w:rPr>
          <w:sz w:val="28"/>
          <w:szCs w:val="28"/>
          <w:lang w:val="it-IT"/>
        </w:rPr>
        <w:t>60% – reducere de 20–25% posibilă, cu standardizare și interoperabilitate.</w:t>
      </w:r>
    </w:p>
    <w:p w14:paraId="6B46CEE2" w14:textId="77777777" w:rsidR="00452260" w:rsidRPr="00B30558" w:rsidRDefault="00452260" w:rsidP="00452260">
      <w:pPr>
        <w:numPr>
          <w:ilvl w:val="0"/>
          <w:numId w:val="2"/>
        </w:numPr>
        <w:rPr>
          <w:sz w:val="28"/>
          <w:szCs w:val="28"/>
          <w:lang w:val="it-IT"/>
        </w:rPr>
      </w:pPr>
      <w:r w:rsidRPr="00B30558">
        <w:rPr>
          <w:b/>
          <w:bCs/>
          <w:sz w:val="28"/>
          <w:szCs w:val="28"/>
          <w:lang w:val="it-IT"/>
        </w:rPr>
        <w:t>Complexitate administrativă</w:t>
      </w:r>
      <w:r w:rsidRPr="00B30558">
        <w:rPr>
          <w:sz w:val="28"/>
          <w:szCs w:val="28"/>
          <w:lang w:val="it-IT"/>
        </w:rPr>
        <w:t>: UAT-urile care gestionează spitale, școli mari sau drumuri au nevoie de personal suplimentar. Reducerile se aplică în special unde există suprapuneri birocratice.</w:t>
      </w:r>
    </w:p>
    <w:p w14:paraId="167B9A3B" w14:textId="77777777" w:rsidR="00452260" w:rsidRPr="00B30558" w:rsidRDefault="00452260" w:rsidP="00452260">
      <w:pPr>
        <w:numPr>
          <w:ilvl w:val="0"/>
          <w:numId w:val="2"/>
        </w:numPr>
        <w:rPr>
          <w:sz w:val="28"/>
          <w:szCs w:val="28"/>
        </w:rPr>
      </w:pPr>
      <w:r w:rsidRPr="00B30558">
        <w:rPr>
          <w:b/>
          <w:bCs/>
          <w:sz w:val="28"/>
          <w:szCs w:val="28"/>
        </w:rPr>
        <w:t>Indicatori socio-economici</w:t>
      </w:r>
      <w:r w:rsidRPr="00B30558">
        <w:rPr>
          <w:sz w:val="28"/>
          <w:szCs w:val="28"/>
        </w:rPr>
        <w:t xml:space="preserve">: UAT-urile cu șomaj ridicat și populație îmbătrânită să beneficieze de o </w:t>
      </w:r>
      <w:r w:rsidRPr="00B30558">
        <w:rPr>
          <w:b/>
          <w:bCs/>
          <w:sz w:val="28"/>
          <w:szCs w:val="28"/>
        </w:rPr>
        <w:t>clauză de protecție</w:t>
      </w:r>
      <w:r w:rsidRPr="00B30558">
        <w:rPr>
          <w:sz w:val="28"/>
          <w:szCs w:val="28"/>
        </w:rPr>
        <w:t xml:space="preserve"> (reducere ≤10%).</w:t>
      </w:r>
    </w:p>
    <w:p w14:paraId="1ED89317" w14:textId="77777777" w:rsidR="00452260" w:rsidRPr="00B30558" w:rsidRDefault="00452260" w:rsidP="00452260">
      <w:pPr>
        <w:rPr>
          <w:sz w:val="28"/>
          <w:szCs w:val="28"/>
        </w:rPr>
      </w:pPr>
    </w:p>
    <w:p w14:paraId="758FA208" w14:textId="77777777" w:rsidR="00452260" w:rsidRPr="00B30558" w:rsidRDefault="00452260" w:rsidP="00452260">
      <w:pPr>
        <w:rPr>
          <w:b/>
          <w:bCs/>
          <w:sz w:val="28"/>
          <w:szCs w:val="28"/>
        </w:rPr>
      </w:pPr>
      <w:r w:rsidRPr="00B30558">
        <w:rPr>
          <w:b/>
          <w:bCs/>
          <w:sz w:val="28"/>
          <w:szCs w:val="28"/>
        </w:rPr>
        <w:t>Etapele reformei (esalonare temporală)</w:t>
      </w:r>
    </w:p>
    <w:p w14:paraId="22481474" w14:textId="1A6C5B00" w:rsidR="00452260" w:rsidRPr="00B30558" w:rsidRDefault="00452260" w:rsidP="00452260">
      <w:pPr>
        <w:numPr>
          <w:ilvl w:val="0"/>
          <w:numId w:val="3"/>
        </w:numPr>
        <w:rPr>
          <w:sz w:val="28"/>
          <w:szCs w:val="28"/>
        </w:rPr>
      </w:pPr>
      <w:r w:rsidRPr="00B30558">
        <w:rPr>
          <w:b/>
          <w:bCs/>
          <w:sz w:val="28"/>
          <w:szCs w:val="28"/>
        </w:rPr>
        <w:t xml:space="preserve">Faza I </w:t>
      </w:r>
      <w:r w:rsidRPr="00B30558">
        <w:rPr>
          <w:sz w:val="28"/>
          <w:szCs w:val="28"/>
        </w:rPr>
        <w:t xml:space="preserve"> – </w:t>
      </w:r>
      <w:r w:rsidRPr="00B30558">
        <w:rPr>
          <w:i/>
          <w:iCs/>
          <w:sz w:val="28"/>
          <w:szCs w:val="28"/>
        </w:rPr>
        <w:t>Audit și digitalizare de bază</w:t>
      </w:r>
      <w:r w:rsidRPr="00B30558">
        <w:rPr>
          <w:sz w:val="28"/>
          <w:szCs w:val="28"/>
        </w:rPr>
        <w:t>: cartografierea posturilor, lansarea platformelor online pentru servicii simple (certificate, taxe, programări).</w:t>
      </w:r>
    </w:p>
    <w:p w14:paraId="4245703F" w14:textId="75AE5DD9" w:rsidR="00452260" w:rsidRPr="00B30558" w:rsidRDefault="00452260" w:rsidP="00452260">
      <w:pPr>
        <w:numPr>
          <w:ilvl w:val="0"/>
          <w:numId w:val="3"/>
        </w:numPr>
        <w:rPr>
          <w:sz w:val="28"/>
          <w:szCs w:val="28"/>
        </w:rPr>
      </w:pPr>
      <w:r w:rsidRPr="00B30558">
        <w:rPr>
          <w:b/>
          <w:bCs/>
          <w:sz w:val="28"/>
          <w:szCs w:val="28"/>
        </w:rPr>
        <w:t>Faza II</w:t>
      </w:r>
      <w:r w:rsidRPr="00B30558">
        <w:rPr>
          <w:sz w:val="28"/>
          <w:szCs w:val="28"/>
        </w:rPr>
        <w:t xml:space="preserve"> – </w:t>
      </w:r>
      <w:r w:rsidRPr="00B30558">
        <w:rPr>
          <w:i/>
          <w:iCs/>
          <w:sz w:val="28"/>
          <w:szCs w:val="28"/>
        </w:rPr>
        <w:t>Reduceri diferențiate până la 25%</w:t>
      </w:r>
      <w:r w:rsidRPr="00B30558">
        <w:rPr>
          <w:sz w:val="28"/>
          <w:szCs w:val="28"/>
        </w:rPr>
        <w:t>: aplicarea criteriilor, mobilitatea voluntară a personalului între UAT, crearea de centre intercomunale pentru servicii specializate.</w:t>
      </w:r>
    </w:p>
    <w:p w14:paraId="7CEFED03" w14:textId="02EE1C99" w:rsidR="00452260" w:rsidRPr="00B30558" w:rsidRDefault="00452260" w:rsidP="00452260">
      <w:pPr>
        <w:numPr>
          <w:ilvl w:val="0"/>
          <w:numId w:val="3"/>
        </w:numPr>
        <w:rPr>
          <w:sz w:val="28"/>
          <w:szCs w:val="28"/>
        </w:rPr>
      </w:pPr>
      <w:r w:rsidRPr="00B30558">
        <w:rPr>
          <w:b/>
          <w:bCs/>
          <w:sz w:val="28"/>
          <w:szCs w:val="28"/>
        </w:rPr>
        <w:t>Faza III</w:t>
      </w:r>
      <w:r w:rsidRPr="00B30558">
        <w:rPr>
          <w:sz w:val="28"/>
          <w:szCs w:val="28"/>
        </w:rPr>
        <w:t xml:space="preserve"> – </w:t>
      </w:r>
      <w:r w:rsidRPr="00B30558">
        <w:rPr>
          <w:i/>
          <w:iCs/>
          <w:sz w:val="28"/>
          <w:szCs w:val="28"/>
        </w:rPr>
        <w:t>Consolidare structurală</w:t>
      </w:r>
      <w:r w:rsidRPr="00B30558">
        <w:rPr>
          <w:sz w:val="28"/>
          <w:szCs w:val="28"/>
        </w:rPr>
        <w:t>: stimulente pentru comasarea voluntară a UAT-urilor foarte mici, reducere suplimentară acolo unde există redundanțe clare (până la 30% maxim).</w:t>
      </w:r>
    </w:p>
    <w:p w14:paraId="1B647AE9" w14:textId="634BC892" w:rsidR="00452260" w:rsidRPr="00B30558" w:rsidRDefault="00452260" w:rsidP="00452260">
      <w:pPr>
        <w:numPr>
          <w:ilvl w:val="0"/>
          <w:numId w:val="3"/>
        </w:numPr>
        <w:rPr>
          <w:sz w:val="28"/>
          <w:szCs w:val="28"/>
        </w:rPr>
      </w:pPr>
      <w:r w:rsidRPr="00B30558">
        <w:rPr>
          <w:b/>
          <w:bCs/>
          <w:sz w:val="28"/>
          <w:szCs w:val="28"/>
        </w:rPr>
        <w:t xml:space="preserve">Faza IV </w:t>
      </w:r>
      <w:r w:rsidRPr="00B30558">
        <w:rPr>
          <w:sz w:val="28"/>
          <w:szCs w:val="28"/>
        </w:rPr>
        <w:t xml:space="preserve">– </w:t>
      </w:r>
      <w:r w:rsidRPr="00B30558">
        <w:rPr>
          <w:i/>
          <w:iCs/>
          <w:sz w:val="28"/>
          <w:szCs w:val="28"/>
        </w:rPr>
        <w:t>Administratie digitală și transparentă</w:t>
      </w:r>
      <w:r w:rsidRPr="00B30558">
        <w:rPr>
          <w:sz w:val="28"/>
          <w:szCs w:val="28"/>
        </w:rPr>
        <w:t>: integrarea completă a serviciilor în platforma unică națională, standardizare după model estonian și nordic.</w:t>
      </w:r>
    </w:p>
    <w:p w14:paraId="78CC08FE" w14:textId="77777777" w:rsidR="00452260" w:rsidRPr="00B30558" w:rsidRDefault="00452260" w:rsidP="00452260">
      <w:pPr>
        <w:rPr>
          <w:sz w:val="28"/>
          <w:szCs w:val="28"/>
        </w:rPr>
      </w:pPr>
    </w:p>
    <w:p w14:paraId="4681FBFF" w14:textId="77777777" w:rsidR="00452260" w:rsidRPr="00B30558" w:rsidRDefault="00452260" w:rsidP="00452260">
      <w:pPr>
        <w:rPr>
          <w:b/>
          <w:bCs/>
          <w:sz w:val="28"/>
          <w:szCs w:val="28"/>
        </w:rPr>
      </w:pPr>
      <w:r w:rsidRPr="00B30558">
        <w:rPr>
          <w:b/>
          <w:bCs/>
          <w:sz w:val="28"/>
          <w:szCs w:val="28"/>
        </w:rPr>
        <w:t>Riscuri și mecanisme de atenuare</w:t>
      </w:r>
    </w:p>
    <w:p w14:paraId="03AD4C11" w14:textId="77777777" w:rsidR="00452260" w:rsidRPr="00B30558" w:rsidRDefault="00452260" w:rsidP="00452260">
      <w:pPr>
        <w:numPr>
          <w:ilvl w:val="0"/>
          <w:numId w:val="4"/>
        </w:numPr>
        <w:rPr>
          <w:sz w:val="28"/>
          <w:szCs w:val="28"/>
        </w:rPr>
      </w:pPr>
      <w:r w:rsidRPr="00B30558">
        <w:rPr>
          <w:b/>
          <w:bCs/>
          <w:sz w:val="28"/>
          <w:szCs w:val="28"/>
        </w:rPr>
        <w:t>Risc de blocaj administrativ</w:t>
      </w:r>
      <w:r w:rsidRPr="00B30558">
        <w:rPr>
          <w:sz w:val="28"/>
          <w:szCs w:val="28"/>
        </w:rPr>
        <w:t xml:space="preserve"> – se previne prin păstrarea unui număr minim de funcționari esențiali.</w:t>
      </w:r>
    </w:p>
    <w:p w14:paraId="2A4BE744" w14:textId="77777777" w:rsidR="00452260" w:rsidRPr="00B30558" w:rsidRDefault="00452260" w:rsidP="00452260">
      <w:pPr>
        <w:numPr>
          <w:ilvl w:val="0"/>
          <w:numId w:val="4"/>
        </w:numPr>
        <w:rPr>
          <w:sz w:val="28"/>
          <w:szCs w:val="28"/>
        </w:rPr>
      </w:pPr>
      <w:r w:rsidRPr="00B30558">
        <w:rPr>
          <w:b/>
          <w:bCs/>
          <w:sz w:val="28"/>
          <w:szCs w:val="28"/>
        </w:rPr>
        <w:t>Risc de accentuare a inegalităților regionale</w:t>
      </w:r>
      <w:r w:rsidRPr="00B30558">
        <w:rPr>
          <w:sz w:val="28"/>
          <w:szCs w:val="28"/>
        </w:rPr>
        <w:t xml:space="preserve"> – se evită prin aplicarea diferențiată a reducerilor, în funcție de capacitatea locală.</w:t>
      </w:r>
    </w:p>
    <w:p w14:paraId="3CF3F34B" w14:textId="77777777" w:rsidR="00452260" w:rsidRPr="00B30558" w:rsidRDefault="00452260" w:rsidP="00452260">
      <w:pPr>
        <w:numPr>
          <w:ilvl w:val="0"/>
          <w:numId w:val="4"/>
        </w:numPr>
        <w:rPr>
          <w:sz w:val="28"/>
          <w:szCs w:val="28"/>
        </w:rPr>
      </w:pPr>
      <w:r w:rsidRPr="00B30558">
        <w:rPr>
          <w:b/>
          <w:bCs/>
          <w:sz w:val="28"/>
          <w:szCs w:val="28"/>
        </w:rPr>
        <w:t>Risc de pierdere a fondurilor europene</w:t>
      </w:r>
      <w:r w:rsidRPr="00B30558">
        <w:rPr>
          <w:sz w:val="28"/>
          <w:szCs w:val="28"/>
        </w:rPr>
        <w:t xml:space="preserve"> – se contracarează prin întărirea echipelor de proiecte în zonele vulnerabile și prin centre intercomunale de expertiză.</w:t>
      </w:r>
    </w:p>
    <w:p w14:paraId="75C96B0B" w14:textId="77777777" w:rsidR="00452260" w:rsidRPr="00B30558" w:rsidRDefault="00452260" w:rsidP="00452260">
      <w:pPr>
        <w:numPr>
          <w:ilvl w:val="0"/>
          <w:numId w:val="4"/>
        </w:numPr>
        <w:rPr>
          <w:sz w:val="28"/>
          <w:szCs w:val="28"/>
          <w:lang w:val="it-IT"/>
        </w:rPr>
      </w:pPr>
      <w:r w:rsidRPr="00B30558">
        <w:rPr>
          <w:b/>
          <w:bCs/>
          <w:sz w:val="28"/>
          <w:szCs w:val="28"/>
          <w:lang w:val="it-IT"/>
        </w:rPr>
        <w:t>Risc de neîncredere publică</w:t>
      </w:r>
      <w:r w:rsidRPr="00B30558">
        <w:rPr>
          <w:sz w:val="28"/>
          <w:szCs w:val="28"/>
          <w:lang w:val="it-IT"/>
        </w:rPr>
        <w:t xml:space="preserve"> – se reduce prin comunicare clară: reforma nu e un „dictat”, ci un proces participativ, în logica europeană a subsidiarității.</w:t>
      </w:r>
    </w:p>
    <w:p w14:paraId="4B1C8D4A" w14:textId="77777777" w:rsidR="00452260" w:rsidRPr="00B30558" w:rsidRDefault="00452260" w:rsidP="00452260">
      <w:pPr>
        <w:rPr>
          <w:sz w:val="28"/>
          <w:szCs w:val="28"/>
          <w:lang w:val="it-IT"/>
        </w:rPr>
      </w:pPr>
    </w:p>
    <w:p w14:paraId="6412152A" w14:textId="77777777" w:rsidR="00F156F9" w:rsidRDefault="00F156F9" w:rsidP="00452260">
      <w:pPr>
        <w:rPr>
          <w:b/>
          <w:bCs/>
          <w:sz w:val="28"/>
          <w:szCs w:val="28"/>
        </w:rPr>
      </w:pPr>
    </w:p>
    <w:p w14:paraId="60F12AD6" w14:textId="77777777" w:rsidR="00F156F9" w:rsidRDefault="00F156F9" w:rsidP="00452260">
      <w:pPr>
        <w:rPr>
          <w:b/>
          <w:bCs/>
          <w:sz w:val="28"/>
          <w:szCs w:val="28"/>
        </w:rPr>
      </w:pPr>
    </w:p>
    <w:p w14:paraId="2165394F" w14:textId="24C2D1A3" w:rsidR="00452260" w:rsidRPr="00B30558" w:rsidRDefault="00452260" w:rsidP="00452260">
      <w:pPr>
        <w:rPr>
          <w:b/>
          <w:bCs/>
          <w:sz w:val="28"/>
          <w:szCs w:val="28"/>
        </w:rPr>
      </w:pPr>
      <w:r w:rsidRPr="00B30558">
        <w:rPr>
          <w:b/>
          <w:bCs/>
          <w:sz w:val="28"/>
          <w:szCs w:val="28"/>
        </w:rPr>
        <w:lastRenderedPageBreak/>
        <w:t>Recomandări</w:t>
      </w:r>
    </w:p>
    <w:p w14:paraId="435454FB" w14:textId="1F053EAB" w:rsidR="00452260" w:rsidRPr="00B30558" w:rsidRDefault="00452260" w:rsidP="00452260">
      <w:pPr>
        <w:numPr>
          <w:ilvl w:val="0"/>
          <w:numId w:val="5"/>
        </w:numPr>
        <w:rPr>
          <w:sz w:val="28"/>
          <w:szCs w:val="28"/>
        </w:rPr>
      </w:pPr>
      <w:r w:rsidRPr="00B30558">
        <w:rPr>
          <w:b/>
          <w:bCs/>
          <w:sz w:val="28"/>
          <w:szCs w:val="28"/>
        </w:rPr>
        <w:t>Stabilirea unui prag realist de reducere</w:t>
      </w:r>
      <w:r w:rsidRPr="00B30558">
        <w:rPr>
          <w:sz w:val="28"/>
          <w:szCs w:val="28"/>
        </w:rPr>
        <w:t xml:space="preserve">: maximum </w:t>
      </w:r>
      <w:r w:rsidRPr="00B30558">
        <w:rPr>
          <w:b/>
          <w:bCs/>
          <w:sz w:val="28"/>
          <w:szCs w:val="28"/>
        </w:rPr>
        <w:t>25%</w:t>
      </w:r>
      <w:r w:rsidRPr="00B30558">
        <w:rPr>
          <w:sz w:val="28"/>
          <w:szCs w:val="28"/>
        </w:rPr>
        <w:t>, diferențiat pe criterii funcționale.</w:t>
      </w:r>
    </w:p>
    <w:p w14:paraId="154CED63" w14:textId="77777777" w:rsidR="00452260" w:rsidRPr="00B30558" w:rsidRDefault="00452260" w:rsidP="00452260">
      <w:pPr>
        <w:numPr>
          <w:ilvl w:val="0"/>
          <w:numId w:val="5"/>
        </w:numPr>
        <w:rPr>
          <w:sz w:val="28"/>
          <w:szCs w:val="28"/>
        </w:rPr>
      </w:pPr>
      <w:r w:rsidRPr="00B30558">
        <w:rPr>
          <w:b/>
          <w:bCs/>
          <w:sz w:val="28"/>
          <w:szCs w:val="28"/>
        </w:rPr>
        <w:t>Crearea unui Indice de Eficiență Administrativă</w:t>
      </w:r>
      <w:r w:rsidRPr="00B30558">
        <w:rPr>
          <w:sz w:val="28"/>
          <w:szCs w:val="28"/>
        </w:rPr>
        <w:t xml:space="preserve"> care să combine date demografice, economice și instituționale.</w:t>
      </w:r>
    </w:p>
    <w:p w14:paraId="433BBE64" w14:textId="77777777" w:rsidR="00452260" w:rsidRPr="00B30558" w:rsidRDefault="00452260" w:rsidP="00452260">
      <w:pPr>
        <w:numPr>
          <w:ilvl w:val="0"/>
          <w:numId w:val="5"/>
        </w:numPr>
        <w:rPr>
          <w:sz w:val="28"/>
          <w:szCs w:val="28"/>
        </w:rPr>
      </w:pPr>
      <w:r w:rsidRPr="00B30558">
        <w:rPr>
          <w:b/>
          <w:bCs/>
          <w:sz w:val="28"/>
          <w:szCs w:val="28"/>
        </w:rPr>
        <w:t>Program național de digitalizare a serviciilor publice</w:t>
      </w:r>
      <w:r w:rsidRPr="00B30558">
        <w:rPr>
          <w:sz w:val="28"/>
          <w:szCs w:val="28"/>
        </w:rPr>
        <w:t xml:space="preserve"> (platformă unică, interoperabilitate, formare profesională).</w:t>
      </w:r>
    </w:p>
    <w:p w14:paraId="6603CA7B" w14:textId="77777777" w:rsidR="00452260" w:rsidRPr="00B30558" w:rsidRDefault="00452260" w:rsidP="00452260">
      <w:pPr>
        <w:numPr>
          <w:ilvl w:val="0"/>
          <w:numId w:val="5"/>
        </w:numPr>
        <w:rPr>
          <w:sz w:val="28"/>
          <w:szCs w:val="28"/>
        </w:rPr>
      </w:pPr>
      <w:r w:rsidRPr="00B30558">
        <w:rPr>
          <w:b/>
          <w:bCs/>
          <w:sz w:val="28"/>
          <w:szCs w:val="28"/>
        </w:rPr>
        <w:t>Dezvoltarea cooperării intercomunale</w:t>
      </w:r>
      <w:r w:rsidRPr="00B30558">
        <w:rPr>
          <w:sz w:val="28"/>
          <w:szCs w:val="28"/>
        </w:rPr>
        <w:t xml:space="preserve"> pentru servicii costisitoare (IT, juridic, achiziții).</w:t>
      </w:r>
    </w:p>
    <w:p w14:paraId="3A7BCDD1" w14:textId="77777777" w:rsidR="00452260" w:rsidRPr="00B30558" w:rsidRDefault="00452260" w:rsidP="00452260">
      <w:pPr>
        <w:numPr>
          <w:ilvl w:val="0"/>
          <w:numId w:val="5"/>
        </w:numPr>
        <w:rPr>
          <w:sz w:val="28"/>
          <w:szCs w:val="28"/>
        </w:rPr>
      </w:pPr>
      <w:r w:rsidRPr="00B30558">
        <w:rPr>
          <w:b/>
          <w:bCs/>
          <w:sz w:val="28"/>
          <w:szCs w:val="28"/>
        </w:rPr>
        <w:t>Lansarea unei dezbateri naționale</w:t>
      </w:r>
      <w:r w:rsidRPr="00B30558">
        <w:rPr>
          <w:sz w:val="28"/>
          <w:szCs w:val="28"/>
        </w:rPr>
        <w:t xml:space="preserve"> privind comasarea voluntară a UAT-urilor sub un anumit prag de populație.</w:t>
      </w:r>
    </w:p>
    <w:p w14:paraId="3A938B71" w14:textId="77777777" w:rsidR="00452260" w:rsidRPr="00B30558" w:rsidRDefault="00452260" w:rsidP="00452260">
      <w:pPr>
        <w:numPr>
          <w:ilvl w:val="0"/>
          <w:numId w:val="5"/>
        </w:numPr>
        <w:rPr>
          <w:sz w:val="28"/>
          <w:szCs w:val="28"/>
        </w:rPr>
      </w:pPr>
      <w:r w:rsidRPr="00B30558">
        <w:rPr>
          <w:b/>
          <w:bCs/>
          <w:sz w:val="28"/>
          <w:szCs w:val="28"/>
        </w:rPr>
        <w:t>Asigurarea transparenței și a protecției sociale</w:t>
      </w:r>
      <w:r w:rsidRPr="00B30558">
        <w:rPr>
          <w:sz w:val="28"/>
          <w:szCs w:val="28"/>
        </w:rPr>
        <w:t xml:space="preserve"> pentru personalul vizat de restructurări (mobilitate, reconversie, formare).</w:t>
      </w:r>
    </w:p>
    <w:p w14:paraId="49593096" w14:textId="77777777" w:rsidR="00452260" w:rsidRPr="00AC4620" w:rsidRDefault="00452260" w:rsidP="00452260"/>
    <w:p w14:paraId="7DA9CFB8" w14:textId="77777777" w:rsidR="00452260" w:rsidRPr="00B30558" w:rsidRDefault="00452260" w:rsidP="00452260">
      <w:pPr>
        <w:rPr>
          <w:sz w:val="28"/>
          <w:szCs w:val="28"/>
        </w:rPr>
      </w:pPr>
      <w:r w:rsidRPr="00B30558">
        <w:rPr>
          <w:sz w:val="28"/>
          <w:szCs w:val="28"/>
        </w:rPr>
        <w:t xml:space="preserve">România are nevoie de un </w:t>
      </w:r>
      <w:r w:rsidRPr="00B30558">
        <w:rPr>
          <w:b/>
          <w:bCs/>
          <w:sz w:val="28"/>
          <w:szCs w:val="28"/>
        </w:rPr>
        <w:t>stat suplu și eficient</w:t>
      </w:r>
      <w:r w:rsidRPr="00B30558">
        <w:rPr>
          <w:sz w:val="28"/>
          <w:szCs w:val="28"/>
        </w:rPr>
        <w:t xml:space="preserve">, dar nu de o administrație mutilată prin tăieri statistice. Reforma trebuie să fie un </w:t>
      </w:r>
      <w:r w:rsidRPr="00B30558">
        <w:rPr>
          <w:b/>
          <w:bCs/>
          <w:sz w:val="28"/>
          <w:szCs w:val="28"/>
        </w:rPr>
        <w:t>proces gradual, diferențiat și digitalizat</w:t>
      </w:r>
      <w:r w:rsidRPr="00B30558">
        <w:rPr>
          <w:sz w:val="28"/>
          <w:szCs w:val="28"/>
        </w:rPr>
        <w:t xml:space="preserve">, orientat spre calitate și servicii pentru cetățean. Un prag de </w:t>
      </w:r>
      <w:r w:rsidRPr="00B30558">
        <w:rPr>
          <w:b/>
          <w:bCs/>
          <w:sz w:val="28"/>
          <w:szCs w:val="28"/>
        </w:rPr>
        <w:t>25%</w:t>
      </w:r>
      <w:r w:rsidRPr="00B30558">
        <w:rPr>
          <w:sz w:val="28"/>
          <w:szCs w:val="28"/>
        </w:rPr>
        <w:t xml:space="preserve"> aplicat inteligent, pe criterii clare și în etape, poate aduce economii bugetare fără a sacrifica funcționalitatea. Aceasta este calea prin care România se aliniază la standardele europene și își reconstruiește </w:t>
      </w:r>
      <w:r w:rsidRPr="00B30558">
        <w:rPr>
          <w:b/>
          <w:bCs/>
          <w:sz w:val="28"/>
          <w:szCs w:val="28"/>
        </w:rPr>
        <w:t>încrederea cetățenilor în stat</w:t>
      </w:r>
      <w:r w:rsidRPr="00B30558">
        <w:rPr>
          <w:sz w:val="28"/>
          <w:szCs w:val="28"/>
        </w:rPr>
        <w:t>.</w:t>
      </w:r>
    </w:p>
    <w:p w14:paraId="7692AEE4" w14:textId="77777777" w:rsidR="00452260" w:rsidRPr="00B30558" w:rsidRDefault="00452260" w:rsidP="00452260">
      <w:pPr>
        <w:rPr>
          <w:sz w:val="28"/>
          <w:szCs w:val="28"/>
        </w:rPr>
      </w:pPr>
    </w:p>
    <w:p w14:paraId="12E6BC44" w14:textId="77777777" w:rsidR="008765BE" w:rsidRDefault="008765BE"/>
    <w:sectPr w:rsidR="00876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5D15"/>
    <w:multiLevelType w:val="multilevel"/>
    <w:tmpl w:val="9548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87C27"/>
    <w:multiLevelType w:val="multilevel"/>
    <w:tmpl w:val="8A68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B25F59"/>
    <w:multiLevelType w:val="multilevel"/>
    <w:tmpl w:val="2AEC1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72761A"/>
    <w:multiLevelType w:val="multilevel"/>
    <w:tmpl w:val="22F6A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1E12E8"/>
    <w:multiLevelType w:val="multilevel"/>
    <w:tmpl w:val="16482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8558097">
    <w:abstractNumId w:val="4"/>
  </w:num>
  <w:num w:numId="2" w16cid:durableId="304967255">
    <w:abstractNumId w:val="3"/>
  </w:num>
  <w:num w:numId="3" w16cid:durableId="1586067855">
    <w:abstractNumId w:val="0"/>
  </w:num>
  <w:num w:numId="4" w16cid:durableId="167602415">
    <w:abstractNumId w:val="1"/>
  </w:num>
  <w:num w:numId="5" w16cid:durableId="1103959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60"/>
    <w:rsid w:val="00452260"/>
    <w:rsid w:val="005762E3"/>
    <w:rsid w:val="00614ED4"/>
    <w:rsid w:val="008765BE"/>
    <w:rsid w:val="00E050EB"/>
    <w:rsid w:val="00E1260C"/>
    <w:rsid w:val="00F15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1818"/>
  <w15:chartTrackingRefBased/>
  <w15:docId w15:val="{D3C817C1-69E3-459D-9C80-E401493A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Titlu1">
    <w:name w:val="heading 1"/>
    <w:basedOn w:val="Normal"/>
    <w:next w:val="Normal"/>
    <w:link w:val="Titlu1Caracter"/>
    <w:uiPriority w:val="9"/>
    <w:qFormat/>
    <w:rsid w:val="005762E3"/>
    <w:pPr>
      <w:keepNext/>
      <w:spacing w:before="240" w:after="60"/>
      <w:outlineLvl w:val="0"/>
    </w:pPr>
    <w:rPr>
      <w:rFonts w:ascii="Arial" w:eastAsiaTheme="majorEastAsia" w:hAnsi="Arial" w:cs="Arial"/>
      <w:b/>
      <w:bCs/>
      <w:kern w:val="32"/>
      <w:sz w:val="32"/>
      <w:szCs w:val="32"/>
    </w:rPr>
  </w:style>
  <w:style w:type="paragraph" w:styleId="Titlu2">
    <w:name w:val="heading 2"/>
    <w:basedOn w:val="Normal"/>
    <w:next w:val="Normal"/>
    <w:link w:val="Titlu2Caracte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Titlu3">
    <w:name w:val="heading 3"/>
    <w:basedOn w:val="Normal"/>
    <w:next w:val="Normal"/>
    <w:link w:val="Titlu3Caracte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Titlu4">
    <w:name w:val="heading 4"/>
    <w:basedOn w:val="Normal"/>
    <w:next w:val="Normal"/>
    <w:link w:val="Titlu4Caracter"/>
    <w:uiPriority w:val="9"/>
    <w:semiHidden/>
    <w:unhideWhenUsed/>
    <w:qFormat/>
    <w:rsid w:val="005762E3"/>
    <w:pPr>
      <w:keepNext/>
      <w:spacing w:before="240" w:after="60"/>
      <w:outlineLvl w:val="3"/>
    </w:pPr>
    <w:rPr>
      <w:b/>
      <w:bCs/>
      <w:sz w:val="28"/>
      <w:szCs w:val="28"/>
    </w:rPr>
  </w:style>
  <w:style w:type="paragraph" w:styleId="Titlu5">
    <w:name w:val="heading 5"/>
    <w:basedOn w:val="Normal"/>
    <w:next w:val="Normal"/>
    <w:link w:val="Titlu5Caracter"/>
    <w:uiPriority w:val="9"/>
    <w:semiHidden/>
    <w:unhideWhenUsed/>
    <w:qFormat/>
    <w:rsid w:val="005762E3"/>
    <w:pPr>
      <w:spacing w:before="240" w:after="60"/>
      <w:outlineLvl w:val="4"/>
    </w:pPr>
    <w:rPr>
      <w:b/>
      <w:bCs/>
      <w:i/>
      <w:iCs/>
      <w:sz w:val="26"/>
      <w:szCs w:val="26"/>
    </w:rPr>
  </w:style>
  <w:style w:type="paragraph" w:styleId="Titlu6">
    <w:name w:val="heading 6"/>
    <w:basedOn w:val="Normal"/>
    <w:next w:val="Normal"/>
    <w:link w:val="Titlu6Caracter"/>
    <w:uiPriority w:val="9"/>
    <w:semiHidden/>
    <w:unhideWhenUsed/>
    <w:qFormat/>
    <w:rsid w:val="005762E3"/>
    <w:pPr>
      <w:spacing w:before="240" w:after="60"/>
      <w:outlineLvl w:val="5"/>
    </w:pPr>
    <w:rPr>
      <w:b/>
      <w:bCs/>
      <w:sz w:val="22"/>
      <w:szCs w:val="22"/>
    </w:rPr>
  </w:style>
  <w:style w:type="paragraph" w:styleId="Titlu7">
    <w:name w:val="heading 7"/>
    <w:basedOn w:val="Normal"/>
    <w:next w:val="Normal"/>
    <w:link w:val="Titlu7Caracter"/>
    <w:uiPriority w:val="9"/>
    <w:semiHidden/>
    <w:unhideWhenUsed/>
    <w:qFormat/>
    <w:rsid w:val="005762E3"/>
    <w:pPr>
      <w:spacing w:before="240" w:after="60"/>
      <w:outlineLvl w:val="6"/>
    </w:pPr>
  </w:style>
  <w:style w:type="paragraph" w:styleId="Titlu8">
    <w:name w:val="heading 8"/>
    <w:basedOn w:val="Normal"/>
    <w:next w:val="Normal"/>
    <w:link w:val="Titlu8Caracter"/>
    <w:uiPriority w:val="9"/>
    <w:semiHidden/>
    <w:unhideWhenUsed/>
    <w:qFormat/>
    <w:rsid w:val="005762E3"/>
    <w:pPr>
      <w:spacing w:before="240" w:after="60"/>
      <w:outlineLvl w:val="7"/>
    </w:pPr>
    <w:rPr>
      <w:i/>
      <w:iCs/>
    </w:rPr>
  </w:style>
  <w:style w:type="paragraph" w:styleId="Titlu9">
    <w:name w:val="heading 9"/>
    <w:basedOn w:val="Normal"/>
    <w:next w:val="Normal"/>
    <w:link w:val="Titlu9Caracte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762E3"/>
    <w:rPr>
      <w:rFonts w:ascii="Arial" w:eastAsiaTheme="majorEastAsia" w:hAnsi="Arial" w:cs="Arial"/>
      <w:b/>
      <w:bCs/>
      <w:kern w:val="32"/>
      <w:sz w:val="32"/>
      <w:szCs w:val="32"/>
    </w:rPr>
  </w:style>
  <w:style w:type="character" w:customStyle="1" w:styleId="Titlu2Caracter">
    <w:name w:val="Titlu 2 Caracter"/>
    <w:basedOn w:val="Fontdeparagrafimplicit"/>
    <w:link w:val="Titlu2"/>
    <w:uiPriority w:val="9"/>
    <w:semiHidden/>
    <w:rsid w:val="005762E3"/>
    <w:rPr>
      <w:rFonts w:ascii="Arial" w:eastAsiaTheme="majorEastAsia" w:hAnsi="Arial" w:cs="Arial"/>
      <w:b/>
      <w:bCs/>
      <w:i/>
      <w:iCs/>
      <w:sz w:val="28"/>
      <w:szCs w:val="28"/>
    </w:rPr>
  </w:style>
  <w:style w:type="character" w:customStyle="1" w:styleId="Titlu3Caracter">
    <w:name w:val="Titlu 3 Caracter"/>
    <w:basedOn w:val="Fontdeparagrafimplicit"/>
    <w:link w:val="Titlu3"/>
    <w:uiPriority w:val="9"/>
    <w:semiHidden/>
    <w:rsid w:val="005762E3"/>
    <w:rPr>
      <w:rFonts w:ascii="Arial" w:eastAsiaTheme="majorEastAsia" w:hAnsi="Arial" w:cs="Arial"/>
      <w:b/>
      <w:bCs/>
      <w:sz w:val="26"/>
      <w:szCs w:val="26"/>
    </w:rPr>
  </w:style>
  <w:style w:type="character" w:customStyle="1" w:styleId="Titlu4Caracter">
    <w:name w:val="Titlu 4 Caracter"/>
    <w:basedOn w:val="Fontdeparagrafimplicit"/>
    <w:link w:val="Titlu4"/>
    <w:uiPriority w:val="9"/>
    <w:semiHidden/>
    <w:rsid w:val="005762E3"/>
    <w:rPr>
      <w:b/>
      <w:bCs/>
      <w:sz w:val="28"/>
      <w:szCs w:val="28"/>
    </w:rPr>
  </w:style>
  <w:style w:type="character" w:customStyle="1" w:styleId="Titlu5Caracter">
    <w:name w:val="Titlu 5 Caracter"/>
    <w:basedOn w:val="Fontdeparagrafimplicit"/>
    <w:link w:val="Titlu5"/>
    <w:uiPriority w:val="9"/>
    <w:semiHidden/>
    <w:rsid w:val="005762E3"/>
    <w:rPr>
      <w:b/>
      <w:bCs/>
      <w:i/>
      <w:iCs/>
      <w:sz w:val="26"/>
      <w:szCs w:val="26"/>
    </w:rPr>
  </w:style>
  <w:style w:type="character" w:customStyle="1" w:styleId="Titlu6Caracter">
    <w:name w:val="Titlu 6 Caracter"/>
    <w:basedOn w:val="Fontdeparagrafimplicit"/>
    <w:link w:val="Titlu6"/>
    <w:uiPriority w:val="9"/>
    <w:semiHidden/>
    <w:rsid w:val="005762E3"/>
    <w:rPr>
      <w:b/>
      <w:bCs/>
    </w:rPr>
  </w:style>
  <w:style w:type="character" w:customStyle="1" w:styleId="Titlu7Caracter">
    <w:name w:val="Titlu 7 Caracter"/>
    <w:basedOn w:val="Fontdeparagrafimplicit"/>
    <w:link w:val="Titlu7"/>
    <w:uiPriority w:val="9"/>
    <w:semiHidden/>
    <w:rsid w:val="005762E3"/>
    <w:rPr>
      <w:sz w:val="24"/>
      <w:szCs w:val="24"/>
    </w:rPr>
  </w:style>
  <w:style w:type="character" w:customStyle="1" w:styleId="Titlu8Caracter">
    <w:name w:val="Titlu 8 Caracter"/>
    <w:basedOn w:val="Fontdeparagrafimplicit"/>
    <w:link w:val="Titlu8"/>
    <w:uiPriority w:val="9"/>
    <w:semiHidden/>
    <w:rsid w:val="005762E3"/>
    <w:rPr>
      <w:i/>
      <w:iCs/>
      <w:sz w:val="24"/>
      <w:szCs w:val="24"/>
    </w:rPr>
  </w:style>
  <w:style w:type="character" w:customStyle="1" w:styleId="Titlu9Caracter">
    <w:name w:val="Titlu 9 Caracter"/>
    <w:basedOn w:val="Fontdeparagrafimplicit"/>
    <w:link w:val="Titlu9"/>
    <w:uiPriority w:val="9"/>
    <w:semiHidden/>
    <w:rsid w:val="005762E3"/>
    <w:rPr>
      <w:rFonts w:asciiTheme="majorHAnsi" w:eastAsiaTheme="majorEastAsia" w:hAnsiTheme="majorHAnsi"/>
    </w:rPr>
  </w:style>
  <w:style w:type="paragraph" w:styleId="Titlu">
    <w:name w:val="Title"/>
    <w:basedOn w:val="Normal"/>
    <w:next w:val="Normal"/>
    <w:link w:val="TitluCaracte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uCaracter">
    <w:name w:val="Titlu Caracter"/>
    <w:basedOn w:val="Fontdeparagrafimplicit"/>
    <w:link w:val="Titlu"/>
    <w:uiPriority w:val="10"/>
    <w:rsid w:val="005762E3"/>
    <w:rPr>
      <w:rFonts w:ascii="Arial" w:eastAsiaTheme="majorEastAsia" w:hAnsi="Arial" w:cs="Arial"/>
      <w:b/>
      <w:bCs/>
      <w:kern w:val="28"/>
      <w:sz w:val="32"/>
      <w:szCs w:val="32"/>
    </w:rPr>
  </w:style>
  <w:style w:type="paragraph" w:styleId="Subtitlu">
    <w:name w:val="Subtitle"/>
    <w:basedOn w:val="Normal"/>
    <w:next w:val="Normal"/>
    <w:link w:val="SubtitluCaracter"/>
    <w:uiPriority w:val="11"/>
    <w:qFormat/>
    <w:rsid w:val="005762E3"/>
    <w:pPr>
      <w:spacing w:after="60"/>
      <w:jc w:val="center"/>
      <w:outlineLvl w:val="1"/>
    </w:pPr>
    <w:rPr>
      <w:rFonts w:ascii="Arial" w:eastAsiaTheme="majorEastAsia" w:hAnsi="Arial" w:cs="Arial"/>
    </w:rPr>
  </w:style>
  <w:style w:type="character" w:customStyle="1" w:styleId="SubtitluCaracter">
    <w:name w:val="Subtitlu Caracter"/>
    <w:basedOn w:val="Fontdeparagrafimplicit"/>
    <w:link w:val="Subtitlu"/>
    <w:uiPriority w:val="11"/>
    <w:rsid w:val="005762E3"/>
    <w:rPr>
      <w:rFonts w:ascii="Arial" w:eastAsiaTheme="majorEastAsia" w:hAnsi="Arial" w:cs="Arial"/>
      <w:sz w:val="24"/>
      <w:szCs w:val="24"/>
    </w:rPr>
  </w:style>
  <w:style w:type="character" w:styleId="Robust">
    <w:name w:val="Strong"/>
    <w:basedOn w:val="Fontdeparagrafimplicit"/>
    <w:uiPriority w:val="22"/>
    <w:qFormat/>
    <w:rsid w:val="005762E3"/>
    <w:rPr>
      <w:b/>
      <w:bCs/>
    </w:rPr>
  </w:style>
  <w:style w:type="character" w:styleId="Accentuat">
    <w:name w:val="Emphasis"/>
    <w:basedOn w:val="Fontdeparagrafimplicit"/>
    <w:uiPriority w:val="20"/>
    <w:qFormat/>
    <w:rsid w:val="005762E3"/>
    <w:rPr>
      <w:rFonts w:asciiTheme="minorHAnsi" w:hAnsiTheme="minorHAnsi"/>
      <w:b/>
      <w:i/>
      <w:iCs/>
    </w:rPr>
  </w:style>
  <w:style w:type="paragraph" w:styleId="Frspaiere">
    <w:name w:val="No Spacing"/>
    <w:basedOn w:val="Normal"/>
    <w:uiPriority w:val="1"/>
    <w:qFormat/>
    <w:rsid w:val="005762E3"/>
    <w:rPr>
      <w:szCs w:val="32"/>
    </w:rPr>
  </w:style>
  <w:style w:type="paragraph" w:styleId="Listparagraf">
    <w:name w:val="List Paragraph"/>
    <w:basedOn w:val="Normal"/>
    <w:uiPriority w:val="34"/>
    <w:qFormat/>
    <w:rsid w:val="005762E3"/>
    <w:pPr>
      <w:ind w:left="720"/>
      <w:contextualSpacing/>
    </w:pPr>
  </w:style>
  <w:style w:type="paragraph" w:styleId="Citat">
    <w:name w:val="Quote"/>
    <w:basedOn w:val="Normal"/>
    <w:next w:val="Normal"/>
    <w:link w:val="CitatCaracter"/>
    <w:uiPriority w:val="29"/>
    <w:qFormat/>
    <w:rsid w:val="005762E3"/>
    <w:rPr>
      <w:i/>
    </w:rPr>
  </w:style>
  <w:style w:type="character" w:customStyle="1" w:styleId="CitatCaracter">
    <w:name w:val="Citat Caracter"/>
    <w:basedOn w:val="Fontdeparagrafimplicit"/>
    <w:link w:val="Citat"/>
    <w:uiPriority w:val="29"/>
    <w:rsid w:val="005762E3"/>
    <w:rPr>
      <w:i/>
      <w:sz w:val="24"/>
      <w:szCs w:val="24"/>
    </w:rPr>
  </w:style>
  <w:style w:type="paragraph" w:styleId="Citatintens">
    <w:name w:val="Intense Quote"/>
    <w:basedOn w:val="Normal"/>
    <w:next w:val="Normal"/>
    <w:link w:val="CitatintensCaracter"/>
    <w:uiPriority w:val="30"/>
    <w:qFormat/>
    <w:rsid w:val="005762E3"/>
    <w:pPr>
      <w:ind w:left="720" w:right="720"/>
    </w:pPr>
    <w:rPr>
      <w:b/>
      <w:i/>
      <w:szCs w:val="22"/>
    </w:rPr>
  </w:style>
  <w:style w:type="character" w:customStyle="1" w:styleId="CitatintensCaracter">
    <w:name w:val="Citat intens Caracter"/>
    <w:basedOn w:val="Fontdeparagrafimplicit"/>
    <w:link w:val="Citatintens"/>
    <w:uiPriority w:val="30"/>
    <w:rsid w:val="005762E3"/>
    <w:rPr>
      <w:b/>
      <w:i/>
      <w:sz w:val="24"/>
    </w:rPr>
  </w:style>
  <w:style w:type="character" w:styleId="Accentuaresubtil">
    <w:name w:val="Subtle Emphasis"/>
    <w:uiPriority w:val="19"/>
    <w:qFormat/>
    <w:rsid w:val="005762E3"/>
    <w:rPr>
      <w:i/>
      <w:color w:val="5A5A5A" w:themeColor="text1" w:themeTint="A5"/>
    </w:rPr>
  </w:style>
  <w:style w:type="character" w:styleId="Accentuareintens">
    <w:name w:val="Intense Emphasis"/>
    <w:basedOn w:val="Fontdeparagrafimplicit"/>
    <w:uiPriority w:val="21"/>
    <w:qFormat/>
    <w:rsid w:val="005762E3"/>
    <w:rPr>
      <w:b/>
      <w:i/>
      <w:sz w:val="24"/>
      <w:szCs w:val="24"/>
      <w:u w:val="single"/>
    </w:rPr>
  </w:style>
  <w:style w:type="character" w:styleId="Referiresubtil">
    <w:name w:val="Subtle Reference"/>
    <w:basedOn w:val="Fontdeparagrafimplicit"/>
    <w:uiPriority w:val="31"/>
    <w:qFormat/>
    <w:rsid w:val="005762E3"/>
    <w:rPr>
      <w:sz w:val="24"/>
      <w:szCs w:val="24"/>
      <w:u w:val="single"/>
    </w:rPr>
  </w:style>
  <w:style w:type="character" w:styleId="Referireintens">
    <w:name w:val="Intense Reference"/>
    <w:basedOn w:val="Fontdeparagrafimplicit"/>
    <w:uiPriority w:val="32"/>
    <w:qFormat/>
    <w:rsid w:val="005762E3"/>
    <w:rPr>
      <w:b/>
      <w:sz w:val="24"/>
      <w:u w:val="single"/>
    </w:rPr>
  </w:style>
  <w:style w:type="character" w:styleId="Titlulcrii">
    <w:name w:val="Book Title"/>
    <w:basedOn w:val="Fontdeparagrafimplicit"/>
    <w:uiPriority w:val="33"/>
    <w:qFormat/>
    <w:rsid w:val="005762E3"/>
    <w:rPr>
      <w:rFonts w:asciiTheme="majorHAnsi" w:eastAsiaTheme="majorEastAsia" w:hAnsiTheme="majorHAnsi"/>
      <w:b/>
      <w:i/>
      <w:sz w:val="24"/>
      <w:szCs w:val="24"/>
    </w:rPr>
  </w:style>
  <w:style w:type="paragraph" w:styleId="Titlucuprins">
    <w:name w:val="TOC Heading"/>
    <w:basedOn w:val="Titlu1"/>
    <w:next w:val="Normal"/>
    <w:uiPriority w:val="39"/>
    <w:semiHidden/>
    <w:unhideWhenUsed/>
    <w:qFormat/>
    <w:rsid w:val="005762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752</Words>
  <Characters>4364</Characters>
  <Application>Microsoft Office Word</Application>
  <DocSecurity>0</DocSecurity>
  <Lines>36</Lines>
  <Paragraphs>10</Paragraphs>
  <ScaleCrop>false</ScaleCrop>
  <Company>European Parliament</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DÎNCU Vasile</dc:creator>
  <cp:keywords/>
  <dc:description/>
  <cp:lastModifiedBy>Eugen Constantin</cp:lastModifiedBy>
  <cp:revision>2</cp:revision>
  <dcterms:created xsi:type="dcterms:W3CDTF">2025-09-01T12:28:00Z</dcterms:created>
  <dcterms:modified xsi:type="dcterms:W3CDTF">2025-09-02T13:51:00Z</dcterms:modified>
</cp:coreProperties>
</file>