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Expunere de motive</w:t>
      </w:r>
    </w:p>
    <w:p w:rsidR="00000000" w:rsidDel="00000000" w:rsidP="00000000" w:rsidRDefault="00000000" w:rsidRPr="00000000" w14:paraId="00000002">
      <w:pPr>
        <w:jc w:val="center"/>
        <w:rPr>
          <w:b w:val="1"/>
        </w:rPr>
      </w:pPr>
      <w:r w:rsidDel="00000000" w:rsidR="00000000" w:rsidRPr="00000000">
        <w:rPr>
          <w:b w:val="1"/>
          <w:rtl w:val="0"/>
        </w:rPr>
        <w:t xml:space="preserve">Lege pentru prevenirea și combaterea femicidelor și a violențelor care le preced</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numPr>
          <w:ilvl w:val="0"/>
          <w:numId w:val="3"/>
        </w:numPr>
        <w:ind w:left="720" w:hanging="360"/>
        <w:jc w:val="both"/>
        <w:rPr>
          <w:b w:val="1"/>
        </w:rPr>
      </w:pPr>
      <w:r w:rsidDel="00000000" w:rsidR="00000000" w:rsidRPr="00000000">
        <w:rPr>
          <w:b w:val="1"/>
          <w:rtl w:val="0"/>
        </w:rPr>
        <w:t xml:space="preserve">DESCRIEREA SITUAȚIEI </w:t>
      </w:r>
      <w:r w:rsidDel="00000000" w:rsidR="00000000" w:rsidRPr="00000000">
        <w:rPr>
          <w:b w:val="1"/>
          <w:rtl w:val="0"/>
        </w:rPr>
        <w:t xml:space="preserve">ACTUALE</w:t>
      </w:r>
      <w:r w:rsidDel="00000000" w:rsidR="00000000" w:rsidRPr="00000000">
        <w:rPr>
          <w:rtl w:val="0"/>
        </w:rPr>
      </w:r>
    </w:p>
    <w:p w:rsidR="00000000" w:rsidDel="00000000" w:rsidP="00000000" w:rsidRDefault="00000000" w:rsidRPr="00000000" w14:paraId="00000006">
      <w:pPr>
        <w:ind w:left="0" w:firstLine="0"/>
        <w:jc w:val="both"/>
        <w:rPr/>
      </w:pPr>
      <w:r w:rsidDel="00000000" w:rsidR="00000000" w:rsidRPr="00000000">
        <w:rPr>
          <w:rtl w:val="0"/>
        </w:rPr>
      </w:r>
    </w:p>
    <w:p w:rsidR="00000000" w:rsidDel="00000000" w:rsidP="00000000" w:rsidRDefault="00000000" w:rsidRPr="00000000" w14:paraId="00000007">
      <w:pPr>
        <w:ind w:left="0" w:firstLine="0"/>
        <w:jc w:val="both"/>
        <w:rPr/>
      </w:pPr>
      <w:r w:rsidDel="00000000" w:rsidR="00000000" w:rsidRPr="00000000">
        <w:rPr>
          <w:rtl w:val="0"/>
        </w:rPr>
        <w:t xml:space="preserve">Creșterea numărului cazurilor de omor împotriva femeilor, săvârșite cu violență, în prezența copiilor, în spațiul public a alarmat întreaga societate, fiind înregistrate deja </w:t>
      </w:r>
      <w:r w:rsidDel="00000000" w:rsidR="00000000" w:rsidRPr="00000000">
        <w:rPr>
          <w:rtl w:val="0"/>
        </w:rPr>
        <w:t xml:space="preserve">cel puțin 40 de</w:t>
      </w:r>
      <w:r w:rsidDel="00000000" w:rsidR="00000000" w:rsidRPr="00000000">
        <w:rPr>
          <w:rtl w:val="0"/>
        </w:rPr>
        <w:t xml:space="preserve"> astfel de cazuri numai </w:t>
      </w:r>
      <w:r w:rsidDel="00000000" w:rsidR="00000000" w:rsidRPr="00000000">
        <w:rPr>
          <w:rtl w:val="0"/>
        </w:rPr>
        <w:t xml:space="preserve">în primele 8 luni ale anului </w:t>
      </w:r>
      <w:r w:rsidDel="00000000" w:rsidR="00000000" w:rsidRPr="00000000">
        <w:rPr>
          <w:rtl w:val="0"/>
        </w:rPr>
        <w:t xml:space="preserve">în anul </w:t>
      </w:r>
      <w:r w:rsidDel="00000000" w:rsidR="00000000" w:rsidRPr="00000000">
        <w:rPr>
          <w:rtl w:val="0"/>
        </w:rPr>
        <w:t xml:space="preserve">2025</w:t>
      </w:r>
      <w:r w:rsidDel="00000000" w:rsidR="00000000" w:rsidRPr="00000000">
        <w:rPr>
          <w:rtl w:val="0"/>
        </w:rPr>
        <w:t xml:space="preserve">. </w:t>
      </w:r>
      <w:r w:rsidDel="00000000" w:rsidR="00000000" w:rsidRPr="00000000">
        <w:rPr>
          <w:rtl w:val="0"/>
        </w:rPr>
        <w:t xml:space="preserve">Situația este cu atât mai îngrijorătoare, cu cât din cele 33 de infracțiuni de omor comis asupra unui membru de familie înregistrate de IGPR în cele 8 luni ale anului 2025, 69% au fost femicide  comise de un membru al familiei (23 de femei/fete ucise)</w:t>
      </w:r>
      <w:r w:rsidDel="00000000" w:rsidR="00000000" w:rsidRPr="00000000">
        <w:rPr>
          <w:vertAlign w:val="superscript"/>
        </w:rPr>
        <w:footnoteReference w:customMarkFollows="0" w:id="0"/>
      </w:r>
      <w:r w:rsidDel="00000000" w:rsidR="00000000" w:rsidRPr="00000000">
        <w:rPr>
          <w:rtl w:val="0"/>
        </w:rPr>
        <w:t xml:space="preserve">. În medie, aproximativ 3 cazuri de femei/fete ucise pe lună de un membru de familie. Dacă media aceasta se menține și pentru următoarele luni, atunci numărul femicidelor comise de un membru al familiei va fi mai mare decât în anii anteriori. Pe de altă parte, creșterea numărului de femei ucise de un membru al familiei nu este întâmplătoare, în fapt tendința din acest an (2025) confirmă tendința de creștere înregistrată încă din 2024 (31 femei/fete ucise de un membru de familie), în comparație cu numărul femicidelor comise de un membru de familie în 2023 (25 de femei/fete ucise)</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08">
      <w:pPr>
        <w:ind w:left="0" w:firstLine="0"/>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La</w:t>
      </w:r>
      <w:r w:rsidDel="00000000" w:rsidR="00000000" w:rsidRPr="00000000">
        <w:rPr>
          <w:rtl w:val="0"/>
        </w:rPr>
        <w:t xml:space="preserve"> nivel internațional, profesioniștii din diverse domenii definesc diferit femicidul. Organizația Mondială a Sănătății menționează existența unei definiții restrânse a femicidului și a unei definiții extinse a femicidului</w:t>
      </w:r>
      <w:r w:rsidDel="00000000" w:rsidR="00000000" w:rsidRPr="00000000">
        <w:rPr>
          <w:vertAlign w:val="superscript"/>
        </w:rPr>
        <w:footnoteReference w:customMarkFollows="0" w:id="2"/>
      </w:r>
      <w:r w:rsidDel="00000000" w:rsidR="00000000" w:rsidRPr="00000000">
        <w:rPr>
          <w:rtl w:val="0"/>
        </w:rPr>
        <w:t xml:space="preserve">. În sens restrâns, femicidul reprezintă “uciderea cu intenție a unei femei pentru că este femeie”</w:t>
      </w:r>
      <w:r w:rsidDel="00000000" w:rsidR="00000000" w:rsidRPr="00000000">
        <w:rPr>
          <w:vertAlign w:val="superscript"/>
        </w:rPr>
        <w:footnoteReference w:customMarkFollows="0" w:id="3"/>
      </w:r>
      <w:r w:rsidDel="00000000" w:rsidR="00000000" w:rsidRPr="00000000">
        <w:rPr>
          <w:rtl w:val="0"/>
        </w:rPr>
        <w:t xml:space="preserve">. În sens larg, femicidul  este “orice omor comis asupra unei fetițe sau femei”</w:t>
      </w:r>
      <w:r w:rsidDel="00000000" w:rsidR="00000000" w:rsidRPr="00000000">
        <w:rPr>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0A">
      <w:pPr>
        <w:ind w:left="0" w:firstLine="0"/>
        <w:jc w:val="both"/>
        <w:rPr/>
      </w:pPr>
      <w:r w:rsidDel="00000000" w:rsidR="00000000" w:rsidRPr="00000000">
        <w:rPr>
          <w:rtl w:val="0"/>
        </w:rPr>
      </w:r>
    </w:p>
    <w:p w:rsidR="00000000" w:rsidDel="00000000" w:rsidP="00000000" w:rsidRDefault="00000000" w:rsidRPr="00000000" w14:paraId="0000000B">
      <w:pPr>
        <w:ind w:left="0" w:firstLine="0"/>
        <w:jc w:val="both"/>
        <w:rPr/>
      </w:pPr>
      <w:r w:rsidDel="00000000" w:rsidR="00000000" w:rsidRPr="00000000">
        <w:rPr>
          <w:rtl w:val="0"/>
        </w:rPr>
        <w:t xml:space="preserve">Un document internațional important pentru delimitarea sferei femicidului îl reprezintă </w:t>
      </w:r>
      <w:r w:rsidDel="00000000" w:rsidR="00000000" w:rsidRPr="00000000">
        <w:rPr>
          <w:i w:val="1"/>
          <w:rtl w:val="0"/>
        </w:rPr>
        <w:t xml:space="preserve">Declarația de la Viena</w:t>
      </w:r>
      <w:r w:rsidDel="00000000" w:rsidR="00000000" w:rsidRPr="00000000">
        <w:rPr>
          <w:rtl w:val="0"/>
        </w:rPr>
        <w:t xml:space="preserve"> a Organizației Națiunilor Unite (2013)</w:t>
      </w:r>
      <w:r w:rsidDel="00000000" w:rsidR="00000000" w:rsidRPr="00000000">
        <w:rPr>
          <w:vertAlign w:val="superscript"/>
        </w:rPr>
        <w:footnoteReference w:customMarkFollows="0" w:id="5"/>
      </w:r>
      <w:r w:rsidDel="00000000" w:rsidR="00000000" w:rsidRPr="00000000">
        <w:rPr>
          <w:rtl w:val="0"/>
        </w:rPr>
        <w:t xml:space="preserve">, în cadrul căreia femicidul este ”uciderea unei femei sau fete pe criteriu de gen”, care poate lua forma:</w:t>
      </w:r>
    </w:p>
    <w:p w:rsidR="00000000" w:rsidDel="00000000" w:rsidP="00000000" w:rsidRDefault="00000000" w:rsidRPr="00000000" w14:paraId="0000000C">
      <w:pPr>
        <w:numPr>
          <w:ilvl w:val="0"/>
          <w:numId w:val="2"/>
        </w:numPr>
        <w:ind w:left="1440" w:hanging="360"/>
        <w:jc w:val="both"/>
        <w:rPr/>
      </w:pPr>
      <w:r w:rsidDel="00000000" w:rsidR="00000000" w:rsidRPr="00000000">
        <w:rPr>
          <w:rtl w:val="0"/>
        </w:rPr>
        <w:t xml:space="preserve">Uciderea femeilor ca rezultat al violenței între </w:t>
      </w:r>
      <w:r w:rsidDel="00000000" w:rsidR="00000000" w:rsidRPr="00000000">
        <w:rPr>
          <w:rtl w:val="0"/>
        </w:rPr>
        <w:t xml:space="preserve">parteneri</w:t>
      </w:r>
      <w:r w:rsidDel="00000000" w:rsidR="00000000" w:rsidRPr="00000000">
        <w:rPr>
          <w:rtl w:val="0"/>
        </w:rPr>
        <w:t xml:space="preserve">i </w:t>
      </w:r>
      <w:r w:rsidDel="00000000" w:rsidR="00000000" w:rsidRPr="00000000">
        <w:rPr>
          <w:rtl w:val="0"/>
        </w:rPr>
        <w:t xml:space="preserve">intimi</w:t>
      </w:r>
      <w:r w:rsidDel="00000000" w:rsidR="00000000" w:rsidRPr="00000000">
        <w:rPr>
          <w:rtl w:val="0"/>
        </w:rPr>
        <w:t xml:space="preserve">;</w:t>
      </w:r>
    </w:p>
    <w:p w:rsidR="00000000" w:rsidDel="00000000" w:rsidP="00000000" w:rsidRDefault="00000000" w:rsidRPr="00000000" w14:paraId="0000000D">
      <w:pPr>
        <w:numPr>
          <w:ilvl w:val="0"/>
          <w:numId w:val="2"/>
        </w:numPr>
        <w:ind w:left="1440" w:hanging="360"/>
        <w:jc w:val="both"/>
        <w:rPr/>
      </w:pPr>
      <w:r w:rsidDel="00000000" w:rsidR="00000000" w:rsidRPr="00000000">
        <w:rPr>
          <w:rtl w:val="0"/>
        </w:rPr>
        <w:t xml:space="preserve">Torturarea și uciderea femeilor din motivații misogine;</w:t>
      </w:r>
    </w:p>
    <w:p w:rsidR="00000000" w:rsidDel="00000000" w:rsidP="00000000" w:rsidRDefault="00000000" w:rsidRPr="00000000" w14:paraId="0000000E">
      <w:pPr>
        <w:numPr>
          <w:ilvl w:val="0"/>
          <w:numId w:val="2"/>
        </w:numPr>
        <w:ind w:left="1440" w:hanging="360"/>
        <w:jc w:val="both"/>
        <w:rPr/>
      </w:pPr>
      <w:r w:rsidDel="00000000" w:rsidR="00000000" w:rsidRPr="00000000">
        <w:rPr>
          <w:rtl w:val="0"/>
        </w:rPr>
        <w:t xml:space="preserve">Uciderea femeilor și fetelor în numele ”onoarei”;</w:t>
      </w:r>
    </w:p>
    <w:p w:rsidR="00000000" w:rsidDel="00000000" w:rsidP="00000000" w:rsidRDefault="00000000" w:rsidRPr="00000000" w14:paraId="0000000F">
      <w:pPr>
        <w:numPr>
          <w:ilvl w:val="0"/>
          <w:numId w:val="2"/>
        </w:numPr>
        <w:ind w:left="1440" w:hanging="360"/>
        <w:jc w:val="both"/>
        <w:rPr/>
      </w:pPr>
      <w:r w:rsidDel="00000000" w:rsidR="00000000" w:rsidRPr="00000000">
        <w:rPr>
          <w:rtl w:val="0"/>
        </w:rPr>
        <w:t xml:space="preserve">Uciderea deliberată a femeilor și fetelor în contextul conflictelor armate;</w:t>
      </w:r>
    </w:p>
    <w:p w:rsidR="00000000" w:rsidDel="00000000" w:rsidP="00000000" w:rsidRDefault="00000000" w:rsidRPr="00000000" w14:paraId="00000010">
      <w:pPr>
        <w:numPr>
          <w:ilvl w:val="0"/>
          <w:numId w:val="2"/>
        </w:numPr>
        <w:ind w:left="1440" w:hanging="360"/>
        <w:jc w:val="both"/>
        <w:rPr/>
      </w:pPr>
      <w:r w:rsidDel="00000000" w:rsidR="00000000" w:rsidRPr="00000000">
        <w:rPr>
          <w:rtl w:val="0"/>
        </w:rPr>
        <w:t xml:space="preserve">Uciderea femeilor motivată de zestre;</w:t>
      </w:r>
    </w:p>
    <w:p w:rsidR="00000000" w:rsidDel="00000000" w:rsidP="00000000" w:rsidRDefault="00000000" w:rsidRPr="00000000" w14:paraId="00000011">
      <w:pPr>
        <w:numPr>
          <w:ilvl w:val="0"/>
          <w:numId w:val="2"/>
        </w:numPr>
        <w:ind w:left="1440" w:hanging="360"/>
        <w:jc w:val="both"/>
        <w:rPr/>
      </w:pPr>
      <w:r w:rsidDel="00000000" w:rsidR="00000000" w:rsidRPr="00000000">
        <w:rPr>
          <w:rtl w:val="0"/>
        </w:rPr>
        <w:t xml:space="preserve">Uciderea femeilor și fetelor motivată de orientarea lor sexuală sau de identitatea de gen;</w:t>
      </w:r>
    </w:p>
    <w:p w:rsidR="00000000" w:rsidDel="00000000" w:rsidP="00000000" w:rsidRDefault="00000000" w:rsidRPr="00000000" w14:paraId="00000012">
      <w:pPr>
        <w:numPr>
          <w:ilvl w:val="0"/>
          <w:numId w:val="2"/>
        </w:numPr>
        <w:ind w:left="1440" w:hanging="360"/>
        <w:jc w:val="both"/>
        <w:rPr/>
      </w:pPr>
      <w:r w:rsidDel="00000000" w:rsidR="00000000" w:rsidRPr="00000000">
        <w:rPr>
          <w:rtl w:val="0"/>
        </w:rPr>
        <w:t xml:space="preserve">Uciderea fetițelor nou-născute și avorturile selective ale fetușilor de gen feminin; </w:t>
      </w:r>
    </w:p>
    <w:p w:rsidR="00000000" w:rsidDel="00000000" w:rsidP="00000000" w:rsidRDefault="00000000" w:rsidRPr="00000000" w14:paraId="00000013">
      <w:pPr>
        <w:numPr>
          <w:ilvl w:val="0"/>
          <w:numId w:val="2"/>
        </w:numPr>
        <w:ind w:left="1440" w:hanging="360"/>
        <w:jc w:val="both"/>
        <w:rPr/>
      </w:pPr>
      <w:r w:rsidDel="00000000" w:rsidR="00000000" w:rsidRPr="00000000">
        <w:rPr>
          <w:rtl w:val="0"/>
        </w:rPr>
        <w:t xml:space="preserve">Mutilările genitale care au provocat moartea; </w:t>
      </w:r>
    </w:p>
    <w:p w:rsidR="00000000" w:rsidDel="00000000" w:rsidP="00000000" w:rsidRDefault="00000000" w:rsidRPr="00000000" w14:paraId="00000014">
      <w:pPr>
        <w:numPr>
          <w:ilvl w:val="0"/>
          <w:numId w:val="2"/>
        </w:numPr>
        <w:ind w:left="1440" w:hanging="360"/>
        <w:jc w:val="both"/>
        <w:rPr/>
      </w:pPr>
      <w:r w:rsidDel="00000000" w:rsidR="00000000" w:rsidRPr="00000000">
        <w:rPr>
          <w:rtl w:val="0"/>
        </w:rPr>
        <w:t xml:space="preserve">Uciderea ca urmare a a</w:t>
      </w:r>
      <w:r w:rsidDel="00000000" w:rsidR="00000000" w:rsidRPr="00000000">
        <w:rPr>
          <w:rtl w:val="0"/>
        </w:rPr>
        <w:t xml:space="preserve">cuzațiilor de vrăjitorie</w:t>
      </w:r>
      <w:r w:rsidDel="00000000" w:rsidR="00000000" w:rsidRPr="00000000">
        <w:rPr>
          <w:rtl w:val="0"/>
        </w:rPr>
        <w:t xml:space="preserve">;</w:t>
      </w:r>
    </w:p>
    <w:p w:rsidR="00000000" w:rsidDel="00000000" w:rsidP="00000000" w:rsidRDefault="00000000" w:rsidRPr="00000000" w14:paraId="00000015">
      <w:pPr>
        <w:numPr>
          <w:ilvl w:val="0"/>
          <w:numId w:val="2"/>
        </w:numPr>
        <w:ind w:left="1440" w:hanging="360"/>
        <w:jc w:val="both"/>
        <w:rPr/>
      </w:pPr>
      <w:r w:rsidDel="00000000" w:rsidR="00000000" w:rsidRPr="00000000">
        <w:rPr>
          <w:rtl w:val="0"/>
        </w:rPr>
        <w:t xml:space="preserve">A</w:t>
      </w:r>
      <w:r w:rsidDel="00000000" w:rsidR="00000000" w:rsidRPr="00000000">
        <w:rPr>
          <w:rtl w:val="0"/>
        </w:rPr>
        <w:t xml:space="preserve">lte tipuri de femicid legate de bande, crimă organizată, traficanți de droguri, trafic de persoane și proliferarea armelor de calibru mic;</w:t>
      </w:r>
      <w:r w:rsidDel="00000000" w:rsidR="00000000" w:rsidRPr="00000000">
        <w:rPr>
          <w:rtl w:val="0"/>
        </w:rPr>
      </w:r>
    </w:p>
    <w:p w:rsidR="00000000" w:rsidDel="00000000" w:rsidP="00000000" w:rsidRDefault="00000000" w:rsidRPr="00000000" w14:paraId="00000016">
      <w:pPr>
        <w:numPr>
          <w:ilvl w:val="0"/>
          <w:numId w:val="2"/>
        </w:numPr>
        <w:ind w:left="1440" w:hanging="360"/>
        <w:jc w:val="both"/>
        <w:rPr/>
      </w:pPr>
      <w:r w:rsidDel="00000000" w:rsidR="00000000" w:rsidRPr="00000000">
        <w:rPr>
          <w:rtl w:val="0"/>
        </w:rPr>
        <w:t xml:space="preserve">Uciderea femeilor și fetelor aborigene și indigene pe criterii de gen/pe motive de gen.” </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17">
      <w:pPr>
        <w:ind w:left="0" w:firstLine="0"/>
        <w:jc w:val="both"/>
        <w:rPr>
          <w:highlight w:val="yellow"/>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Recent, din rațiuni menite să faciliteze operaționalizarea conceptului de femicid astfel încât să fie posibilă culegerea unor date statistice comparabile la nivel internațional, femicidul a fost definit ca fiind: </w:t>
      </w:r>
      <w:r w:rsidDel="00000000" w:rsidR="00000000" w:rsidRPr="00000000">
        <w:rPr>
          <w:rtl w:val="0"/>
        </w:rPr>
        <w:t xml:space="preserve">“omorul săvârșit cu intenție împotriva unei femei sau </w:t>
      </w:r>
      <w:r w:rsidDel="00000000" w:rsidR="00000000" w:rsidRPr="00000000">
        <w:rPr>
          <w:rtl w:val="0"/>
        </w:rPr>
        <w:t xml:space="preserve">fete</w:t>
      </w:r>
      <w:r w:rsidDel="00000000" w:rsidR="00000000" w:rsidRPr="00000000">
        <w:rPr>
          <w:rtl w:val="0"/>
        </w:rPr>
        <w:t xml:space="preserve">, determinat de motive legate de genul acesteia”</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019">
      <w:pPr>
        <w:ind w:left="0" w:firstLine="0"/>
        <w:jc w:val="both"/>
        <w:rPr>
          <w:color w:val="4d4d4d"/>
          <w:highlight w:val="yellow"/>
        </w:rPr>
      </w:pPr>
      <w:r w:rsidDel="00000000" w:rsidR="00000000" w:rsidRPr="00000000">
        <w:rPr>
          <w:rtl w:val="0"/>
        </w:rPr>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1.1 La nivel internațional</w:t>
      </w:r>
    </w:p>
    <w:p w:rsidR="00000000" w:rsidDel="00000000" w:rsidP="00000000" w:rsidRDefault="00000000" w:rsidRPr="00000000" w14:paraId="0000001C">
      <w:pPr>
        <w:spacing w:before="100" w:lineRule="auto"/>
        <w:jc w:val="both"/>
        <w:rPr/>
      </w:pPr>
      <w:r w:rsidDel="00000000" w:rsidR="00000000" w:rsidRPr="00000000">
        <w:rPr>
          <w:rtl w:val="0"/>
        </w:rPr>
        <w:t xml:space="preserve">Agenda pentru Dezvoltare Durabilă 2030 a stabilit drept obiectiv global “reducerea semnificativă a tuturor formelor de violență și a ratelor omorurilor asociate acestora”(16.1)</w:t>
      </w:r>
      <w:r w:rsidDel="00000000" w:rsidR="00000000" w:rsidRPr="00000000">
        <w:rPr>
          <w:vertAlign w:val="superscript"/>
        </w:rPr>
        <w:footnoteReference w:customMarkFollows="0" w:id="8"/>
      </w:r>
      <w:r w:rsidDel="00000000" w:rsidR="00000000" w:rsidRPr="00000000">
        <w:rPr>
          <w:rtl w:val="0"/>
        </w:rPr>
        <w:t xml:space="preserve">. </w:t>
      </w:r>
    </w:p>
    <w:p w:rsidR="00000000" w:rsidDel="00000000" w:rsidP="00000000" w:rsidRDefault="00000000" w:rsidRPr="00000000" w14:paraId="0000001D">
      <w:pPr>
        <w:spacing w:before="100" w:lineRule="auto"/>
        <w:jc w:val="both"/>
        <w:rPr/>
      </w:pPr>
      <w:r w:rsidDel="00000000" w:rsidR="00000000" w:rsidRPr="00000000">
        <w:rPr>
          <w:rtl w:val="0"/>
        </w:rPr>
        <w:t xml:space="preserve">În acest context, deși multe dintre statele lumii fac eforturi pentru reducerea ratei omorurilor, ritmul de scădere a ratei omorurilor la nivel mondial este lent. Rata omorurilor înregistrată la nivel mondial în 2021 a fost de 5,8/100.000, în comparație cu 5,9/100.000 în 2015</w:t>
      </w:r>
      <w:r w:rsidDel="00000000" w:rsidR="00000000" w:rsidRPr="00000000">
        <w:rPr>
          <w:vertAlign w:val="superscript"/>
        </w:rPr>
        <w:footnoteReference w:customMarkFollows="0" w:id="9"/>
      </w:r>
      <w:r w:rsidDel="00000000" w:rsidR="00000000" w:rsidRPr="00000000">
        <w:rPr>
          <w:rtl w:val="0"/>
        </w:rPr>
        <w:t xml:space="preserve">.</w:t>
      </w:r>
    </w:p>
    <w:p w:rsidR="00000000" w:rsidDel="00000000" w:rsidP="00000000" w:rsidRDefault="00000000" w:rsidRPr="00000000" w14:paraId="0000001E">
      <w:pPr>
        <w:spacing w:before="100" w:lineRule="auto"/>
        <w:jc w:val="both"/>
        <w:rPr/>
      </w:pPr>
      <w:r w:rsidDel="00000000" w:rsidR="00000000" w:rsidRPr="00000000">
        <w:rPr>
          <w:rtl w:val="0"/>
        </w:rPr>
        <w:t xml:space="preserve">Europa este singura regiune a lumii care a reușit să diminueze semnificativ rata omorurilor de la 3,5/100.000 (2015), la 2,2/100.000 (2021</w:t>
      </w:r>
      <w:r w:rsidDel="00000000" w:rsidR="00000000" w:rsidRPr="00000000">
        <w:rPr>
          <w:rtl w:val="0"/>
        </w:rPr>
        <w:t xml:space="preserve">)</w:t>
      </w:r>
      <w:r w:rsidDel="00000000" w:rsidR="00000000" w:rsidRPr="00000000">
        <w:rPr>
          <w:vertAlign w:val="superscript"/>
        </w:rPr>
        <w:footnoteReference w:customMarkFollows="0" w:id="10"/>
      </w:r>
      <w:r w:rsidDel="00000000" w:rsidR="00000000" w:rsidRPr="00000000">
        <w:rPr>
          <w:rtl w:val="0"/>
        </w:rPr>
        <w:t xml:space="preserve">. </w:t>
      </w:r>
    </w:p>
    <w:p w:rsidR="00000000" w:rsidDel="00000000" w:rsidP="00000000" w:rsidRDefault="00000000" w:rsidRPr="00000000" w14:paraId="0000001F">
      <w:pPr>
        <w:spacing w:before="100" w:lineRule="auto"/>
        <w:jc w:val="both"/>
        <w:rPr/>
      </w:pPr>
      <w:r w:rsidDel="00000000" w:rsidR="00000000" w:rsidRPr="00000000">
        <w:rPr>
          <w:rtl w:val="0"/>
        </w:rPr>
        <w:t xml:space="preserve">Deși rata omorurilor a avut o tendință de scădere semnificativă, </w:t>
      </w:r>
      <w:r w:rsidDel="00000000" w:rsidR="00000000" w:rsidRPr="00000000">
        <w:rPr>
          <w:b w:val="1"/>
          <w:rtl w:val="0"/>
        </w:rPr>
        <w:t xml:space="preserve">în Europa procentul omorurilor comise de partenerii intimi/membrii familiei era de 2 ori mai mare decât la nivel mondial</w:t>
      </w:r>
      <w:r w:rsidDel="00000000" w:rsidR="00000000" w:rsidRPr="00000000">
        <w:rPr>
          <w:rtl w:val="0"/>
        </w:rPr>
        <w:t xml:space="preserve"> (69%), iar în anul 2021, la nivel mondial ponderea omorurilor comise de partenerii intimi sau de membrii familiei a fost de 31% (</w:t>
      </w:r>
      <w:r w:rsidDel="00000000" w:rsidR="00000000" w:rsidRPr="00000000">
        <w:rPr>
          <w:rtl w:val="0"/>
        </w:rPr>
        <w:t xml:space="preserve">UNODC, 2023, Global Study on Homicide)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240" w:before="240" w:lineRule="auto"/>
        <w:jc w:val="both"/>
        <w:rPr/>
      </w:pPr>
      <w:r w:rsidDel="00000000" w:rsidR="00000000" w:rsidRPr="00000000">
        <w:rPr>
          <w:rtl w:val="0"/>
        </w:rPr>
        <w:t xml:space="preserve">Eliminarea violenței împotriva femeilor este un angajament cheie al Agendei Dezvoltare Durabilă. Statele Membre s-au angajat să facă din lume un loc „în care fiecare femeie și fată se bucură de deplină egalitate de gen, iar toate barierele legale, sociale și economice în calea autonomizării lor au fost eliminate”</w:t>
      </w:r>
      <w:r w:rsidDel="00000000" w:rsidR="00000000" w:rsidRPr="00000000">
        <w:rPr>
          <w:vertAlign w:val="superscript"/>
        </w:rPr>
        <w:footnoteReference w:customMarkFollows="0" w:id="11"/>
      </w:r>
      <w:r w:rsidDel="00000000" w:rsidR="00000000" w:rsidRPr="00000000">
        <w:rPr>
          <w:rtl w:val="0"/>
        </w:rPr>
        <w:t xml:space="preserve"> (</w:t>
      </w:r>
      <w:r w:rsidDel="00000000" w:rsidR="00000000" w:rsidRPr="00000000">
        <w:rPr>
          <w:i w:val="1"/>
          <w:rtl w:val="0"/>
        </w:rPr>
        <w:t xml:space="preserve">United Nations, “Transforming our world: the 2030 Agenda for Sustainable Development”, par. 8 (A/RES/70/1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spacing w:after="240" w:before="240" w:lineRule="auto"/>
        <w:jc w:val="both"/>
        <w:rPr/>
      </w:pPr>
      <w:r w:rsidDel="00000000" w:rsidR="00000000" w:rsidRPr="00000000">
        <w:rPr>
          <w:rtl w:val="0"/>
        </w:rPr>
        <w:t xml:space="preserve">Conform Declarației Națiunilor Unite privind Eliminarea Violenței împotriva Femeilor, violența împotriva femeilor și a fetelor se referă la </w:t>
      </w:r>
      <w:r w:rsidDel="00000000" w:rsidR="00000000" w:rsidRPr="00000000">
        <w:rPr>
          <w:i w:val="1"/>
          <w:rtl w:val="0"/>
        </w:rPr>
        <w:t xml:space="preserve">„orice act de violență bazată pe gen care are drept rezultat, sau este susceptibil să aibă drept rezultat, vătămarea sau suferința fizică, sexuală sau psihologică a femeilor, inclusiv amenințările cu astfel de acte, constrângerea sau privarea arbitrară de libertate, indiferent dacă are loc în viața publică sau privată</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2">
      <w:pPr>
        <w:spacing w:after="240" w:before="240" w:lineRule="auto"/>
        <w:jc w:val="both"/>
        <w:rPr/>
      </w:pPr>
      <w:r w:rsidDel="00000000" w:rsidR="00000000" w:rsidRPr="00000000">
        <w:rPr>
          <w:rtl w:val="0"/>
        </w:rPr>
        <w:t xml:space="preserve">Femicidul, definit de Națiunile Unite și de alte organisme internaționale, reprezintă cea mai </w:t>
      </w:r>
      <w:r w:rsidDel="00000000" w:rsidR="00000000" w:rsidRPr="00000000">
        <w:rPr>
          <w:rtl w:val="0"/>
        </w:rPr>
        <w:t xml:space="preserve">gravă manifestare a violenței împotriva femeilor și fetelor</w:t>
      </w:r>
      <w:r w:rsidDel="00000000" w:rsidR="00000000" w:rsidRPr="00000000">
        <w:rPr>
          <w:rtl w:val="0"/>
        </w:rPr>
        <w:t xml:space="preserve">. Această crimă, de cele mai multe ori, nu este un act</w:t>
      </w:r>
      <w:r w:rsidDel="00000000" w:rsidR="00000000" w:rsidRPr="00000000">
        <w:rPr>
          <w:rtl w:val="0"/>
        </w:rPr>
        <w:t xml:space="preserve"> de violență </w:t>
      </w:r>
      <w:r w:rsidDel="00000000" w:rsidR="00000000" w:rsidRPr="00000000">
        <w:rPr>
          <w:rtl w:val="0"/>
        </w:rPr>
        <w:t xml:space="preserve">spontan</w:t>
      </w:r>
      <w:r w:rsidDel="00000000" w:rsidR="00000000" w:rsidRPr="00000000">
        <w:rPr>
          <w:rtl w:val="0"/>
        </w:rPr>
        <w:t xml:space="preserve"> și </w:t>
      </w:r>
      <w:r w:rsidDel="00000000" w:rsidR="00000000" w:rsidRPr="00000000">
        <w:rPr>
          <w:rtl w:val="0"/>
        </w:rPr>
        <w:t xml:space="preserve">izolat, ci o culminare a unui istoric de violență și abuzuri, ceea ce o face, în principiu, o crimă care poate fi prevenită. Femicidul se află în opoziție violentă cu toate drepturile și garanțiile privind drepturile omului consacrate atât în legislațiile naționale, cât și internaționale. </w:t>
      </w:r>
    </w:p>
    <w:p w:rsidR="00000000" w:rsidDel="00000000" w:rsidP="00000000" w:rsidRDefault="00000000" w:rsidRPr="00000000" w14:paraId="00000023">
      <w:pPr>
        <w:spacing w:after="240" w:lineRule="auto"/>
        <w:ind w:left="0" w:firstLine="0"/>
        <w:jc w:val="both"/>
        <w:rPr>
          <w:b w:val="1"/>
        </w:rPr>
      </w:pPr>
      <w:r w:rsidDel="00000000" w:rsidR="00000000" w:rsidRPr="00000000">
        <w:rPr>
          <w:rtl w:val="0"/>
        </w:rPr>
        <w:t xml:space="preserve">CEDAW</w:t>
      </w:r>
      <w:r w:rsidDel="00000000" w:rsidR="00000000" w:rsidRPr="00000000">
        <w:rPr>
          <w:rtl w:val="0"/>
        </w:rPr>
        <w:t xml:space="preserve"> (Comitetul pentru Eliminarea Discriminării împotriva Femeilor) afirmă că violența împotriva femeilor constituie o formă de discriminare de gen și este „unul dintre mijloacele fundamentale sociale, politice și economice prin care se perpetuează poziția subordonată a femeilor în raport cu bărbații și rolurile lor stereotipizate”. În Recomandarea Generală nr. 35, comitetul recunoaște că uciderea pe criterii de gen a femeilor este cunoscută ca „femicid” sau „feminicid”, incluzând omuciderea intenționată, „crimele de onoare” și sinuciderile forțate.</w:t>
      </w:r>
      <w:r w:rsidDel="00000000" w:rsidR="00000000" w:rsidRPr="00000000">
        <w:rPr>
          <w:rtl w:val="0"/>
        </w:rPr>
      </w:r>
    </w:p>
    <w:p w:rsidR="00000000" w:rsidDel="00000000" w:rsidP="00000000" w:rsidRDefault="00000000" w:rsidRPr="00000000" w14:paraId="00000024">
      <w:pPr>
        <w:spacing w:after="240" w:before="240" w:lineRule="auto"/>
        <w:jc w:val="both"/>
        <w:rPr/>
      </w:pPr>
      <w:r w:rsidDel="00000000" w:rsidR="00000000" w:rsidRPr="00000000">
        <w:rPr>
          <w:rtl w:val="0"/>
        </w:rPr>
        <w:t xml:space="preserve">Comitetul CEDAW recomandă statelor:</w:t>
      </w:r>
    </w:p>
    <w:p w:rsidR="00000000" w:rsidDel="00000000" w:rsidP="00000000" w:rsidRDefault="00000000" w:rsidRPr="00000000" w14:paraId="00000025">
      <w:pPr>
        <w:numPr>
          <w:ilvl w:val="0"/>
          <w:numId w:val="1"/>
        </w:numPr>
        <w:spacing w:after="0" w:afterAutospacing="0" w:lineRule="auto"/>
        <w:ind w:left="720" w:hanging="360"/>
        <w:rPr/>
      </w:pPr>
      <w:r w:rsidDel="00000000" w:rsidR="00000000" w:rsidRPr="00000000">
        <w:rPr>
          <w:rtl w:val="0"/>
        </w:rPr>
        <w:t xml:space="preserve">„Să</w:t>
      </w:r>
      <w:r w:rsidDel="00000000" w:rsidR="00000000" w:rsidRPr="00000000">
        <w:rPr>
          <w:rtl w:val="0"/>
        </w:rPr>
        <w:t xml:space="preserve"> se asigure că toate formele de violență de gen împotriva femeilor, în toate sferele, care constituie o încălcare a integrității lor fizice, sexuale sau psihologice, sunt incriminate.”</w:t>
      </w:r>
      <w:r w:rsidDel="00000000" w:rsidR="00000000" w:rsidRPr="00000000">
        <w:rPr>
          <w:rtl w:val="0"/>
        </w:rPr>
      </w:r>
    </w:p>
    <w:p w:rsidR="00000000" w:rsidDel="00000000" w:rsidP="00000000" w:rsidRDefault="00000000" w:rsidRPr="00000000" w14:paraId="00000026">
      <w:pPr>
        <w:numPr>
          <w:ilvl w:val="0"/>
          <w:numId w:val="1"/>
        </w:numPr>
        <w:spacing w:after="0" w:afterAutospacing="0" w:lineRule="auto"/>
        <w:ind w:left="720" w:hanging="360"/>
        <w:rPr/>
      </w:pPr>
      <w:r w:rsidDel="00000000" w:rsidR="00000000" w:rsidRPr="00000000">
        <w:rPr>
          <w:rtl w:val="0"/>
        </w:rPr>
        <w:t xml:space="preserve">Să introducă, fără întârziere, sancțiuni legale proporționale cu gravitatea infracțiunii, precum și căi civile de reparație.</w:t>
      </w:r>
    </w:p>
    <w:p w:rsidR="00000000" w:rsidDel="00000000" w:rsidP="00000000" w:rsidRDefault="00000000" w:rsidRPr="00000000" w14:paraId="00000027">
      <w:pPr>
        <w:numPr>
          <w:ilvl w:val="0"/>
          <w:numId w:val="1"/>
        </w:numPr>
        <w:spacing w:after="0" w:afterAutospacing="0" w:lineRule="auto"/>
        <w:ind w:left="720" w:hanging="360"/>
        <w:rPr/>
      </w:pPr>
      <w:r w:rsidDel="00000000" w:rsidR="00000000" w:rsidRPr="00000000">
        <w:rPr>
          <w:rtl w:val="0"/>
        </w:rPr>
        <w:t xml:space="preserve">Să adopte măsuri legislative de prevenire care să abordeze cauzele fundamentale ale violenței de gen împotriva femeilor și expresia sa cea mai extremă, femicidul</w:t>
      </w:r>
    </w:p>
    <w:p w:rsidR="00000000" w:rsidDel="00000000" w:rsidP="00000000" w:rsidRDefault="00000000" w:rsidRPr="00000000" w14:paraId="00000028">
      <w:pPr>
        <w:numPr>
          <w:ilvl w:val="0"/>
          <w:numId w:val="1"/>
        </w:numPr>
        <w:spacing w:after="0" w:afterAutospacing="0" w:lineRule="auto"/>
        <w:ind w:left="720" w:hanging="360"/>
        <w:rPr/>
      </w:pPr>
      <w:r w:rsidDel="00000000" w:rsidR="00000000" w:rsidRPr="00000000">
        <w:rPr>
          <w:rtl w:val="0"/>
        </w:rPr>
        <w:t xml:space="preserve">Să aprobe și să implementeze măsuri preventive eficiente.</w:t>
      </w:r>
    </w:p>
    <w:p w:rsidR="00000000" w:rsidDel="00000000" w:rsidP="00000000" w:rsidRDefault="00000000" w:rsidRPr="00000000" w14:paraId="00000029">
      <w:pPr>
        <w:numPr>
          <w:ilvl w:val="0"/>
          <w:numId w:val="1"/>
        </w:numPr>
        <w:spacing w:after="0" w:afterAutospacing="0" w:lineRule="auto"/>
        <w:ind w:left="720" w:hanging="360"/>
        <w:rPr/>
      </w:pPr>
      <w:r w:rsidDel="00000000" w:rsidR="00000000" w:rsidRPr="00000000">
        <w:rPr>
          <w:rtl w:val="0"/>
        </w:rPr>
        <w:t xml:space="preserve">Să garanteze accesul la justiție pentru victime și familiile lor.</w:t>
      </w:r>
    </w:p>
    <w:p w:rsidR="00000000" w:rsidDel="00000000" w:rsidP="00000000" w:rsidRDefault="00000000" w:rsidRPr="00000000" w14:paraId="0000002A">
      <w:pPr>
        <w:numPr>
          <w:ilvl w:val="0"/>
          <w:numId w:val="1"/>
        </w:numPr>
        <w:spacing w:after="240" w:lineRule="auto"/>
        <w:ind w:left="720" w:hanging="360"/>
        <w:rPr/>
      </w:pPr>
      <w:r w:rsidDel="00000000" w:rsidR="00000000" w:rsidRPr="00000000">
        <w:rPr>
          <w:rtl w:val="0"/>
        </w:rPr>
        <w:t xml:space="preserve">Să asigure un proces penal corect, imparțial și prompt pentru urmărirea penală a celor responsabili.</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Datele globale indică o situație extrem de îngrijorătoare. Conform unui raport al ONU din 2024 (realizat de UN Women și UNODC), la nivel global, 85.000 de femei și fete au fost ucise intenționat în 2023. Dintre acestea, 60% – adică 51.000 de victime – au murit la mâna partenerilor intimi sau a membrilor familiei, ceea ce înseamnă că, în medie, o femeie este ucisă la fiecare 10 minute de către o persoană apropiată.</w:t>
      </w:r>
      <w:r w:rsidDel="00000000" w:rsidR="00000000" w:rsidRPr="00000000">
        <w:rPr>
          <w:rtl w:val="0"/>
        </w:rPr>
      </w:r>
    </w:p>
    <w:p w:rsidR="00000000" w:rsidDel="00000000" w:rsidP="00000000" w:rsidRDefault="00000000" w:rsidRPr="00000000" w14:paraId="0000002C">
      <w:pPr>
        <w:ind w:left="720" w:firstLine="0"/>
        <w:jc w:val="both"/>
        <w:rPr/>
      </w:pPr>
      <w:r w:rsidDel="00000000" w:rsidR="00000000" w:rsidRPr="00000000">
        <w:rPr>
          <w:rtl w:val="0"/>
        </w:rPr>
      </w:r>
    </w:p>
    <w:p w:rsidR="00000000" w:rsidDel="00000000" w:rsidP="00000000" w:rsidRDefault="00000000" w:rsidRPr="00000000" w14:paraId="0000002D">
      <w:pPr>
        <w:ind w:left="0" w:firstLine="720"/>
        <w:jc w:val="both"/>
        <w:rPr/>
      </w:pPr>
      <w:r w:rsidDel="00000000" w:rsidR="00000000" w:rsidRPr="00000000">
        <w:rPr>
          <w:rtl w:val="0"/>
        </w:rPr>
        <w:t xml:space="preserve">1.2 La nivel național</w:t>
      </w:r>
    </w:p>
    <w:p w:rsidR="00000000" w:rsidDel="00000000" w:rsidP="00000000" w:rsidRDefault="00000000" w:rsidRPr="00000000" w14:paraId="0000002E">
      <w:pPr>
        <w:ind w:left="720" w:firstLine="0"/>
        <w:jc w:val="both"/>
        <w:rPr>
          <w:b w:val="1"/>
        </w:rPr>
      </w:pPr>
      <w:r w:rsidDel="00000000" w:rsidR="00000000" w:rsidRPr="00000000">
        <w:rPr>
          <w:rtl w:val="0"/>
        </w:rPr>
      </w:r>
    </w:p>
    <w:p w:rsidR="00000000" w:rsidDel="00000000" w:rsidP="00000000" w:rsidRDefault="00000000" w:rsidRPr="00000000" w14:paraId="0000002F">
      <w:pPr>
        <w:ind w:left="0" w:firstLine="0"/>
        <w:jc w:val="both"/>
        <w:rPr/>
      </w:pPr>
      <w:r w:rsidDel="00000000" w:rsidR="00000000" w:rsidRPr="00000000">
        <w:rPr>
          <w:b w:val="1"/>
          <w:rtl w:val="0"/>
        </w:rPr>
        <w:t xml:space="preserve">Rata omorurilor comise în România</w:t>
      </w:r>
      <w:r w:rsidDel="00000000" w:rsidR="00000000" w:rsidRPr="00000000">
        <w:rPr>
          <w:rtl w:val="0"/>
        </w:rPr>
        <w:t xml:space="preserve">, în intervalul 2017 - 2023, </w:t>
      </w:r>
      <w:r w:rsidDel="00000000" w:rsidR="00000000" w:rsidRPr="00000000">
        <w:rPr>
          <w:b w:val="1"/>
          <w:rtl w:val="0"/>
        </w:rPr>
        <w:t xml:space="preserve">a fost mai mare decât</w:t>
      </w:r>
      <w:r w:rsidDel="00000000" w:rsidR="00000000" w:rsidRPr="00000000">
        <w:rPr>
          <w:rtl w:val="0"/>
        </w:rPr>
        <w:t xml:space="preserve"> </w:t>
      </w:r>
      <w:r w:rsidDel="00000000" w:rsidR="00000000" w:rsidRPr="00000000">
        <w:rPr>
          <w:b w:val="1"/>
          <w:rtl w:val="0"/>
        </w:rPr>
        <w:t xml:space="preserve">rata medie a omorurilor calculată pentru statele membre ale Uniunii Europene - </w:t>
      </w:r>
      <w:r w:rsidDel="00000000" w:rsidR="00000000" w:rsidRPr="00000000">
        <w:rPr>
          <w:color w:val="0000ff"/>
          <w:rtl w:val="0"/>
        </w:rPr>
        <w:t xml:space="preserve">Eurostat, 2025</w:t>
      </w:r>
      <w:r w:rsidDel="00000000" w:rsidR="00000000" w:rsidRPr="00000000">
        <w:rPr>
          <w:rtl w:val="0"/>
        </w:rPr>
        <w:t xml:space="preserve">. În timp ce rata medie a omorurilor comise în statele membre ale Uniunii Europene a variat între 0,82-1,03/100.000, rata omorurilor comise în România a înregistrat în mod constant valori peste 1/100.000 (1,11-1,30/100.000). Altfel spus, rata medie pentru statele Uniunii Europene (2017-2023) a fost de 0,88/100.000. Rata medie a omorurilor pentru România (2017-2023) a fost 1,28/100.000.</w:t>
      </w:r>
    </w:p>
    <w:p w:rsidR="00000000" w:rsidDel="00000000" w:rsidP="00000000" w:rsidRDefault="00000000" w:rsidRPr="00000000" w14:paraId="00000030">
      <w:pPr>
        <w:ind w:left="0" w:firstLine="0"/>
        <w:jc w:val="both"/>
        <w:rPr/>
      </w:pPr>
      <w:r w:rsidDel="00000000" w:rsidR="00000000" w:rsidRPr="00000000">
        <w:rPr>
          <w:rtl w:val="0"/>
        </w:rPr>
      </w:r>
    </w:p>
    <w:p w:rsidR="00000000" w:rsidDel="00000000" w:rsidP="00000000" w:rsidRDefault="00000000" w:rsidRPr="00000000" w14:paraId="00000031">
      <w:pPr>
        <w:ind w:left="0" w:firstLine="0"/>
        <w:jc w:val="both"/>
        <w:rPr/>
      </w:pPr>
      <w:r w:rsidDel="00000000" w:rsidR="00000000" w:rsidRPr="00000000">
        <w:rPr>
          <w:rtl w:val="0"/>
        </w:rPr>
        <w:t xml:space="preserve">Din datele privind victimele omorurilor comise între membri de familie, furnizate de către Inspectoratul General al Poliției Române (2020-2024), rezultă că </w:t>
      </w:r>
      <w:r w:rsidDel="00000000" w:rsidR="00000000" w:rsidRPr="00000000">
        <w:rPr>
          <w:rtl w:val="0"/>
        </w:rPr>
        <w:t xml:space="preserve">în ultimii 10 ani au fost omorâte 445 de femei de către un membru de famili, iar în aceeași perioadă au fost omorâți 300 de bărbați de un membru de familie. </w:t>
      </w:r>
    </w:p>
    <w:p w:rsidR="00000000" w:rsidDel="00000000" w:rsidP="00000000" w:rsidRDefault="00000000" w:rsidRPr="00000000" w14:paraId="00000032">
      <w:pPr>
        <w:jc w:val="both"/>
        <w:rPr/>
      </w:pPr>
      <w:r w:rsidDel="00000000" w:rsidR="00000000" w:rsidRPr="00000000">
        <w:rPr>
          <w:rtl w:val="0"/>
        </w:rPr>
      </w:r>
    </w:p>
    <w:tbl>
      <w:tblPr>
        <w:tblStyle w:val="Table1"/>
        <w:tblW w:w="24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10"/>
        <w:gridCol w:w="795"/>
        <w:gridCol w:w="825"/>
        <w:tblGridChange w:id="0">
          <w:tblGrid>
            <w:gridCol w:w="810"/>
            <w:gridCol w:w="795"/>
            <w:gridCol w:w="825"/>
          </w:tblGrid>
        </w:tblGridChange>
      </w:tblGrid>
      <w:tr>
        <w:trPr>
          <w:cantSplit w:val="0"/>
          <w:trHeight w:val="315" w:hRule="atLeast"/>
          <w:tblHeader w:val="1"/>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pPr>
            <w:r w:rsidDel="00000000" w:rsidR="00000000" w:rsidRPr="00000000">
              <w:rPr>
                <w:rtl w:val="0"/>
              </w:rPr>
            </w:r>
          </w:p>
        </w:tc>
        <w:tc>
          <w:tcPr>
            <w:gridSpan w:val="2"/>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jc w:val="center"/>
              <w:rPr>
                <w:sz w:val="20"/>
                <w:szCs w:val="20"/>
              </w:rPr>
            </w:pPr>
            <w:r w:rsidDel="00000000" w:rsidR="00000000" w:rsidRPr="00000000">
              <w:rPr>
                <w:b w:val="1"/>
                <w:sz w:val="20"/>
                <w:szCs w:val="20"/>
                <w:rtl w:val="0"/>
              </w:rPr>
              <w:t xml:space="preserve">Omor</w:t>
            </w:r>
            <w:r w:rsidDel="00000000" w:rsidR="00000000" w:rsidRPr="00000000">
              <w:rPr>
                <w:rtl w:val="0"/>
              </w:rPr>
            </w:r>
          </w:p>
        </w:tc>
      </w:tr>
      <w:tr>
        <w:trPr>
          <w:cantSplit w:val="0"/>
          <w:trHeight w:val="315" w:hRule="atLeast"/>
          <w:tblHeader w:val="1"/>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jc w:val="center"/>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jc w:val="center"/>
              <w:rPr>
                <w:sz w:val="20"/>
                <w:szCs w:val="20"/>
              </w:rPr>
            </w:pPr>
            <w:r w:rsidDel="00000000" w:rsidR="00000000" w:rsidRPr="00000000">
              <w:rPr>
                <w:b w:val="1"/>
                <w:sz w:val="20"/>
                <w:szCs w:val="20"/>
                <w:rtl w:val="0"/>
              </w:rPr>
              <w:t xml:space="preserve">Femei</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8">
            <w:pPr>
              <w:widowControl w:val="0"/>
              <w:jc w:val="center"/>
              <w:rPr>
                <w:sz w:val="20"/>
                <w:szCs w:val="20"/>
              </w:rPr>
            </w:pPr>
            <w:r w:rsidDel="00000000" w:rsidR="00000000" w:rsidRPr="00000000">
              <w:rPr>
                <w:b w:val="1"/>
                <w:sz w:val="20"/>
                <w:szCs w:val="20"/>
                <w:rtl w:val="0"/>
              </w:rPr>
              <w:t xml:space="preserve">Barbati</w:t>
            </w:r>
            <w:r w:rsidDel="00000000" w:rsidR="00000000" w:rsidRPr="00000000">
              <w:rPr>
                <w:rtl w:val="0"/>
              </w:rPr>
            </w:r>
          </w:p>
        </w:tc>
      </w:tr>
      <w:tr>
        <w:trPr>
          <w:cantSplit w:val="0"/>
          <w:trHeight w:val="315" w:hRule="atLeast"/>
          <w:tblHeader w:val="1"/>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jc w:val="center"/>
              <w:rPr>
                <w:sz w:val="20"/>
                <w:szCs w:val="20"/>
              </w:rPr>
            </w:pPr>
            <w:r w:rsidDel="00000000" w:rsidR="00000000" w:rsidRPr="00000000">
              <w:rPr>
                <w:sz w:val="20"/>
                <w:szCs w:val="20"/>
                <w:rtl w:val="0"/>
              </w:rPr>
              <w:t xml:space="preserve">2024</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widowControl w:val="0"/>
              <w:jc w:val="center"/>
              <w:rPr>
                <w:sz w:val="20"/>
                <w:szCs w:val="20"/>
              </w:rPr>
            </w:pPr>
            <w:r w:rsidDel="00000000" w:rsidR="00000000" w:rsidRPr="00000000">
              <w:rPr>
                <w:sz w:val="20"/>
                <w:szCs w:val="20"/>
                <w:rtl w:val="0"/>
              </w:rPr>
              <w:t xml:space="preserve">31</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widowControl w:val="0"/>
              <w:jc w:val="center"/>
              <w:rPr>
                <w:sz w:val="20"/>
                <w:szCs w:val="20"/>
              </w:rPr>
            </w:pPr>
            <w:r w:rsidDel="00000000" w:rsidR="00000000" w:rsidRPr="00000000">
              <w:rPr>
                <w:sz w:val="20"/>
                <w:szCs w:val="20"/>
                <w:rtl w:val="0"/>
              </w:rPr>
              <w:t xml:space="preserve">24</w:t>
            </w:r>
          </w:p>
        </w:tc>
      </w:tr>
      <w:tr>
        <w:trPr>
          <w:cantSplit w:val="0"/>
          <w:trHeight w:val="315" w:hRule="atLeast"/>
          <w:tblHeader w:val="1"/>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jc w:val="center"/>
              <w:rPr>
                <w:sz w:val="20"/>
                <w:szCs w:val="20"/>
              </w:rPr>
            </w:pPr>
            <w:r w:rsidDel="00000000" w:rsidR="00000000" w:rsidRPr="00000000">
              <w:rPr>
                <w:sz w:val="20"/>
                <w:szCs w:val="20"/>
                <w:rtl w:val="0"/>
              </w:rPr>
              <w:t xml:space="preserve">2023</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jc w:val="center"/>
              <w:rPr>
                <w:sz w:val="20"/>
                <w:szCs w:val="20"/>
              </w:rPr>
            </w:pPr>
            <w:r w:rsidDel="00000000" w:rsidR="00000000" w:rsidRPr="00000000">
              <w:rPr>
                <w:sz w:val="20"/>
                <w:szCs w:val="20"/>
                <w:rtl w:val="0"/>
              </w:rPr>
              <w:t xml:space="preserve">25</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jc w:val="center"/>
              <w:rPr>
                <w:sz w:val="20"/>
                <w:szCs w:val="20"/>
              </w:rPr>
            </w:pPr>
            <w:r w:rsidDel="00000000" w:rsidR="00000000" w:rsidRPr="00000000">
              <w:rPr>
                <w:sz w:val="20"/>
                <w:szCs w:val="20"/>
                <w:rtl w:val="0"/>
              </w:rPr>
              <w:t xml:space="preserve">31</w:t>
            </w:r>
          </w:p>
        </w:tc>
      </w:tr>
      <w:tr>
        <w:trPr>
          <w:cantSplit w:val="0"/>
          <w:trHeight w:val="315" w:hRule="atLeast"/>
          <w:tblHeader w:val="1"/>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jc w:val="center"/>
              <w:rPr>
                <w:sz w:val="20"/>
                <w:szCs w:val="20"/>
              </w:rPr>
            </w:pPr>
            <w:r w:rsidDel="00000000" w:rsidR="00000000" w:rsidRPr="00000000">
              <w:rPr>
                <w:sz w:val="20"/>
                <w:szCs w:val="20"/>
                <w:rtl w:val="0"/>
              </w:rPr>
              <w:t xml:space="preserve">2022</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jc w:val="center"/>
              <w:rPr>
                <w:sz w:val="20"/>
                <w:szCs w:val="20"/>
              </w:rPr>
            </w:pPr>
            <w:r w:rsidDel="00000000" w:rsidR="00000000" w:rsidRPr="00000000">
              <w:rPr>
                <w:sz w:val="20"/>
                <w:szCs w:val="20"/>
                <w:rtl w:val="0"/>
              </w:rPr>
              <w:t xml:space="preserve">44</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jc w:val="center"/>
              <w:rPr>
                <w:sz w:val="20"/>
                <w:szCs w:val="20"/>
              </w:rPr>
            </w:pPr>
            <w:r w:rsidDel="00000000" w:rsidR="00000000" w:rsidRPr="00000000">
              <w:rPr>
                <w:sz w:val="20"/>
                <w:szCs w:val="20"/>
                <w:rtl w:val="0"/>
              </w:rPr>
              <w:t xml:space="preserve">26</w:t>
            </w:r>
          </w:p>
        </w:tc>
      </w:tr>
      <w:tr>
        <w:trPr>
          <w:cantSplit w:val="0"/>
          <w:trHeight w:val="315" w:hRule="atLeast"/>
          <w:tblHeader w:val="1"/>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jc w:val="center"/>
              <w:rPr>
                <w:sz w:val="20"/>
                <w:szCs w:val="20"/>
              </w:rPr>
            </w:pPr>
            <w:r w:rsidDel="00000000" w:rsidR="00000000" w:rsidRPr="00000000">
              <w:rPr>
                <w:sz w:val="20"/>
                <w:szCs w:val="20"/>
                <w:rtl w:val="0"/>
              </w:rPr>
              <w:t xml:space="preserve">2021</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jc w:val="center"/>
              <w:rPr>
                <w:sz w:val="20"/>
                <w:szCs w:val="20"/>
              </w:rPr>
            </w:pPr>
            <w:r w:rsidDel="00000000" w:rsidR="00000000" w:rsidRPr="00000000">
              <w:rPr>
                <w:sz w:val="20"/>
                <w:szCs w:val="20"/>
                <w:rtl w:val="0"/>
              </w:rPr>
              <w:t xml:space="preserve">40</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jc w:val="center"/>
              <w:rPr>
                <w:sz w:val="20"/>
                <w:szCs w:val="20"/>
              </w:rPr>
            </w:pPr>
            <w:r w:rsidDel="00000000" w:rsidR="00000000" w:rsidRPr="00000000">
              <w:rPr>
                <w:sz w:val="20"/>
                <w:szCs w:val="20"/>
                <w:rtl w:val="0"/>
              </w:rPr>
              <w:t xml:space="preserve">29</w:t>
            </w:r>
          </w:p>
        </w:tc>
      </w:tr>
      <w:tr>
        <w:trPr>
          <w:cantSplit w:val="0"/>
          <w:trHeight w:val="315" w:hRule="atLeast"/>
          <w:tblHeader w:val="1"/>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jc w:val="center"/>
              <w:rPr>
                <w:sz w:val="20"/>
                <w:szCs w:val="20"/>
              </w:rPr>
            </w:pPr>
            <w:r w:rsidDel="00000000" w:rsidR="00000000" w:rsidRPr="00000000">
              <w:rPr>
                <w:sz w:val="20"/>
                <w:szCs w:val="20"/>
                <w:rtl w:val="0"/>
              </w:rPr>
              <w:t xml:space="preserve">2020</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jc w:val="center"/>
              <w:rPr>
                <w:sz w:val="20"/>
                <w:szCs w:val="20"/>
              </w:rPr>
            </w:pPr>
            <w:r w:rsidDel="00000000" w:rsidR="00000000" w:rsidRPr="00000000">
              <w:rPr>
                <w:sz w:val="20"/>
                <w:szCs w:val="20"/>
                <w:rtl w:val="0"/>
              </w:rPr>
              <w:t xml:space="preserve">43</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jc w:val="center"/>
              <w:rPr>
                <w:sz w:val="20"/>
                <w:szCs w:val="20"/>
              </w:rPr>
            </w:pPr>
            <w:r w:rsidDel="00000000" w:rsidR="00000000" w:rsidRPr="00000000">
              <w:rPr>
                <w:sz w:val="20"/>
                <w:szCs w:val="20"/>
                <w:rtl w:val="0"/>
              </w:rPr>
              <w:t xml:space="preserve">29</w:t>
            </w:r>
          </w:p>
        </w:tc>
      </w:tr>
      <w:tr>
        <w:trPr>
          <w:cantSplit w:val="0"/>
          <w:trHeight w:val="315" w:hRule="atLeast"/>
          <w:tblHeader w:val="1"/>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jc w:val="center"/>
              <w:rPr>
                <w:sz w:val="20"/>
                <w:szCs w:val="20"/>
              </w:rPr>
            </w:pPr>
            <w:r w:rsidDel="00000000" w:rsidR="00000000" w:rsidRPr="00000000">
              <w:rPr>
                <w:sz w:val="20"/>
                <w:szCs w:val="20"/>
                <w:rtl w:val="0"/>
              </w:rPr>
              <w:t xml:space="preserve">2019</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jc w:val="center"/>
              <w:rPr>
                <w:sz w:val="20"/>
                <w:szCs w:val="20"/>
              </w:rPr>
            </w:pPr>
            <w:r w:rsidDel="00000000" w:rsidR="00000000" w:rsidRPr="00000000">
              <w:rPr>
                <w:sz w:val="20"/>
                <w:szCs w:val="20"/>
                <w:rtl w:val="0"/>
              </w:rPr>
              <w:t xml:space="preserve">51</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jc w:val="center"/>
              <w:rPr>
                <w:sz w:val="20"/>
                <w:szCs w:val="20"/>
              </w:rPr>
            </w:pPr>
            <w:r w:rsidDel="00000000" w:rsidR="00000000" w:rsidRPr="00000000">
              <w:rPr>
                <w:sz w:val="20"/>
                <w:szCs w:val="20"/>
                <w:rtl w:val="0"/>
              </w:rPr>
              <w:t xml:space="preserve">29</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jc w:val="center"/>
              <w:rPr>
                <w:sz w:val="20"/>
                <w:szCs w:val="20"/>
              </w:rPr>
            </w:pPr>
            <w:r w:rsidDel="00000000" w:rsidR="00000000" w:rsidRPr="00000000">
              <w:rPr>
                <w:sz w:val="20"/>
                <w:szCs w:val="20"/>
                <w:rtl w:val="0"/>
              </w:rPr>
              <w:t xml:space="preserve">2018</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jc w:val="center"/>
              <w:rPr>
                <w:sz w:val="20"/>
                <w:szCs w:val="20"/>
              </w:rPr>
            </w:pPr>
            <w:r w:rsidDel="00000000" w:rsidR="00000000" w:rsidRPr="00000000">
              <w:rPr>
                <w:sz w:val="20"/>
                <w:szCs w:val="20"/>
                <w:rtl w:val="0"/>
              </w:rPr>
              <w:t xml:space="preserve">53</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jc w:val="center"/>
              <w:rPr>
                <w:sz w:val="20"/>
                <w:szCs w:val="20"/>
              </w:rPr>
            </w:pPr>
            <w:r w:rsidDel="00000000" w:rsidR="00000000" w:rsidRPr="00000000">
              <w:rPr>
                <w:sz w:val="20"/>
                <w:szCs w:val="20"/>
                <w:rtl w:val="0"/>
              </w:rPr>
              <w:t xml:space="preserve">30</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2017</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jc w:val="center"/>
              <w:rPr>
                <w:sz w:val="20"/>
                <w:szCs w:val="20"/>
              </w:rPr>
            </w:pPr>
            <w:r w:rsidDel="00000000" w:rsidR="00000000" w:rsidRPr="00000000">
              <w:rPr>
                <w:sz w:val="20"/>
                <w:szCs w:val="20"/>
                <w:rtl w:val="0"/>
              </w:rPr>
              <w:t xml:space="preserve">52</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jc w:val="center"/>
              <w:rPr>
                <w:sz w:val="20"/>
                <w:szCs w:val="20"/>
              </w:rPr>
            </w:pPr>
            <w:r w:rsidDel="00000000" w:rsidR="00000000" w:rsidRPr="00000000">
              <w:rPr>
                <w:sz w:val="20"/>
                <w:szCs w:val="20"/>
                <w:rtl w:val="0"/>
              </w:rPr>
              <w:t xml:space="preserve">32</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jc w:val="center"/>
              <w:rPr>
                <w:sz w:val="20"/>
                <w:szCs w:val="20"/>
              </w:rPr>
            </w:pPr>
            <w:r w:rsidDel="00000000" w:rsidR="00000000" w:rsidRPr="00000000">
              <w:rPr>
                <w:sz w:val="20"/>
                <w:szCs w:val="20"/>
                <w:rtl w:val="0"/>
              </w:rPr>
              <w:t xml:space="preserve">2016</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jc w:val="center"/>
              <w:rPr>
                <w:sz w:val="20"/>
                <w:szCs w:val="20"/>
              </w:rPr>
            </w:pPr>
            <w:r w:rsidDel="00000000" w:rsidR="00000000" w:rsidRPr="00000000">
              <w:rPr>
                <w:sz w:val="20"/>
                <w:szCs w:val="20"/>
                <w:rtl w:val="0"/>
              </w:rPr>
              <w:t xml:space="preserve">42</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jc w:val="center"/>
              <w:rPr>
                <w:sz w:val="20"/>
                <w:szCs w:val="20"/>
              </w:rPr>
            </w:pPr>
            <w:r w:rsidDel="00000000" w:rsidR="00000000" w:rsidRPr="00000000">
              <w:rPr>
                <w:sz w:val="20"/>
                <w:szCs w:val="20"/>
                <w:rtl w:val="0"/>
              </w:rPr>
              <w:t xml:space="preserve">23</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jc w:val="center"/>
              <w:rPr>
                <w:sz w:val="20"/>
                <w:szCs w:val="20"/>
              </w:rPr>
            </w:pPr>
            <w:r w:rsidDel="00000000" w:rsidR="00000000" w:rsidRPr="00000000">
              <w:rPr>
                <w:sz w:val="20"/>
                <w:szCs w:val="20"/>
                <w:rtl w:val="0"/>
              </w:rPr>
              <w:t xml:space="preserve">2015</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jc w:val="center"/>
              <w:rPr>
                <w:sz w:val="20"/>
                <w:szCs w:val="20"/>
              </w:rPr>
            </w:pPr>
            <w:r w:rsidDel="00000000" w:rsidR="00000000" w:rsidRPr="00000000">
              <w:rPr>
                <w:sz w:val="20"/>
                <w:szCs w:val="20"/>
                <w:rtl w:val="0"/>
              </w:rPr>
              <w:t xml:space="preserve">64</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jc w:val="center"/>
              <w:rPr>
                <w:sz w:val="20"/>
                <w:szCs w:val="20"/>
              </w:rPr>
            </w:pPr>
            <w:r w:rsidDel="00000000" w:rsidR="00000000" w:rsidRPr="00000000">
              <w:rPr>
                <w:sz w:val="20"/>
                <w:szCs w:val="20"/>
                <w:rtl w:val="0"/>
              </w:rPr>
              <w:t xml:space="preserve">47</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jc w:val="center"/>
              <w:rPr>
                <w:sz w:val="20"/>
                <w:szCs w:val="20"/>
              </w:rPr>
            </w:pPr>
            <w:r w:rsidDel="00000000" w:rsidR="00000000" w:rsidRPr="00000000">
              <w:rPr>
                <w:b w:val="1"/>
                <w:sz w:val="20"/>
                <w:szCs w:val="20"/>
                <w:rtl w:val="0"/>
              </w:rPr>
              <w:t xml:space="preserve">TOTAL</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jc w:val="center"/>
              <w:rPr>
                <w:sz w:val="20"/>
                <w:szCs w:val="20"/>
              </w:rPr>
            </w:pPr>
            <w:r w:rsidDel="00000000" w:rsidR="00000000" w:rsidRPr="00000000">
              <w:rPr>
                <w:b w:val="1"/>
                <w:sz w:val="20"/>
                <w:szCs w:val="20"/>
                <w:rtl w:val="0"/>
              </w:rPr>
              <w:t xml:space="preserve">445</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jc w:val="center"/>
              <w:rPr>
                <w:sz w:val="20"/>
                <w:szCs w:val="20"/>
              </w:rPr>
            </w:pPr>
            <w:r w:rsidDel="00000000" w:rsidR="00000000" w:rsidRPr="00000000">
              <w:rPr>
                <w:b w:val="1"/>
                <w:sz w:val="20"/>
                <w:szCs w:val="20"/>
                <w:rtl w:val="0"/>
              </w:rPr>
              <w:t xml:space="preserve">300</w:t>
            </w:r>
            <w:r w:rsidDel="00000000" w:rsidR="00000000" w:rsidRPr="00000000">
              <w:rPr>
                <w:rtl w:val="0"/>
              </w:rPr>
            </w:r>
          </w:p>
        </w:tc>
      </w:tr>
    </w:tbl>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rPr/>
      </w:pPr>
      <w:r w:rsidDel="00000000" w:rsidR="00000000" w:rsidRPr="00000000">
        <w:rPr>
          <w:i w:val="1"/>
          <w:rtl w:val="0"/>
        </w:rPr>
        <w:t xml:space="preserve">Victime ale infracțiunii de omor între membri de familie </w:t>
      </w:r>
      <w:r w:rsidDel="00000000" w:rsidR="00000000" w:rsidRPr="00000000">
        <w:rPr>
          <w:rtl w:val="0"/>
        </w:rPr>
      </w:r>
    </w:p>
    <w:p w:rsidR="00000000" w:rsidDel="00000000" w:rsidP="00000000" w:rsidRDefault="00000000" w:rsidRPr="00000000" w14:paraId="0000005C">
      <w:pPr>
        <w:rPr>
          <w:i w:val="1"/>
        </w:rPr>
      </w:pPr>
      <w:r w:rsidDel="00000000" w:rsidR="00000000" w:rsidRPr="00000000">
        <w:rPr>
          <w:i w:val="1"/>
          <w:rtl w:val="0"/>
        </w:rPr>
        <w:t xml:space="preserve">Sursa datelor: IGPR</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În fiecare an sunt raportate la poliție din ce în ce mai multe cazuri de violență împotriva femeilor și violență domestică. Dacă în anul 2015 au fost înregistrate 15.705 plângeri privind infracțiuni de loviri și alte violențe, în 2024 numărul plângerilor a crescut la 36.417 (IGPR). Și în cazul altor forme de violență săvârșite între membri de familie se constată o creștere a raportărilor asemănătoare: lipsire de libertate în mod ilegal (de la 72 de infracțiuni raportate în 2015 la 167 în 2024), amenințare (de la 2.538 de infracțiuni în 2015 la 7.460 de infracțiuni în 2024, șantaj (de la 29 de infracțiuni în 2015 la 108 infracțiuni în 2024), hărțuire (73 de infracțiuni în 2015 la 560 de infracțiuni în 2024).</w:t>
      </w:r>
    </w:p>
    <w:p w:rsidR="00000000" w:rsidDel="00000000" w:rsidP="00000000" w:rsidRDefault="00000000" w:rsidRPr="00000000" w14:paraId="0000005F">
      <w:pPr>
        <w:ind w:left="0" w:firstLine="0"/>
        <w:jc w:val="both"/>
        <w:rPr/>
      </w:pPr>
      <w:r w:rsidDel="00000000" w:rsidR="00000000" w:rsidRPr="00000000">
        <w:rPr>
          <w:rtl w:val="0"/>
        </w:rPr>
      </w:r>
    </w:p>
    <w:p w:rsidR="00000000" w:rsidDel="00000000" w:rsidP="00000000" w:rsidRDefault="00000000" w:rsidRPr="00000000" w14:paraId="00000060">
      <w:pPr>
        <w:ind w:left="0" w:firstLine="0"/>
        <w:jc w:val="both"/>
        <w:rPr/>
      </w:pPr>
      <w:r w:rsidDel="00000000" w:rsidR="00000000" w:rsidRPr="00000000">
        <w:rPr>
          <w:rtl w:val="0"/>
        </w:rPr>
        <w:t xml:space="preserve">Conform datelor Eurostat, </w:t>
      </w:r>
      <w:r w:rsidDel="00000000" w:rsidR="00000000" w:rsidRPr="00000000">
        <w:rPr>
          <w:b w:val="1"/>
          <w:rtl w:val="0"/>
        </w:rPr>
        <w:t xml:space="preserve">rata omorurilor cu victime femei</w:t>
      </w:r>
      <w:r w:rsidDel="00000000" w:rsidR="00000000" w:rsidRPr="00000000">
        <w:rPr>
          <w:rtl w:val="0"/>
        </w:rPr>
        <w:t xml:space="preserve"> </w:t>
      </w:r>
      <w:r w:rsidDel="00000000" w:rsidR="00000000" w:rsidRPr="00000000">
        <w:rPr>
          <w:b w:val="1"/>
          <w:rtl w:val="0"/>
        </w:rPr>
        <w:t xml:space="preserve">înregistrate pentru România a fost în mod constant mai mare, decât rata medie a omorurilor cu victime femei înregistrate la nivelul statelor membre UE.</w:t>
      </w:r>
      <w:r w:rsidDel="00000000" w:rsidR="00000000" w:rsidRPr="00000000">
        <w:rPr>
          <w:rtl w:val="0"/>
        </w:rPr>
        <w:t xml:space="preserve"> Rata medie a omorurilor cu victime femei pentru statele UE a fost de 0.64/100.000 și a variat între 0,59-0.69/100.000 (2017-2023)</w:t>
      </w:r>
      <w:r w:rsidDel="00000000" w:rsidR="00000000" w:rsidRPr="00000000">
        <w:rPr>
          <w:vertAlign w:val="superscript"/>
        </w:rPr>
        <w:footnoteReference w:customMarkFollows="0" w:id="12"/>
      </w:r>
      <w:r w:rsidDel="00000000" w:rsidR="00000000" w:rsidRPr="00000000">
        <w:rPr>
          <w:rtl w:val="0"/>
        </w:rPr>
        <w:t xml:space="preserve"> (Eurostat 2025). În România, rata omorurilor cu victime femei a fost 0.79/100.000, valorile au variat între 0.54-0,97/100.000</w:t>
      </w:r>
      <w:r w:rsidDel="00000000" w:rsidR="00000000" w:rsidRPr="00000000">
        <w:rPr>
          <w:vertAlign w:val="superscript"/>
        </w:rPr>
        <w:footnoteReference w:customMarkFollows="0" w:id="13"/>
      </w:r>
      <w:r w:rsidDel="00000000" w:rsidR="00000000" w:rsidRPr="00000000">
        <w:rPr>
          <w:rtl w:val="0"/>
        </w:rPr>
        <w:t xml:space="preserve">.</w:t>
      </w:r>
    </w:p>
    <w:p w:rsidR="00000000" w:rsidDel="00000000" w:rsidP="00000000" w:rsidRDefault="00000000" w:rsidRPr="00000000" w14:paraId="00000061">
      <w:pPr>
        <w:ind w:left="720" w:firstLine="0"/>
        <w:jc w:val="both"/>
        <w:rPr/>
      </w:pPr>
      <w:r w:rsidDel="00000000" w:rsidR="00000000" w:rsidRPr="00000000">
        <w:rPr>
          <w:rtl w:val="0"/>
        </w:rPr>
      </w:r>
    </w:p>
    <w:p w:rsidR="00000000" w:rsidDel="00000000" w:rsidP="00000000" w:rsidRDefault="00000000" w:rsidRPr="00000000" w14:paraId="00000062">
      <w:pPr>
        <w:ind w:left="0" w:firstLine="0"/>
        <w:jc w:val="both"/>
        <w:rPr/>
      </w:pPr>
      <w:r w:rsidDel="00000000" w:rsidR="00000000" w:rsidRPr="00000000">
        <w:rPr>
          <w:b w:val="1"/>
          <w:rtl w:val="0"/>
        </w:rPr>
        <w:t xml:space="preserve">Procentul femeilor victime ale omorurilor înregistrate În România a fost mai mare decât cel înregistrat la nivel mondial.</w:t>
      </w:r>
      <w:r w:rsidDel="00000000" w:rsidR="00000000" w:rsidRPr="00000000">
        <w:rPr>
          <w:rtl w:val="0"/>
        </w:rPr>
        <w:t xml:space="preserve"> Ponderea medie a femeilor ucise în totalul omorurilor comise în intervalul 2015-2024</w:t>
      </w:r>
      <w:r w:rsidDel="00000000" w:rsidR="00000000" w:rsidRPr="00000000">
        <w:rPr>
          <w:rtl w:val="0"/>
        </w:rPr>
        <w:t xml:space="preserve"> a fost de 31%</w:t>
      </w:r>
      <w:r w:rsidDel="00000000" w:rsidR="00000000" w:rsidRPr="00000000">
        <w:rPr>
          <w:vertAlign w:val="superscript"/>
        </w:rPr>
        <w:footnoteReference w:customMarkFollows="0" w:id="14"/>
      </w:r>
      <w:r w:rsidDel="00000000" w:rsidR="00000000" w:rsidRPr="00000000">
        <w:rPr>
          <w:rtl w:val="0"/>
        </w:rPr>
        <w:t xml:space="preserve">, în timp ce la nivel global, ponderea femeilor victime ale omorului a fost de 19%</w:t>
      </w:r>
      <w:r w:rsidDel="00000000" w:rsidR="00000000" w:rsidRPr="00000000">
        <w:rPr>
          <w:vertAlign w:val="superscript"/>
        </w:rPr>
        <w:footnoteReference w:customMarkFollows="0" w:id="15"/>
      </w:r>
      <w:r w:rsidDel="00000000" w:rsidR="00000000" w:rsidRPr="00000000">
        <w:rPr>
          <w:rtl w:val="0"/>
        </w:rPr>
        <w:t xml:space="preserve">.</w:t>
      </w:r>
    </w:p>
    <w:p w:rsidR="00000000" w:rsidDel="00000000" w:rsidP="00000000" w:rsidRDefault="00000000" w:rsidRPr="00000000" w14:paraId="00000063">
      <w:pPr>
        <w:ind w:left="720" w:firstLine="0"/>
        <w:jc w:val="both"/>
        <w:rPr/>
      </w:pPr>
      <w:r w:rsidDel="00000000" w:rsidR="00000000" w:rsidRPr="00000000">
        <w:rPr>
          <w:rtl w:val="0"/>
        </w:rPr>
      </w:r>
    </w:p>
    <w:p w:rsidR="00000000" w:rsidDel="00000000" w:rsidP="00000000" w:rsidRDefault="00000000" w:rsidRPr="00000000" w14:paraId="00000064">
      <w:pPr>
        <w:ind w:left="0" w:firstLine="0"/>
        <w:jc w:val="both"/>
        <w:rPr/>
      </w:pPr>
      <w:r w:rsidDel="00000000" w:rsidR="00000000" w:rsidRPr="00000000">
        <w:rPr>
          <w:b w:val="1"/>
          <w:rtl w:val="0"/>
        </w:rPr>
        <w:t xml:space="preserve">Procentul femeilor ucise de un membru al familiei în totalul omorurilor înregistrate în România a fost mai mare decât cel înregistrat la nivel mondial.</w:t>
      </w:r>
      <w:r w:rsidDel="00000000" w:rsidR="00000000" w:rsidRPr="00000000">
        <w:rPr>
          <w:rtl w:val="0"/>
        </w:rPr>
        <w:t xml:space="preserve"> În anul 2021, la nivel mondial, ponderea femeilor ucise de parteneri sau membri de familie era de 31%</w:t>
      </w:r>
      <w:r w:rsidDel="00000000" w:rsidR="00000000" w:rsidRPr="00000000">
        <w:rPr>
          <w:vertAlign w:val="superscript"/>
        </w:rPr>
        <w:footnoteReference w:customMarkFollows="0" w:id="16"/>
      </w:r>
      <w:r w:rsidDel="00000000" w:rsidR="00000000" w:rsidRPr="00000000">
        <w:rPr>
          <w:rtl w:val="0"/>
        </w:rPr>
        <w:t xml:space="preserve">. În același an, procentul femeilor ucise de un partener sau un membru al familiei în România a fost de 52.6%</w:t>
      </w:r>
      <w:r w:rsidDel="00000000" w:rsidR="00000000" w:rsidRPr="00000000">
        <w:rPr>
          <w:vertAlign w:val="superscript"/>
        </w:rPr>
        <w:footnoteReference w:customMarkFollows="0" w:id="17"/>
      </w:r>
      <w:r w:rsidDel="00000000" w:rsidR="00000000" w:rsidRPr="00000000">
        <w:rPr>
          <w:rtl w:val="0"/>
        </w:rPr>
        <w:t xml:space="preserve">. Analiza datelor pentru intervalul 2017-2023 arată că ponderea femeilor ucise de un partener/membru de familie a variat  între 44,8%-71,8%.</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ind w:left="0" w:firstLine="0"/>
        <w:jc w:val="both"/>
        <w:rPr/>
      </w:pPr>
      <w:r w:rsidDel="00000000" w:rsidR="00000000" w:rsidRPr="00000000">
        <w:rPr>
          <w:rtl w:val="0"/>
        </w:rPr>
        <w:t xml:space="preserve">Cercetările realizate în România de către echipa Observatorului Român pentru Analiza și Prevenirea Omorurilor</w:t>
      </w:r>
      <w:r w:rsidDel="00000000" w:rsidR="00000000" w:rsidRPr="00000000">
        <w:rPr>
          <w:vertAlign w:val="superscript"/>
        </w:rPr>
        <w:footnoteReference w:customMarkFollows="0" w:id="19"/>
      </w:r>
      <w:r w:rsidDel="00000000" w:rsidR="00000000" w:rsidRPr="00000000">
        <w:rPr>
          <w:rtl w:val="0"/>
        </w:rPr>
        <w:t xml:space="preserve">, au analizat distribuția femicidelor în functie de relația dintre victimă și agresor și vârsta victimelor. Datele referitoare la femicidele</w:t>
      </w:r>
      <w:r w:rsidDel="00000000" w:rsidR="00000000" w:rsidRPr="00000000">
        <w:rPr>
          <w:vertAlign w:val="superscript"/>
        </w:rPr>
        <w:footnoteReference w:customMarkFollows="0" w:id="20"/>
      </w:r>
      <w:r w:rsidDel="00000000" w:rsidR="00000000" w:rsidRPr="00000000">
        <w:rPr>
          <w:rtl w:val="0"/>
        </w:rPr>
        <w:t xml:space="preserve">din intervalul 2019-2021 arată că, ponderea medie a femicidelor comise de către partenerii intimi (soți/foști soți, concubini/foști concubini, iubiți/foști iubiți) în totalul femicidelor, a fost de 55,2% (44,6-69%)</w:t>
      </w:r>
      <w:r w:rsidDel="00000000" w:rsidR="00000000" w:rsidRPr="00000000">
        <w:rPr>
          <w:vertAlign w:val="superscript"/>
        </w:rPr>
        <w:footnoteReference w:customMarkFollows="0" w:id="21"/>
      </w:r>
      <w:r w:rsidDel="00000000" w:rsidR="00000000" w:rsidRPr="00000000">
        <w:rPr>
          <w:rtl w:val="0"/>
        </w:rPr>
        <w:t xml:space="preserve">. Ponderea medie a femicidelor cu victime femei cu vârsta peste 60 de ani (elder femicide) a fost 22,7% (19,1-29%). Ponderea medie a femeilor cu vârsta peste 60 de ani ucise de către partenerii lor de viață a fost de 6,1%. Ponderea medie a femicidelor comise de parteneri intimi tineri (femei cu vârsta 16-25 de ani) a fost 8,8% în totalul femicidelor (și a variat între 7-10,6%)</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14:paraId="00000067">
      <w:pPr>
        <w:ind w:left="0" w:firstLine="0"/>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t xml:space="preserve">Spre deosebire de omorurile comise împotriva bărbaților, care se petrec în marea majoritate în afara locuinței, pentru femei, cel mai periculos loc este, paradoxal, propria casă.</w:t>
      </w:r>
      <w:r w:rsidDel="00000000" w:rsidR="00000000" w:rsidRPr="00000000">
        <w:rPr>
          <w:rtl w:val="0"/>
        </w:rPr>
        <w:t xml:space="preserve"> Peste jumătate din omorurile comise împotriva femeilor </w:t>
      </w:r>
      <w:r w:rsidDel="00000000" w:rsidR="00000000" w:rsidRPr="00000000">
        <w:rPr>
          <w:rtl w:val="0"/>
        </w:rPr>
        <w:t xml:space="preserve">sunt săvârșite de parteneri intimi sau de rude apropiate, ceea ce evidențiază o problemă profundă de siguranță în sfera domestică.</w:t>
      </w:r>
      <w:r w:rsidDel="00000000" w:rsidR="00000000" w:rsidRPr="00000000">
        <w:rPr>
          <w:rtl w:val="0"/>
        </w:rPr>
      </w:r>
    </w:p>
    <w:p w:rsidR="00000000" w:rsidDel="00000000" w:rsidP="00000000" w:rsidRDefault="00000000" w:rsidRPr="00000000" w14:paraId="00000069">
      <w:pPr>
        <w:ind w:left="0" w:firstLine="0"/>
        <w:jc w:val="both"/>
        <w:rPr/>
      </w:pPr>
      <w:r w:rsidDel="00000000" w:rsidR="00000000" w:rsidRPr="00000000">
        <w:rPr>
          <w:rtl w:val="0"/>
        </w:rPr>
      </w:r>
    </w:p>
    <w:p w:rsidR="00000000" w:rsidDel="00000000" w:rsidP="00000000" w:rsidRDefault="00000000" w:rsidRPr="00000000" w14:paraId="0000006A">
      <w:pPr>
        <w:numPr>
          <w:ilvl w:val="0"/>
          <w:numId w:val="3"/>
        </w:numPr>
        <w:ind w:left="720" w:hanging="360"/>
        <w:jc w:val="both"/>
        <w:rPr>
          <w:b w:val="1"/>
        </w:rPr>
      </w:pPr>
      <w:r w:rsidDel="00000000" w:rsidR="00000000" w:rsidRPr="00000000">
        <w:rPr>
          <w:b w:val="1"/>
          <w:rtl w:val="0"/>
        </w:rPr>
        <w:t xml:space="preserve">SCOPUL URMĂRIT PRIN PREZENTUL PROIECT DE LEGE. SCHIMBĂRI PRECONIZATE</w:t>
      </w:r>
    </w:p>
    <w:p w:rsidR="00000000" w:rsidDel="00000000" w:rsidP="00000000" w:rsidRDefault="00000000" w:rsidRPr="00000000" w14:paraId="0000006B">
      <w:pPr>
        <w:ind w:left="720" w:firstLine="0"/>
        <w:jc w:val="both"/>
        <w:rPr/>
      </w:pPr>
      <w:r w:rsidDel="00000000" w:rsidR="00000000" w:rsidRPr="00000000">
        <w:rPr>
          <w:rtl w:val="0"/>
        </w:rPr>
      </w:r>
    </w:p>
    <w:p w:rsidR="00000000" w:rsidDel="00000000" w:rsidP="00000000" w:rsidRDefault="00000000" w:rsidRPr="00000000" w14:paraId="0000006C">
      <w:pPr>
        <w:ind w:left="0" w:firstLine="0"/>
        <w:jc w:val="both"/>
        <w:rPr/>
      </w:pPr>
      <w:r w:rsidDel="00000000" w:rsidR="00000000" w:rsidRPr="00000000">
        <w:rPr>
          <w:rtl w:val="0"/>
        </w:rPr>
        <w:t xml:space="preserve">Scopul principal al prezentului proiect de lege este de a răspunde la o realitate statistică alarmantă: creșterea exponențială a violenței împotriva femeilor, care, în cazuri extreme, culminează cu omorul. Prin introducerea unui cadru legislativ dedicat prevenirii și combaterii femicidului, se urmărește recunoașterea violenței bazate pe gen ca fiind un fenomen distinct și extrem de periculos fiind cea mai gravă manifestare de violență împotriva femeilor și fetelor, care necesită măsuri specifice, dincolo de prevederile generale în materia penală.</w:t>
      </w:r>
    </w:p>
    <w:p w:rsidR="00000000" w:rsidDel="00000000" w:rsidP="00000000" w:rsidRDefault="00000000" w:rsidRPr="00000000" w14:paraId="0000006D">
      <w:pPr>
        <w:ind w:left="0" w:firstLine="0"/>
        <w:jc w:val="both"/>
        <w:rPr/>
      </w:pPr>
      <w:r w:rsidDel="00000000" w:rsidR="00000000" w:rsidRPr="00000000">
        <w:rPr>
          <w:rtl w:val="0"/>
        </w:rPr>
        <w:t xml:space="preserve">Cercetările științifice și experiența relevantă a altor țări au condus la înțelegerea faptului că omorurile în violența domestică și, în special femicidele, sunt precedate de un istoric de violență, care dacă este corect identificat și investigat, printr-o colaborare a tuturor actorilor statali cu atribuții în prevenirea și combaterea violenței domestice, în protejarea și sprijinirea victimelor și în consilierea sau supravegherea agresorilor, poate conduce la prevenirea violenței fatale. </w:t>
      </w:r>
    </w:p>
    <w:p w:rsidR="00000000" w:rsidDel="00000000" w:rsidP="00000000" w:rsidRDefault="00000000" w:rsidRPr="00000000" w14:paraId="0000006E">
      <w:pPr>
        <w:ind w:left="0" w:firstLine="0"/>
        <w:jc w:val="both"/>
        <w:rPr>
          <w:color w:val="ff0000"/>
        </w:rPr>
      </w:pPr>
      <w:r w:rsidDel="00000000" w:rsidR="00000000" w:rsidRPr="00000000">
        <w:rPr>
          <w:rtl w:val="0"/>
        </w:rPr>
        <w:t xml:space="preserve">La elaborarea proiectului au fost avute în vedere experiența organizațiilor neguvernamentale care activează în domeniul prevenirii și combaterii violenței domestice și de gen și rolul cercetării academice în identificarea specificului național al violenței domestice și al violenței împotriva femeilor, care, așa cum arată și statisticile menționate, plasează România cu mult peste media europeană la mai multe categorii privind femeile ucise. </w:t>
      </w:r>
      <w:r w:rsidDel="00000000" w:rsidR="00000000" w:rsidRPr="00000000">
        <w:rPr>
          <w:color w:val="ff0000"/>
          <w:rtl w:val="0"/>
        </w:rPr>
        <w:t xml:space="preserve"> </w:t>
      </w:r>
    </w:p>
    <w:p w:rsidR="00000000" w:rsidDel="00000000" w:rsidP="00000000" w:rsidRDefault="00000000" w:rsidRPr="00000000" w14:paraId="0000006F">
      <w:pPr>
        <w:ind w:left="0" w:firstLine="0"/>
        <w:jc w:val="both"/>
        <w:rPr/>
      </w:pPr>
      <w:r w:rsidDel="00000000" w:rsidR="00000000" w:rsidRPr="00000000">
        <w:rPr>
          <w:rtl w:val="0"/>
        </w:rPr>
        <w:t xml:space="preserve">Legea va recunoaște contextul de gen al violenței, asigurând un proces penal </w:t>
      </w:r>
      <w:r w:rsidDel="00000000" w:rsidR="00000000" w:rsidRPr="00000000">
        <w:rPr>
          <w:rtl w:val="0"/>
        </w:rPr>
        <w:t xml:space="preserve">coerent,</w:t>
      </w:r>
      <w:r w:rsidDel="00000000" w:rsidR="00000000" w:rsidRPr="00000000">
        <w:rPr>
          <w:rtl w:val="0"/>
        </w:rPr>
        <w:t xml:space="preserve"> imparțial și prompt, </w:t>
      </w:r>
      <w:r w:rsidDel="00000000" w:rsidR="00000000" w:rsidRPr="00000000">
        <w:rPr>
          <w:rtl w:val="0"/>
        </w:rPr>
        <w:t xml:space="preserve">folosind instrumente standardizate</w:t>
      </w:r>
      <w:r w:rsidDel="00000000" w:rsidR="00000000" w:rsidRPr="00000000">
        <w:rPr>
          <w:rtl w:val="0"/>
        </w:rPr>
        <w:t xml:space="preserve">, </w:t>
      </w:r>
      <w:r w:rsidDel="00000000" w:rsidR="00000000" w:rsidRPr="00000000">
        <w:rPr>
          <w:rtl w:val="0"/>
        </w:rPr>
        <w:t xml:space="preserve">care constituie modele în alte state ce urmează a fi elaborate și adaptate specificului național.</w:t>
      </w:r>
      <w:r w:rsidDel="00000000" w:rsidR="00000000" w:rsidRPr="00000000">
        <w:rPr>
          <w:rtl w:val="0"/>
        </w:rPr>
        <w:t xml:space="preserve"> Definirea femicidelor va permite </w:t>
      </w:r>
      <w:r w:rsidDel="00000000" w:rsidR="00000000" w:rsidRPr="00000000">
        <w:rPr>
          <w:rtl w:val="0"/>
        </w:rPr>
        <w:t xml:space="preserve">elaborarea unor indicatori statistici care să permită evaluarea tendințelor de evoluție, identificarea factorilor de risc specifici și intervenția adaptată în funcție de acești factori a instituțiilor statului în scopul prevenirii femicidelor.</w:t>
      </w:r>
      <w:r w:rsidDel="00000000" w:rsidR="00000000" w:rsidRPr="00000000">
        <w:rPr>
          <w:rtl w:val="0"/>
        </w:rPr>
      </w:r>
    </w:p>
    <w:p w:rsidR="00000000" w:rsidDel="00000000" w:rsidP="00000000" w:rsidRDefault="00000000" w:rsidRPr="00000000" w14:paraId="00000070">
      <w:pPr>
        <w:ind w:left="720" w:firstLine="0"/>
        <w:jc w:val="both"/>
        <w:rPr/>
      </w:pPr>
      <w:r w:rsidDel="00000000" w:rsidR="00000000" w:rsidRPr="00000000">
        <w:rPr>
          <w:rtl w:val="0"/>
        </w:rPr>
      </w:r>
    </w:p>
    <w:p w:rsidR="00000000" w:rsidDel="00000000" w:rsidP="00000000" w:rsidRDefault="00000000" w:rsidRPr="00000000" w14:paraId="00000071">
      <w:pPr>
        <w:numPr>
          <w:ilvl w:val="0"/>
          <w:numId w:val="3"/>
        </w:numPr>
        <w:ind w:left="720" w:hanging="360"/>
        <w:jc w:val="both"/>
        <w:rPr>
          <w:b w:val="1"/>
        </w:rPr>
      </w:pPr>
      <w:r w:rsidDel="00000000" w:rsidR="00000000" w:rsidRPr="00000000">
        <w:rPr>
          <w:b w:val="1"/>
          <w:rtl w:val="0"/>
        </w:rPr>
        <w:t xml:space="preserve">EFECTELE PROIECTULUI DE ACT NORMATIV ASUPRA LEGISLAȚIEI ÎN VIGOARE</w:t>
      </w:r>
    </w:p>
    <w:p w:rsidR="00000000" w:rsidDel="00000000" w:rsidP="00000000" w:rsidRDefault="00000000" w:rsidRPr="00000000" w14:paraId="00000072">
      <w:pPr>
        <w:ind w:left="720" w:firstLine="0"/>
        <w:jc w:val="both"/>
        <w:rPr/>
      </w:pPr>
      <w:r w:rsidDel="00000000" w:rsidR="00000000" w:rsidRPr="00000000">
        <w:rPr>
          <w:rtl w:val="0"/>
        </w:rPr>
      </w:r>
    </w:p>
    <w:p w:rsidR="00000000" w:rsidDel="00000000" w:rsidP="00000000" w:rsidRDefault="00000000" w:rsidRPr="00000000" w14:paraId="00000073">
      <w:pPr>
        <w:ind w:left="0" w:firstLine="0"/>
        <w:jc w:val="both"/>
        <w:rPr/>
      </w:pPr>
      <w:r w:rsidDel="00000000" w:rsidR="00000000" w:rsidRPr="00000000">
        <w:rPr>
          <w:rtl w:val="0"/>
        </w:rPr>
        <w:t xml:space="preserve">Legea este organizată în trei mari secțiuni, prima parte cuprinzând textele care vor rămâne în ”corpul legii” și vizează definirea femicidului și a tipurilor acestuia, culegerea unitară a datelor primare de către instituțiile de medicină legală, poliție și organele judiciare și întocmirea unor rapoarte statistice care să evidențieze aspecte suplimentare celor care se întocmesc, </w:t>
      </w:r>
      <w:r w:rsidDel="00000000" w:rsidR="00000000" w:rsidRPr="00000000">
        <w:rPr>
          <w:i w:val="1"/>
          <w:rtl w:val="0"/>
        </w:rPr>
        <w:t xml:space="preserve">de lege lata,</w:t>
      </w:r>
      <w:r w:rsidDel="00000000" w:rsidR="00000000" w:rsidRPr="00000000">
        <w:rPr>
          <w:rtl w:val="0"/>
        </w:rPr>
        <w:t xml:space="preserve"> de către aceste instituții și care nu permit în prezent realizarea unei analize detaliate privind relația victimă-agresor. De asemenea, aceste rapoarte nu conțin nicio informație cu privire la copiii ai căror părinți au fost uciși în violența domestică și nici informații privind prezența acestora în contextul omorului, expuși acestui eveniment traumatic major, fie asistând la uciderea părintelui, fie găsind corpul acestuia sau intrând în câmpul infracțional înainte ca urmele omorului să se fi înlăturat din locuința lor. Din datele solicitate de către ONG-uri diverselor instituții publice care au ca atribuții protecția copiilor și investigarea omorurilor, rezultă că România nu are o evidență a copiilor orfani ca urmare a violenței domestice. </w:t>
      </w:r>
    </w:p>
    <w:p w:rsidR="00000000" w:rsidDel="00000000" w:rsidP="00000000" w:rsidRDefault="00000000" w:rsidRPr="00000000" w14:paraId="00000074">
      <w:pPr>
        <w:ind w:left="0" w:firstLine="0"/>
        <w:jc w:val="both"/>
        <w:rPr/>
      </w:pPr>
      <w:r w:rsidDel="00000000" w:rsidR="00000000" w:rsidRPr="00000000">
        <w:rPr>
          <w:rtl w:val="0"/>
        </w:rPr>
        <w:t xml:space="preserve">În actualul context economic crearea unei instituții noi care să colecteze datele oferite de diversele instituții publice privind femicidele, alte omoruri săvârșite în mediul familial, precum și cu privire la copiii orfani ca urmare a violenței domestice, nu a fost o opțiune. În consecință, s-a impus valorificarea experienței în domeniu a singurei structuri recunoscute la nivel european și internațional ca realizând monitorizarea femicidelor și a altor tipuri de omor, efectuând cercetare științifică în acest domeniu și având capacitatea de a oferi recomandări pe baza analizelor efectuate, respectiv Observatorul Român pentru Analiza și Prevenirea Omorurilor (ORAPO), laboratorul de cercetare interdisciplinară care funcționează, începând din 2020, în cadrul Institutului de Sociologie al Academiei Române. La nivel internațional există mai multe tipuri de observatoare care colecteaza date statistice și informații privind femicidele, inițiază activități de conștientizare cu privire la femicid, fac evaluări periodice post-mortem ale cazurilor de femicid, arhivează studii și cercetări privind femicidele și analizează datele privind femicidele produse la nivel național sau regional. În diverse țări structurile acestor organisme sunt diferite, fie fiind înființate în cadrul unor departamente din universități, fie reunind reprezentanți ai instituțiilor guvernamentale, ong-urilor și mediului academic. </w:t>
      </w:r>
    </w:p>
    <w:p w:rsidR="00000000" w:rsidDel="00000000" w:rsidP="00000000" w:rsidRDefault="00000000" w:rsidRPr="00000000" w14:paraId="00000075">
      <w:pPr>
        <w:ind w:left="0" w:firstLine="0"/>
        <w:jc w:val="both"/>
        <w:rPr/>
      </w:pPr>
      <w:r w:rsidDel="00000000" w:rsidR="00000000" w:rsidRPr="00000000">
        <w:rPr>
          <w:rtl w:val="0"/>
        </w:rPr>
        <w:t xml:space="preserve">Raportul ONU din 12 iulie 2021 privind Evaluarea inițiativei de supraveghere a femicidelor, întocmit de Raportorul Special privind violența împotriva femeilor, cauzele și consecințele acesteia, Dubravka Šimonović, recunoaște explicit rolul de ”femicid watch body” național al ORAPO: ”În România, Institutul de Sociologie al Academiei Române administrează Observatorul Român pentru Analiza și Prevenirea omorurilor, care analizează datele privind omorurile intenționate din țară, inclusiv caracteristicile victimelor și ale autorilor”, astfel că ar exista și o continuitate în raportările internaționale și europene, precum și în colaborarea ORAPO cu structurile corespunzătoare din alte </w:t>
      </w:r>
      <w:r w:rsidDel="00000000" w:rsidR="00000000" w:rsidRPr="00000000">
        <w:rPr>
          <w:rtl w:val="0"/>
        </w:rPr>
        <w:t xml:space="preserve">state</w:t>
      </w:r>
      <w:r w:rsidDel="00000000" w:rsidR="00000000" w:rsidRPr="00000000">
        <w:rPr>
          <w:vertAlign w:val="superscript"/>
        </w:rPr>
        <w:footnoteReference w:customMarkFollows="0" w:id="23"/>
      </w:r>
      <w:r w:rsidDel="00000000" w:rsidR="00000000" w:rsidRPr="00000000">
        <w:rPr>
          <w:rtl w:val="0"/>
        </w:rPr>
        <w:t xml:space="preserve">.   </w:t>
      </w:r>
    </w:p>
    <w:p w:rsidR="00000000" w:rsidDel="00000000" w:rsidP="00000000" w:rsidRDefault="00000000" w:rsidRPr="00000000" w14:paraId="00000076">
      <w:pPr>
        <w:ind w:left="720" w:firstLine="0"/>
        <w:jc w:val="both"/>
        <w:rPr/>
      </w:pPr>
      <w:r w:rsidDel="00000000" w:rsidR="00000000" w:rsidRPr="00000000">
        <w:rPr>
          <w:rtl w:val="0"/>
        </w:rPr>
      </w:r>
    </w:p>
    <w:p w:rsidR="00000000" w:rsidDel="00000000" w:rsidP="00000000" w:rsidRDefault="00000000" w:rsidRPr="00000000" w14:paraId="00000077">
      <w:pPr>
        <w:ind w:left="0" w:firstLine="0"/>
        <w:jc w:val="both"/>
        <w:rPr/>
      </w:pPr>
      <w:r w:rsidDel="00000000" w:rsidR="00000000" w:rsidRPr="00000000">
        <w:rPr>
          <w:rtl w:val="0"/>
        </w:rPr>
        <w:t xml:space="preserve">Oferind o definiție agreată la nivel național pentru femicid și o clasificare a tipurilor de femicid, legea obligă organele de urmărire penală să folosească instrumente specifice de evaluare a risc</w:t>
      </w:r>
      <w:r w:rsidDel="00000000" w:rsidR="00000000" w:rsidRPr="00000000">
        <w:rPr>
          <w:rtl w:val="0"/>
        </w:rPr>
        <w:t xml:space="preserve">ului de atac fatal sau sever ori de repetare a violențelor, cu efecte atât în ceea ce privește celeritatea procedurilor penale, cât și în ceea ce vizează eficiența acestora și adaptarea protecției acordate victimei. Aceste instrumente vor permite și unificarea practic</w:t>
      </w:r>
      <w:r w:rsidDel="00000000" w:rsidR="00000000" w:rsidRPr="00000000">
        <w:rPr>
          <w:rtl w:val="0"/>
        </w:rPr>
        <w:t xml:space="preserve">ilor polițienești în cazuri similare și vor ghida administrarea probatoriului specific, pentru a fi identificate elementele de istoric al violenței, precum și pentru recunoașterea tuturor formelor de violență domestică care preced femicidele și alte omoruri în mediul familial. Instrumentele specifice fiecărui tip de femicid, ce urmează a fi elaborate printr-o largă consultate a practicienilor și mediului universitar, vor putea identifica, pe baza unor itemi clari, standardizati, nu doar pericolul privind violențele viitoare, ci și cele mai potrivite tipuri de intervenție pentru protejarea victimei și împiedicarea agresorului de a trece la un atac grav. Introducerea</w:t>
      </w:r>
      <w:r w:rsidDel="00000000" w:rsidR="00000000" w:rsidRPr="00000000">
        <w:rPr>
          <w:rtl w:val="0"/>
        </w:rPr>
        <w:t xml:space="preserve"> instrumentelor specifice de evaluare și gestionare a riscului de femicid, de către organele de urmărire penală, răspunde recomandărilor formulate de către Comitetul de Miniștri al Consiliului Europei în executarea cauzei </w:t>
      </w:r>
      <w:r w:rsidDel="00000000" w:rsidR="00000000" w:rsidRPr="00000000">
        <w:rPr>
          <w:i w:val="1"/>
          <w:rtl w:val="0"/>
        </w:rPr>
        <w:t xml:space="preserve">Bălșan c. României</w:t>
      </w:r>
      <w:r w:rsidDel="00000000" w:rsidR="00000000" w:rsidRPr="00000000">
        <w:rPr>
          <w:vertAlign w:val="superscript"/>
        </w:rPr>
        <w:footnoteReference w:customMarkFollows="0" w:id="24"/>
      </w:r>
      <w:r w:rsidDel="00000000" w:rsidR="00000000" w:rsidRPr="00000000">
        <w:rPr>
          <w:rtl w:val="0"/>
        </w:rPr>
        <w:t xml:space="preserve">.</w:t>
      </w:r>
    </w:p>
    <w:p w:rsidR="00000000" w:rsidDel="00000000" w:rsidP="00000000" w:rsidRDefault="00000000" w:rsidRPr="00000000" w14:paraId="00000078">
      <w:pPr>
        <w:jc w:val="both"/>
        <w:rPr/>
      </w:pPr>
      <w:r w:rsidDel="00000000" w:rsidR="00000000" w:rsidRPr="00000000">
        <w:rPr>
          <w:rtl w:val="0"/>
        </w:rPr>
        <w:t xml:space="preserve">Pe lângă măsurile care se adresează instituțiilor publice care combat violența domestică, pentru prevenirea acesteia este necesară educația continuă, începută de timpuriu și continuată la toate categoriile de vârstă, pentru construirea unei societăți cu mai puțină violență domestică și violență de gen în viitor.</w:t>
      </w:r>
      <w:r w:rsidDel="00000000" w:rsidR="00000000" w:rsidRPr="00000000">
        <w:rPr>
          <w:rtl w:val="0"/>
        </w:rPr>
        <w:t xml:space="preserve"> Egalitatea de gen reprezintă unul dintre cele 17 Obiective de Dezvoltare Durabilă (SDGs) ale Agendei 2030 pentru Dezvoltare Durabilă, adoptată de Adunarea Generală a ONU în septembrie 2015. Egalitatea de gen apare ca Obiectivul 5 – „Obținerea egalității de gen și emanciparea tuturor femeilor și fetelor”. În plus, ”Strategia Uniunii Europene privind Egalitatea de Gen 2020-2025” subliniază nevoia de prevenire a violenței de gen prin măsuri adoptate la nivel de formare și educație. GREVIO recomandă României să intensifice educația privind egalitatea de gen, promovând în școli valori precum respectul reciproc, soluționarea nonviolentă a conflictelor și dreptul la integritate personală, precum și informarea elevilor despre formele de violență de gen, pentru a combate stereotipurile și relațiile de putere inegale dintre femei și bărbați</w:t>
      </w:r>
      <w:r w:rsidDel="00000000" w:rsidR="00000000" w:rsidRPr="00000000">
        <w:rPr>
          <w:vertAlign w:val="superscript"/>
        </w:rPr>
        <w:footnoteReference w:customMarkFollows="0" w:id="25"/>
      </w:r>
      <w:r w:rsidDel="00000000" w:rsidR="00000000" w:rsidRPr="00000000">
        <w:rPr>
          <w:rtl w:val="0"/>
        </w:rPr>
        <w:t xml:space="preserve">. Educația formală constituie elementul central al prevenirii formării mentalităților ce duc la violența împotriva femeilor și fetelor. Proiectul de lege privește includerea în programele școlare aferente disciplinelor din trunchiul comun a temelor privind egalitatea de gen, formele de violență împotriva femeilor și fetelor, etica relațiilor non-violente, cât și dezvoltarea competențelor cadrelor didactice în vederea predării și integrării acestor teme.</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ind w:left="0" w:firstLine="0"/>
        <w:jc w:val="both"/>
        <w:rPr/>
      </w:pPr>
      <w:r w:rsidDel="00000000" w:rsidR="00000000" w:rsidRPr="00000000">
        <w:rPr>
          <w:rtl w:val="0"/>
        </w:rPr>
        <w:t xml:space="preserve">Prin acest proiect de lege vor fi modificate și completate, din perspectiva unei protecții sporite a victimelor și a descurajării agresorilor, următoarele acte normative: Legea nr. 286/2009 privind Codul Penal și Legea nr. 135/2010 privind Codul de Procedură Penală.</w:t>
      </w:r>
    </w:p>
    <w:p w:rsidR="00000000" w:rsidDel="00000000" w:rsidP="00000000" w:rsidRDefault="00000000" w:rsidRPr="00000000" w14:paraId="0000007B">
      <w:pPr>
        <w:ind w:left="0" w:firstLine="0"/>
        <w:jc w:val="both"/>
        <w:rPr/>
      </w:pPr>
      <w:r w:rsidDel="00000000" w:rsidR="00000000" w:rsidRPr="00000000">
        <w:rPr>
          <w:rtl w:val="0"/>
        </w:rPr>
        <w:t xml:space="preserve">În ceea ce privește Codul Penal, una dintre principalele probleme pe care prezenta lege le rezolvă este aceea că, în lipsa încadrării juridice ca omor calificat a uciderii unui membru de familie, instanțele de judecată nu puteau aplica detenția pe viață, deși această pedeapsă este prevăzută de legislația din majoritatea statelor europene care au reglementat fie femicidul ca infracțiune distinctă, fie ca agravanta a omorului uciderea partenerului/partenerei ori uciderea altui membru de familie.</w:t>
      </w:r>
    </w:p>
    <w:p w:rsidR="00000000" w:rsidDel="00000000" w:rsidP="00000000" w:rsidRDefault="00000000" w:rsidRPr="00000000" w14:paraId="0000007C">
      <w:pPr>
        <w:ind w:left="0" w:firstLine="0"/>
        <w:jc w:val="both"/>
        <w:rPr/>
      </w:pPr>
      <w:r w:rsidDel="00000000" w:rsidR="00000000" w:rsidRPr="00000000">
        <w:rPr>
          <w:rtl w:val="0"/>
        </w:rPr>
        <w:t xml:space="preserve"> În plus, o serie de alte circumstanțe care califica omorul au fost adăugate, astfel:  </w:t>
      </w:r>
    </w:p>
    <w:p w:rsidR="00000000" w:rsidDel="00000000" w:rsidP="00000000" w:rsidRDefault="00000000" w:rsidRPr="00000000" w14:paraId="0000007D">
      <w:pPr>
        <w:numPr>
          <w:ilvl w:val="0"/>
          <w:numId w:val="4"/>
        </w:numPr>
        <w:ind w:left="1440" w:hanging="360"/>
        <w:jc w:val="both"/>
        <w:rPr/>
      </w:pPr>
      <w:r w:rsidDel="00000000" w:rsidR="00000000" w:rsidRPr="00000000">
        <w:rPr>
          <w:rtl w:val="0"/>
        </w:rPr>
        <w:t xml:space="preserve">Lit. j) se referă atât la situațiile de omor săvârșite asupra actualului/fostului soț sau concubin și, respectiv, actualei/fostei soții/concubine, indiferent de durata relației și de aspectul locuirii împreuna a concubinilor.</w:t>
      </w:r>
      <w:r w:rsidDel="00000000" w:rsidR="00000000" w:rsidRPr="00000000">
        <w:rPr>
          <w:rtl w:val="0"/>
        </w:rPr>
        <w:t xml:space="preserve"> Această agravantă vizează, însă, nu doar existența unei astfel de calități, ci și asocierea unui comportament de control asupra victimei; </w:t>
      </w:r>
      <w:r w:rsidDel="00000000" w:rsidR="00000000" w:rsidRPr="00000000">
        <w:rPr>
          <w:rtl w:val="0"/>
        </w:rPr>
        <w:t xml:space="preserve">pentru rațiuni similare se introduc agravante similare și la celelalte infracțiuni de violență fizică.  </w:t>
      </w:r>
    </w:p>
    <w:p w:rsidR="00000000" w:rsidDel="00000000" w:rsidP="00000000" w:rsidRDefault="00000000" w:rsidRPr="00000000" w14:paraId="0000007E">
      <w:pPr>
        <w:numPr>
          <w:ilvl w:val="0"/>
          <w:numId w:val="4"/>
        </w:numPr>
        <w:ind w:left="1440" w:hanging="360"/>
        <w:jc w:val="both"/>
        <w:rPr/>
      </w:pPr>
      <w:r w:rsidDel="00000000" w:rsidR="00000000" w:rsidRPr="00000000">
        <w:rPr>
          <w:rtl w:val="0"/>
        </w:rPr>
        <w:t xml:space="preserve">Agravanta de la litera k) preia textul agravantei generale prevăzute de art. 77 lit. h) Cod penal, cu excepția circumstanțelor care sunt deja prevăzute la lit. i) deoarece toate acele criterii de discriminare dovedesc o periculozitate sporită a agresorului, care se plasează profund greșit față de dreptul fundamental la viață al tuturor ființelor umane. </w:t>
      </w:r>
    </w:p>
    <w:p w:rsidR="00000000" w:rsidDel="00000000" w:rsidP="00000000" w:rsidRDefault="00000000" w:rsidRPr="00000000" w14:paraId="0000007F">
      <w:pPr>
        <w:numPr>
          <w:ilvl w:val="0"/>
          <w:numId w:val="4"/>
        </w:numPr>
        <w:ind w:left="1440" w:hanging="360"/>
        <w:jc w:val="both"/>
        <w:rPr/>
      </w:pPr>
      <w:r w:rsidDel="00000000" w:rsidR="00000000" w:rsidRPr="00000000">
        <w:rPr>
          <w:rtl w:val="0"/>
        </w:rPr>
        <w:t xml:space="preserve">Lit. l) pedepsește mai aspru, distinct, uciderea motivată de răzbunarea pentru împotrivirea la căsătoria/coabitarea forțată din cauza refuzului victimei de a încheia o căsătorie sau de a conviețui într-o relație asemănătoare aceleia dintre soți (așa cum este cunoscut că a acționat ucigașul Teodorei Marcu) ori motivat de divorț, de separarea în fapt sau de ieșirea din relația asemănătoare aceleia dintre soți, studiile în domeniu relevând ponderea foarte importantă a femicidelor și a uciderii copiilor în scop de răzbunare față de soția sau partenera care intenționează să încheie relația sau a ieșit relativ recent din acea relație. Textul, însă, pedepsește orice persoană care ucide din acest motiv, nu doar pe acela care își dorește o relație sau să păstreze relația cu persoana ucisă, indiferent dacă victima este femeie sau bărbat. Dispoziții similare sub acest aspect se regăsesc și în codurile penale francez și italian. </w:t>
      </w:r>
    </w:p>
    <w:p w:rsidR="00000000" w:rsidDel="00000000" w:rsidP="00000000" w:rsidRDefault="00000000" w:rsidRPr="00000000" w14:paraId="00000080">
      <w:pPr>
        <w:spacing w:after="240" w:before="240" w:lineRule="auto"/>
        <w:jc w:val="both"/>
        <w:rPr>
          <w:highlight w:val="white"/>
        </w:rPr>
      </w:pPr>
      <w:r w:rsidDel="00000000" w:rsidR="00000000" w:rsidRPr="00000000">
        <w:rPr>
          <w:highlight w:val="white"/>
          <w:rtl w:val="0"/>
        </w:rPr>
        <w:t xml:space="preserve">La articolul 199 Cod Penal s-a introdus un text care să permită o protecție similară foștilor membri de familie, ca și membrilor actuali și se înlătură dispoziția care lăsa la latitudinea organului de urmărire penală acțiunea penală din oficiu. Statul își asumă obligația să protejeze victima violenței domestice și a violenței de gen, mai presus de voința victimei, deci chiar dacă aceasta nu cooperează sau își retrage plângerea, așa cum s-a stabilit în jurisprudența CEDO. Aceeași este rațiunea și pentru înlăturarea condiției privind formularea plângerii prealabile pentru infracțiunile sexuale săvârșite asupra victimelor majore, infracțiuni a căror gravitate este recunoscută inclusiv prin imprescriptibilitatea răspunderii penale. </w:t>
      </w:r>
    </w:p>
    <w:p w:rsidR="00000000" w:rsidDel="00000000" w:rsidP="00000000" w:rsidRDefault="00000000" w:rsidRPr="00000000" w14:paraId="00000081">
      <w:pPr>
        <w:spacing w:after="240" w:before="240" w:lineRule="auto"/>
        <w:jc w:val="both"/>
        <w:rPr>
          <w:highlight w:val="white"/>
        </w:rPr>
      </w:pPr>
      <w:r w:rsidDel="00000000" w:rsidR="00000000" w:rsidRPr="00000000">
        <w:rPr>
          <w:highlight w:val="white"/>
          <w:rtl w:val="0"/>
        </w:rPr>
        <w:t xml:space="preserve">Prin noul articol 208</w:t>
      </w:r>
      <w:r w:rsidDel="00000000" w:rsidR="00000000" w:rsidRPr="00000000">
        <w:rPr>
          <w:highlight w:val="white"/>
          <w:vertAlign w:val="superscript"/>
          <w:rtl w:val="0"/>
        </w:rPr>
        <w:t xml:space="preserve">1</w:t>
      </w:r>
      <w:r w:rsidDel="00000000" w:rsidR="00000000" w:rsidRPr="00000000">
        <w:rPr>
          <w:highlight w:val="white"/>
          <w:rtl w:val="0"/>
        </w:rPr>
        <w:t xml:space="preserve"> se pedepsesc mai aspru și celelalte infracțiuni săvârșite împotriva persoanei fizice în circumstanțele agravante stabilite deja în cazul violenței fizice și se introduce posibilitatea punerii în mișcare a acțiunii penale din oficiu în special în cazul în care victimele sunt membrii de familie ai agresorului sau persoane care au avut în trecut această calitate.</w:t>
      </w:r>
    </w:p>
    <w:p w:rsidR="00000000" w:rsidDel="00000000" w:rsidP="00000000" w:rsidRDefault="00000000" w:rsidRPr="00000000" w14:paraId="00000082">
      <w:pPr>
        <w:spacing w:after="240" w:before="240" w:lineRule="auto"/>
        <w:jc w:val="both"/>
        <w:rPr>
          <w:highlight w:val="white"/>
        </w:rPr>
      </w:pPr>
      <w:r w:rsidDel="00000000" w:rsidR="00000000" w:rsidRPr="00000000">
        <w:rPr>
          <w:highlight w:val="white"/>
          <w:rtl w:val="0"/>
        </w:rPr>
        <w:t xml:space="preserve">Și infracțiunea de violare de domiciliu, prevăzută de art. 224 Cod Penal va avea o agravantă nouă, în cazul în care fapta este săvârşită de o persoană care are instituită obligația de a nu se apropia de acea locuință, încăpere, dependinţă sau loc împrejmuit ţinând de acestea ori de a nu se afla în localitatea sau zona în care se află acestea, printr-un ordin de protecție, ordin de protecție provizoriu, ordin european de protecție, printr-o măsură preventivă, măsură educativă sau prin orice astfel de obligație sau interdicție stabilită printr-o hotărâre judecătorească civilă sau penală. De asemenea, se restrânge plângerea prealabilă doar pentru fapta de la alin. (1).</w:t>
      </w:r>
      <w:r w:rsidDel="00000000" w:rsidR="00000000" w:rsidRPr="00000000">
        <w:rPr>
          <w:rtl w:val="0"/>
        </w:rPr>
      </w:r>
    </w:p>
    <w:p w:rsidR="00000000" w:rsidDel="00000000" w:rsidP="00000000" w:rsidRDefault="00000000" w:rsidRPr="00000000" w14:paraId="00000083">
      <w:pPr>
        <w:shd w:fill="ffffff" w:val="clear"/>
        <w:spacing w:after="240" w:before="240" w:lineRule="auto"/>
        <w:jc w:val="both"/>
        <w:rPr/>
      </w:pPr>
      <w:r w:rsidDel="00000000" w:rsidR="00000000" w:rsidRPr="00000000">
        <w:rPr>
          <w:highlight w:val="white"/>
          <w:rtl w:val="0"/>
        </w:rPr>
        <w:t xml:space="preserve">Două aplicații ale principiului umanismului în procesul penal sunt introducerea noului articol 294</w:t>
      </w:r>
      <w:r w:rsidDel="00000000" w:rsidR="00000000" w:rsidRPr="00000000">
        <w:rPr>
          <w:highlight w:val="white"/>
          <w:vertAlign w:val="superscript"/>
          <w:rtl w:val="0"/>
        </w:rPr>
        <w:t xml:space="preserve">2</w:t>
      </w:r>
      <w:r w:rsidDel="00000000" w:rsidR="00000000" w:rsidRPr="00000000">
        <w:rPr>
          <w:highlight w:val="white"/>
          <w:rtl w:val="0"/>
        </w:rPr>
        <w:t xml:space="preserve"> privind l</w:t>
      </w:r>
      <w:r w:rsidDel="00000000" w:rsidR="00000000" w:rsidRPr="00000000">
        <w:rPr>
          <w:highlight w:val="white"/>
          <w:rtl w:val="0"/>
        </w:rPr>
        <w:t xml:space="preserve">uarea măsurilor de ocrotire în caz de deces al unei victime ca urmare a unei fapte prevăzute de legea penală și, similar, în cazul în care victima este inconștientă, precum și completarea articolului 404 cu un nou alineat, pentru a fi rezolvată chiar de către instanța penală (similar prevederilor din codul italian) problema nedemnității succesorale a ucigașului, de multe ori, acesta având calitatea de soț supraviețuitor, putând veni la succesiunea victimei în concurs cu copiii acesteia și limitând dreptul copiilor la pensie de urmaș. </w:t>
      </w:r>
      <w:r w:rsidDel="00000000" w:rsidR="00000000" w:rsidRPr="00000000">
        <w:rPr>
          <w:rtl w:val="0"/>
        </w:rPr>
      </w:r>
    </w:p>
    <w:p w:rsidR="00000000" w:rsidDel="00000000" w:rsidP="00000000" w:rsidRDefault="00000000" w:rsidRPr="00000000" w14:paraId="00000084">
      <w:pPr>
        <w:numPr>
          <w:ilvl w:val="0"/>
          <w:numId w:val="3"/>
        </w:numPr>
        <w:spacing w:after="120" w:line="276" w:lineRule="auto"/>
        <w:ind w:left="720" w:hanging="360"/>
        <w:jc w:val="both"/>
        <w:rPr/>
      </w:pPr>
      <w:r w:rsidDel="00000000" w:rsidR="00000000" w:rsidRPr="00000000">
        <w:rPr>
          <w:rtl w:val="0"/>
        </w:rPr>
        <w:t xml:space="preserve">                </w:t>
      </w:r>
      <w:r w:rsidDel="00000000" w:rsidR="00000000" w:rsidRPr="00000000">
        <w:rPr>
          <w:b w:val="1"/>
          <w:rtl w:val="0"/>
        </w:rPr>
        <w:t xml:space="preserve">CONCLUZII</w:t>
      </w:r>
    </w:p>
    <w:p w:rsidR="00000000" w:rsidDel="00000000" w:rsidP="00000000" w:rsidRDefault="00000000" w:rsidRPr="00000000" w14:paraId="00000085">
      <w:pPr>
        <w:spacing w:after="120" w:line="276" w:lineRule="auto"/>
        <w:ind w:left="0" w:firstLine="0"/>
        <w:jc w:val="both"/>
        <w:rPr/>
      </w:pPr>
      <w:r w:rsidDel="00000000" w:rsidR="00000000" w:rsidRPr="00000000">
        <w:rPr>
          <w:color w:val="d9d9d9"/>
          <w:rtl w:val="0"/>
        </w:rPr>
        <w:t xml:space="preserve">            </w:t>
      </w:r>
      <w:r w:rsidDel="00000000" w:rsidR="00000000" w:rsidRPr="00000000">
        <w:rPr>
          <w:rtl w:val="0"/>
        </w:rPr>
        <w:t xml:space="preserve">În ansamblul său, această propunere legislativă reflectă angajamentul statului român de a combate violența bazată pe gen, de a respecta drepturile fundamentale ale femeilor în familie și în societate, precum și drepturile copiilor de a fi protejați de abuzuri în mediul familial. Propunerea legislativă reprezintă un avans necesar în conștientizarea cauzelor marii violențe îndreptate împotriva femeilor și stabilește ancore pentru elaborarea unor instrumente unitare și eficiente pentru ca profesioniștii să identifice riscul unui astfel de atac și să instrumenteze corect și urgent violențele care preced femicidele și alte omoruri asupra membrilor de familie. De asemenea, prezenta lege asigură modernizarea și umanizarea legislației penale și procesual penale, acordând atenție celor mai vulnerabili membri de familie, contribuind la asigurarea, pe viitor, a unui răspuns adaptat realităților sociale din România și reunește soluții care vin în întâmpinarea obligațiilor asumate la nivelul Uniunii Europene.</w:t>
      </w:r>
    </w:p>
    <w:p w:rsidR="00000000" w:rsidDel="00000000" w:rsidP="00000000" w:rsidRDefault="00000000" w:rsidRPr="00000000" w14:paraId="00000086">
      <w:pPr>
        <w:ind w:left="720" w:firstLine="0"/>
        <w:jc w:val="both"/>
        <w:rPr/>
      </w:pPr>
      <w:r w:rsidDel="00000000" w:rsidR="00000000" w:rsidRPr="00000000">
        <w:rPr>
          <w:rtl w:val="0"/>
        </w:rPr>
      </w:r>
    </w:p>
    <w:p w:rsidR="00000000" w:rsidDel="00000000" w:rsidP="00000000" w:rsidRDefault="00000000" w:rsidRPr="00000000" w14:paraId="00000087">
      <w:pPr>
        <w:jc w:val="center"/>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6">
    <w:p w:rsidR="00000000" w:rsidDel="00000000" w:rsidP="00000000" w:rsidRDefault="00000000" w:rsidRPr="00000000" w14:paraId="00000089">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Națiunile Unite, 2013, </w:t>
      </w:r>
      <w:r w:rsidDel="00000000" w:rsidR="00000000" w:rsidRPr="00000000">
        <w:rPr>
          <w:i w:val="1"/>
          <w:sz w:val="18"/>
          <w:szCs w:val="18"/>
          <w:rtl w:val="0"/>
        </w:rPr>
        <w:t xml:space="preserve">Vienna Declaration of Femicide</w:t>
      </w:r>
      <w:r w:rsidDel="00000000" w:rsidR="00000000" w:rsidRPr="00000000">
        <w:rPr>
          <w:sz w:val="18"/>
          <w:szCs w:val="18"/>
          <w:rtl w:val="0"/>
        </w:rPr>
        <w:t xml:space="preserve">, p.2, disponibilă la adresa: </w:t>
      </w:r>
      <w:hyperlink r:id="rId1">
        <w:r w:rsidDel="00000000" w:rsidR="00000000" w:rsidRPr="00000000">
          <w:rPr>
            <w:color w:val="1155cc"/>
            <w:sz w:val="18"/>
            <w:szCs w:val="18"/>
            <w:u w:val="single"/>
            <w:rtl w:val="0"/>
          </w:rPr>
          <w:t xml:space="preserve">https://www.unodc.org/documents/commissions/CCPCJ/CCPCJ_Sessions/CCPCJ_22/_E-CN15-2013-NGO1/E-CN15-2013-NGO1_E.pdf</w:t>
        </w:r>
      </w:hyperlink>
      <w:r w:rsidDel="00000000" w:rsidR="00000000" w:rsidRPr="00000000">
        <w:rPr>
          <w:rtl w:val="0"/>
        </w:rPr>
      </w:r>
    </w:p>
  </w:footnote>
  <w:footnote w:id="10">
    <w:p w:rsidR="00000000" w:rsidDel="00000000" w:rsidP="00000000" w:rsidRDefault="00000000" w:rsidRPr="00000000" w14:paraId="0000008A">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color w:val="0000ff"/>
          <w:sz w:val="18"/>
          <w:szCs w:val="18"/>
          <w:rtl w:val="0"/>
        </w:rPr>
        <w:t xml:space="preserve">UNODC, 2023, Global Study on Homicide 2023, p. 10 disponibil la: </w:t>
      </w:r>
      <w:hyperlink r:id="rId2">
        <w:r w:rsidDel="00000000" w:rsidR="00000000" w:rsidRPr="00000000">
          <w:rPr>
            <w:color w:val="1155cc"/>
            <w:sz w:val="18"/>
            <w:szCs w:val="18"/>
            <w:u w:val="single"/>
            <w:rtl w:val="0"/>
          </w:rPr>
          <w:t xml:space="preserve">https://www.unodc.org/documents/data-and-analysis/gsh/2023/Global_study_on_homicide_2023_web.pdf</w:t>
        </w:r>
      </w:hyperlink>
      <w:r w:rsidDel="00000000" w:rsidR="00000000" w:rsidRPr="00000000">
        <w:rPr>
          <w:color w:val="0000ff"/>
          <w:sz w:val="18"/>
          <w:szCs w:val="18"/>
          <w:rtl w:val="0"/>
        </w:rPr>
        <w:t xml:space="preserve"> </w:t>
      </w:r>
      <w:r w:rsidDel="00000000" w:rsidR="00000000" w:rsidRPr="00000000">
        <w:rPr>
          <w:rtl w:val="0"/>
        </w:rPr>
      </w:r>
    </w:p>
  </w:footnote>
  <w:footnote w:id="8">
    <w:p w:rsidR="00000000" w:rsidDel="00000000" w:rsidP="00000000" w:rsidRDefault="00000000" w:rsidRPr="00000000" w14:paraId="0000008B">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United Nations A/RES/70/1  70/1. Transforming our world: the 2030 Agenda for  Sustainable Development.Goal 16. Promote peaceful and inclusive societies for sustainable development, p. 25, disponibila la:   </w:t>
      </w:r>
      <w:hyperlink r:id="rId3">
        <w:r w:rsidDel="00000000" w:rsidR="00000000" w:rsidRPr="00000000">
          <w:rPr>
            <w:color w:val="1155cc"/>
            <w:sz w:val="18"/>
            <w:szCs w:val="18"/>
            <w:u w:val="single"/>
            <w:rtl w:val="0"/>
          </w:rPr>
          <w:t xml:space="preserve">https://docs.un.org/en/A/RES/70/1</w:t>
        </w:r>
      </w:hyperlink>
      <w:r w:rsidDel="00000000" w:rsidR="00000000" w:rsidRPr="00000000">
        <w:rPr>
          <w:sz w:val="18"/>
          <w:szCs w:val="18"/>
          <w:rtl w:val="0"/>
        </w:rPr>
        <w:t xml:space="preserve"> </w:t>
      </w:r>
    </w:p>
  </w:footnote>
  <w:footnote w:id="12">
    <w:p w:rsidR="00000000" w:rsidDel="00000000" w:rsidP="00000000" w:rsidRDefault="00000000" w:rsidRPr="00000000" w14:paraId="0000008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Ibidem.</w:t>
      </w:r>
    </w:p>
  </w:footnote>
  <w:footnote w:id="13">
    <w:p w:rsidR="00000000" w:rsidDel="00000000" w:rsidP="00000000" w:rsidRDefault="00000000" w:rsidRPr="00000000" w14:paraId="0000008D">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0ff"/>
          <w:sz w:val="18"/>
          <w:szCs w:val="18"/>
          <w:rtl w:val="0"/>
        </w:rPr>
        <w:t xml:space="preserve">Eurostat, 2025,  Intentional homicide and sexual offences by legal status and sex of the person involved, last update 23.04.2025 disponibil la: </w:t>
      </w:r>
      <w:hyperlink r:id="rId4">
        <w:r w:rsidDel="00000000" w:rsidR="00000000" w:rsidRPr="00000000">
          <w:rPr>
            <w:color w:val="1155cc"/>
            <w:sz w:val="18"/>
            <w:szCs w:val="18"/>
            <w:u w:val="single"/>
            <w:rtl w:val="0"/>
          </w:rPr>
          <w:t xml:space="preserve">https://ec.europa.eu/eurostat/databrowser/view/crim_hom_soff/default/table?lang=en&amp;category=crim.crim_hom</w:t>
        </w:r>
      </w:hyperlink>
      <w:r w:rsidDel="00000000" w:rsidR="00000000" w:rsidRPr="00000000">
        <w:rPr>
          <w:rtl w:val="0"/>
        </w:rPr>
      </w:r>
    </w:p>
  </w:footnote>
  <w:footnote w:id="14">
    <w:p w:rsidR="00000000" w:rsidDel="00000000" w:rsidP="00000000" w:rsidRDefault="00000000" w:rsidRPr="00000000" w14:paraId="0000008E">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0ff"/>
          <w:sz w:val="18"/>
          <w:szCs w:val="18"/>
          <w:rtl w:val="0"/>
        </w:rPr>
        <w:t xml:space="preserve">Procentul a fost calculat pe baza datelor privind victimele omorurilor estimate de către UNODC, 2025, Intentional homicide, disponibile la: </w:t>
      </w:r>
      <w:hyperlink r:id="rId5">
        <w:r w:rsidDel="00000000" w:rsidR="00000000" w:rsidRPr="00000000">
          <w:rPr>
            <w:color w:val="1155cc"/>
            <w:sz w:val="18"/>
            <w:szCs w:val="18"/>
            <w:u w:val="single"/>
            <w:rtl w:val="0"/>
          </w:rPr>
          <w:t xml:space="preserve">https://dataunodc.un.org/dp-intentional-homicide-victims</w:t>
        </w:r>
      </w:hyperlink>
      <w:r w:rsidDel="00000000" w:rsidR="00000000" w:rsidRPr="00000000">
        <w:rPr>
          <w:rtl w:val="0"/>
        </w:rPr>
      </w:r>
    </w:p>
  </w:footnote>
  <w:footnote w:id="15">
    <w:p w:rsidR="00000000" w:rsidDel="00000000" w:rsidP="00000000" w:rsidRDefault="00000000" w:rsidRPr="00000000" w14:paraId="0000008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0ff"/>
          <w:sz w:val="20"/>
          <w:szCs w:val="20"/>
          <w:rtl w:val="0"/>
        </w:rPr>
        <w:t xml:space="preserve">UNODC, 2023, Global Study on Homicide 2023, p.9, disponibil la : </w:t>
      </w:r>
      <w:hyperlink r:id="rId6">
        <w:r w:rsidDel="00000000" w:rsidR="00000000" w:rsidRPr="00000000">
          <w:rPr>
            <w:color w:val="1155cc"/>
            <w:sz w:val="20"/>
            <w:szCs w:val="20"/>
            <w:u w:val="single"/>
            <w:rtl w:val="0"/>
          </w:rPr>
          <w:t xml:space="preserve">https://www.unodc.org/documents/data-and-analysis/gsh/2023/Global_study_on_homicide_2023_web.pdf</w:t>
        </w:r>
      </w:hyperlink>
      <w:r w:rsidDel="00000000" w:rsidR="00000000" w:rsidRPr="00000000">
        <w:rPr>
          <w:color w:val="0000ff"/>
          <w:sz w:val="20"/>
          <w:szCs w:val="20"/>
          <w:rtl w:val="0"/>
        </w:rPr>
        <w:t xml:space="preserve"> </w:t>
      </w:r>
      <w:r w:rsidDel="00000000" w:rsidR="00000000" w:rsidRPr="00000000">
        <w:rPr>
          <w:rtl w:val="0"/>
        </w:rPr>
      </w:r>
    </w:p>
  </w:footnote>
  <w:footnote w:id="18">
    <w:p w:rsidR="00000000" w:rsidDel="00000000" w:rsidP="00000000" w:rsidRDefault="00000000" w:rsidRPr="00000000" w14:paraId="00000090">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Procentul a fost calculat pe baza datelor Eurostat Eurostat, Intentional homicide and sexual offences by legal status and sex of the person involved, last update 23.04.2025 disponibil la:</w:t>
      </w:r>
    </w:p>
    <w:p w:rsidR="00000000" w:rsidDel="00000000" w:rsidP="00000000" w:rsidRDefault="00000000" w:rsidRPr="00000000" w14:paraId="00000091">
      <w:pPr>
        <w:spacing w:line="240" w:lineRule="auto"/>
        <w:jc w:val="both"/>
        <w:rPr>
          <w:sz w:val="18"/>
          <w:szCs w:val="18"/>
          <w:highlight w:val="yellow"/>
        </w:rPr>
      </w:pPr>
      <w:hyperlink r:id="rId7">
        <w:r w:rsidDel="00000000" w:rsidR="00000000" w:rsidRPr="00000000">
          <w:rPr>
            <w:color w:val="1155cc"/>
            <w:sz w:val="18"/>
            <w:szCs w:val="18"/>
            <w:u w:val="single"/>
            <w:rtl w:val="0"/>
          </w:rPr>
          <w:t xml:space="preserve">https://ec.europa.eu/eurostat/databrowser/view/crim_hom_soff/default/table?lang=en&amp;category=crim.crim_hom</w:t>
        </w:r>
      </w:hyperlink>
      <w:r w:rsidDel="00000000" w:rsidR="00000000" w:rsidRPr="00000000">
        <w:rPr>
          <w:sz w:val="18"/>
          <w:szCs w:val="18"/>
          <w:rtl w:val="0"/>
        </w:rPr>
        <w:t xml:space="preserve"> </w:t>
      </w:r>
      <w:r w:rsidDel="00000000" w:rsidR="00000000" w:rsidRPr="00000000">
        <w:rPr>
          <w:sz w:val="18"/>
          <w:szCs w:val="18"/>
          <w:rtl w:val="0"/>
        </w:rPr>
        <w:t xml:space="preserve">și al datelor privind victimele omorurilor comise între membri de familie furnizate de către Inspectoratul General al </w:t>
      </w:r>
      <w:r w:rsidDel="00000000" w:rsidR="00000000" w:rsidRPr="00000000">
        <w:rPr>
          <w:sz w:val="18"/>
          <w:szCs w:val="18"/>
          <w:rtl w:val="0"/>
        </w:rPr>
        <w:t xml:space="preserve">Poliției Române (2014-2019) Direcția Cazier judiciar, Statistică și Evidențe operative, adresa 445085/S4/VAM/11.09.2020</w:t>
      </w:r>
      <w:r w:rsidDel="00000000" w:rsidR="00000000" w:rsidRPr="00000000">
        <w:rPr>
          <w:rtl w:val="0"/>
        </w:rPr>
      </w:r>
    </w:p>
  </w:footnote>
  <w:footnote w:id="16">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0ff"/>
          <w:sz w:val="20"/>
          <w:szCs w:val="20"/>
          <w:rtl w:val="0"/>
        </w:rPr>
        <w:t xml:space="preserve">UNODC, 2023, Global Study on Homicide 2023, p.13, disponibil la : </w:t>
      </w:r>
      <w:hyperlink r:id="rId8">
        <w:r w:rsidDel="00000000" w:rsidR="00000000" w:rsidRPr="00000000">
          <w:rPr>
            <w:color w:val="1155cc"/>
            <w:sz w:val="20"/>
            <w:szCs w:val="20"/>
            <w:u w:val="single"/>
            <w:rtl w:val="0"/>
          </w:rPr>
          <w:t xml:space="preserve">https://www.unodc.org/documents/data-and-analysis/gsh/2023/Global_study_on_homicide_2023_web.pdf</w:t>
        </w:r>
      </w:hyperlink>
      <w:r w:rsidDel="00000000" w:rsidR="00000000" w:rsidRPr="00000000">
        <w:rPr>
          <w:rtl w:val="0"/>
        </w:rPr>
      </w:r>
    </w:p>
  </w:footnote>
  <w:footnote w:id="17">
    <w:p w:rsidR="00000000" w:rsidDel="00000000" w:rsidP="00000000" w:rsidRDefault="00000000" w:rsidRPr="00000000" w14:paraId="00000093">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Procentul a fost calculat pe baza datelor Eurostat Eurostat, Intentional homicide and sexual offences by legal status and sex of the person involved, last update 23.04.2025 disponibil la:</w:t>
      </w:r>
    </w:p>
    <w:p w:rsidR="00000000" w:rsidDel="00000000" w:rsidP="00000000" w:rsidRDefault="00000000" w:rsidRPr="00000000" w14:paraId="00000094">
      <w:pPr>
        <w:spacing w:line="240" w:lineRule="auto"/>
        <w:jc w:val="both"/>
        <w:rPr>
          <w:color w:val="ffff00"/>
          <w:sz w:val="14"/>
          <w:szCs w:val="14"/>
          <w:highlight w:val="yellow"/>
        </w:rPr>
      </w:pPr>
      <w:hyperlink r:id="rId9">
        <w:r w:rsidDel="00000000" w:rsidR="00000000" w:rsidRPr="00000000">
          <w:rPr>
            <w:color w:val="1155cc"/>
            <w:sz w:val="18"/>
            <w:szCs w:val="18"/>
            <w:u w:val="single"/>
            <w:rtl w:val="0"/>
          </w:rPr>
          <w:t xml:space="preserve">https://ec.europa.eu/eurostat/databrowser/view/crim_hom_soff/default/table?lang=en&amp;category=crim.crim_hom</w:t>
        </w:r>
      </w:hyperlink>
      <w:r w:rsidDel="00000000" w:rsidR="00000000" w:rsidRPr="00000000">
        <w:rPr>
          <w:sz w:val="14"/>
          <w:szCs w:val="14"/>
          <w:rtl w:val="0"/>
        </w:rPr>
        <w:t xml:space="preserve"> </w:t>
      </w:r>
      <w:r w:rsidDel="00000000" w:rsidR="00000000" w:rsidRPr="00000000">
        <w:rPr>
          <w:sz w:val="18"/>
          <w:szCs w:val="18"/>
          <w:rtl w:val="0"/>
        </w:rPr>
        <w:t xml:space="preserve">și al datelor privind victimele omorurilor comise între membri de familie furnizate de către Inspectoratul General al Poliției Române (2014-2019) Direcția Cazier judiciar, Statistică și Evidențe operative, adresa 445085/S4/VAM/11.09.2020</w:t>
      </w:r>
      <w:r w:rsidDel="00000000" w:rsidR="00000000" w:rsidRPr="00000000">
        <w:rPr>
          <w:rtl w:val="0"/>
        </w:rPr>
      </w:r>
    </w:p>
  </w:footnote>
  <w:footnote w:id="19">
    <w:p w:rsidR="00000000" w:rsidDel="00000000" w:rsidP="00000000" w:rsidRDefault="00000000" w:rsidRPr="00000000" w14:paraId="00000095">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Observatorul Român pentru analiza și Prevenirea Omorurilor este un laborator de cercetare interdisciplinar care funcționează în cadrul Institutului de Sociologie al Academiei Române.</w:t>
      </w:r>
    </w:p>
  </w:footnote>
  <w:footnote w:id="20">
    <w:p w:rsidR="00000000" w:rsidDel="00000000" w:rsidP="00000000" w:rsidRDefault="00000000" w:rsidRPr="00000000" w14:paraId="00000096">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D</w:t>
      </w:r>
      <w:r w:rsidDel="00000000" w:rsidR="00000000" w:rsidRPr="00000000">
        <w:rPr>
          <w:sz w:val="18"/>
          <w:szCs w:val="18"/>
          <w:rtl w:val="0"/>
        </w:rPr>
        <w:t xml:space="preserve">efiniția operațională folosită pentru femicide a fost preluată din Metodologia Observatorului European al Femicidelor conform căruia “femicidul reprezintă uciderea cu intenție a unei femei cu vârsta de peste 16 ani”.</w:t>
      </w:r>
    </w:p>
  </w:footnote>
  <w:footnote w:id="22">
    <w:p w:rsidR="00000000" w:rsidDel="00000000" w:rsidP="00000000" w:rsidRDefault="00000000" w:rsidRPr="00000000" w14:paraId="0000009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Balica Ecaterina, 2022, Victimele violenței letale. Raport de cercetare, pp. 40-42 și Balica Ecaterina, 2024, Femicidele: tendințe, particularități și factori de risc</w:t>
      </w:r>
      <w:r w:rsidDel="00000000" w:rsidR="00000000" w:rsidRPr="00000000">
        <w:rPr>
          <w:rtl w:val="0"/>
        </w:rPr>
      </w:r>
    </w:p>
  </w:footnote>
  <w:footnote w:id="21">
    <w:p w:rsidR="00000000" w:rsidDel="00000000" w:rsidP="00000000" w:rsidRDefault="00000000" w:rsidRPr="00000000" w14:paraId="00000098">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Balica Ecaterina, 2022, Victimele violenței letale. Raport de cercetare, pp. 40-42 și Balica Ecaterina, 2024, Femicidele: tendințe, particularități și factori de risc</w:t>
      </w:r>
    </w:p>
  </w:footnote>
  <w:footnote w:id="1">
    <w:p w:rsidR="00000000" w:rsidDel="00000000" w:rsidP="00000000" w:rsidRDefault="00000000" w:rsidRPr="00000000" w14:paraId="00000099">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Conform Inspectoratului General al Poliției Române, Centrul de Infformare și Relații Publice, adre</w:t>
      </w:r>
      <w:r w:rsidDel="00000000" w:rsidR="00000000" w:rsidRPr="00000000">
        <w:rPr>
          <w:sz w:val="18"/>
          <w:szCs w:val="18"/>
          <w:rtl w:val="0"/>
        </w:rPr>
        <w:t xml:space="preserve">sa nr. 296.666 din 04.02.2025.</w:t>
      </w:r>
    </w:p>
  </w:footnote>
  <w:footnote w:id="2">
    <w:p w:rsidR="00000000" w:rsidDel="00000000" w:rsidP="00000000" w:rsidRDefault="00000000" w:rsidRPr="00000000" w14:paraId="0000009A">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color w:val="4d4d4d"/>
          <w:sz w:val="18"/>
          <w:szCs w:val="18"/>
          <w:rtl w:val="0"/>
        </w:rPr>
        <w:t xml:space="preserve"> </w:t>
      </w:r>
      <w:r w:rsidDel="00000000" w:rsidR="00000000" w:rsidRPr="00000000">
        <w:rPr>
          <w:sz w:val="18"/>
          <w:szCs w:val="18"/>
          <w:rtl w:val="0"/>
        </w:rPr>
        <w:t xml:space="preserve">World Health Organization &amp; Pan American Health Organization, 2012, </w:t>
      </w:r>
      <w:r w:rsidDel="00000000" w:rsidR="00000000" w:rsidRPr="00000000">
        <w:rPr>
          <w:sz w:val="18"/>
          <w:szCs w:val="18"/>
          <w:rtl w:val="0"/>
        </w:rPr>
        <w:t xml:space="preserve">WHO series of information sheets Understanding and addressing violence against women: Femicide, </w:t>
      </w:r>
      <w:r w:rsidDel="00000000" w:rsidR="00000000" w:rsidRPr="00000000">
        <w:rPr>
          <w:sz w:val="18"/>
          <w:szCs w:val="18"/>
          <w:rtl w:val="0"/>
        </w:rPr>
        <w:t xml:space="preserve">WHO/RHR/12.38, </w:t>
      </w:r>
      <w:r w:rsidDel="00000000" w:rsidR="00000000" w:rsidRPr="00000000">
        <w:rPr>
          <w:sz w:val="18"/>
          <w:szCs w:val="18"/>
          <w:rtl w:val="0"/>
        </w:rPr>
        <w:t xml:space="preserve">p.1</w:t>
      </w:r>
      <w:r w:rsidDel="00000000" w:rsidR="00000000" w:rsidRPr="00000000">
        <w:rPr>
          <w:sz w:val="18"/>
          <w:szCs w:val="18"/>
          <w:rtl w:val="0"/>
        </w:rPr>
        <w:t xml:space="preserve"> </w:t>
      </w:r>
      <w:hyperlink r:id="rId10">
        <w:r w:rsidDel="00000000" w:rsidR="00000000" w:rsidRPr="00000000">
          <w:rPr>
            <w:color w:val="1155cc"/>
            <w:sz w:val="18"/>
            <w:szCs w:val="18"/>
            <w:u w:val="single"/>
            <w:rtl w:val="0"/>
          </w:rPr>
          <w:t xml:space="preserve">https://www.who.int/publications/i/item/WHO-RHR-12.38</w:t>
        </w:r>
      </w:hyperlink>
      <w:r w:rsidDel="00000000" w:rsidR="00000000" w:rsidRPr="00000000">
        <w:rPr>
          <w:sz w:val="18"/>
          <w:szCs w:val="18"/>
          <w:rtl w:val="0"/>
        </w:rPr>
        <w:t xml:space="preserve"> </w:t>
      </w:r>
    </w:p>
  </w:footnote>
  <w:footnote w:id="3">
    <w:p w:rsidR="00000000" w:rsidDel="00000000" w:rsidP="00000000" w:rsidRDefault="00000000" w:rsidRPr="00000000" w14:paraId="0000009B">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World Health Organization &amp; Pan American Health Organization, 2012, </w:t>
      </w:r>
      <w:r w:rsidDel="00000000" w:rsidR="00000000" w:rsidRPr="00000000">
        <w:rPr>
          <w:sz w:val="18"/>
          <w:szCs w:val="18"/>
          <w:rtl w:val="0"/>
        </w:rPr>
        <w:t xml:space="preserve">WHO series of information sheets Understanding and addressing violence against women: Femicide, </w:t>
      </w:r>
      <w:r w:rsidDel="00000000" w:rsidR="00000000" w:rsidRPr="00000000">
        <w:rPr>
          <w:sz w:val="18"/>
          <w:szCs w:val="18"/>
          <w:rtl w:val="0"/>
        </w:rPr>
        <w:t xml:space="preserve">WHO/RHR/12.38, </w:t>
      </w:r>
      <w:r w:rsidDel="00000000" w:rsidR="00000000" w:rsidRPr="00000000">
        <w:rPr>
          <w:sz w:val="18"/>
          <w:szCs w:val="18"/>
          <w:rtl w:val="0"/>
        </w:rPr>
        <w:t xml:space="preserve">p.1</w:t>
      </w:r>
      <w:r w:rsidDel="00000000" w:rsidR="00000000" w:rsidRPr="00000000">
        <w:rPr>
          <w:sz w:val="18"/>
          <w:szCs w:val="18"/>
          <w:rtl w:val="0"/>
        </w:rPr>
        <w:t xml:space="preserve"> </w:t>
      </w:r>
      <w:hyperlink r:id="rId11">
        <w:r w:rsidDel="00000000" w:rsidR="00000000" w:rsidRPr="00000000">
          <w:rPr>
            <w:color w:val="1155cc"/>
            <w:sz w:val="18"/>
            <w:szCs w:val="18"/>
            <w:u w:val="single"/>
            <w:rtl w:val="0"/>
          </w:rPr>
          <w:t xml:space="preserve">https://www.who.int/publications/i/item/WHO-RHR-12.38</w:t>
        </w:r>
      </w:hyperlink>
      <w:r w:rsidDel="00000000" w:rsidR="00000000" w:rsidRPr="00000000">
        <w:rPr>
          <w:sz w:val="18"/>
          <w:szCs w:val="18"/>
          <w:rtl w:val="0"/>
        </w:rPr>
        <w:t xml:space="preserve"> </w:t>
      </w:r>
    </w:p>
  </w:footnote>
  <w:footnote w:id="4">
    <w:p w:rsidR="00000000" w:rsidDel="00000000" w:rsidP="00000000" w:rsidRDefault="00000000" w:rsidRPr="00000000" w14:paraId="0000009C">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World Health Organization &amp; Pan American Health Organization, 2012, </w:t>
      </w:r>
      <w:r w:rsidDel="00000000" w:rsidR="00000000" w:rsidRPr="00000000">
        <w:rPr>
          <w:sz w:val="18"/>
          <w:szCs w:val="18"/>
          <w:rtl w:val="0"/>
        </w:rPr>
        <w:t xml:space="preserve">WHO series of information sheets Understanding and addressing violence against women: Femicide, </w:t>
      </w:r>
      <w:r w:rsidDel="00000000" w:rsidR="00000000" w:rsidRPr="00000000">
        <w:rPr>
          <w:sz w:val="18"/>
          <w:szCs w:val="18"/>
          <w:rtl w:val="0"/>
        </w:rPr>
        <w:t xml:space="preserve">WHO/RHR/12.38, </w:t>
      </w:r>
      <w:r w:rsidDel="00000000" w:rsidR="00000000" w:rsidRPr="00000000">
        <w:rPr>
          <w:sz w:val="18"/>
          <w:szCs w:val="18"/>
          <w:rtl w:val="0"/>
        </w:rPr>
        <w:t xml:space="preserve">p.1</w:t>
      </w:r>
      <w:r w:rsidDel="00000000" w:rsidR="00000000" w:rsidRPr="00000000">
        <w:rPr>
          <w:sz w:val="18"/>
          <w:szCs w:val="18"/>
          <w:rtl w:val="0"/>
        </w:rPr>
        <w:t xml:space="preserve"> </w:t>
      </w:r>
      <w:hyperlink r:id="rId12">
        <w:r w:rsidDel="00000000" w:rsidR="00000000" w:rsidRPr="00000000">
          <w:rPr>
            <w:color w:val="1155cc"/>
            <w:sz w:val="18"/>
            <w:szCs w:val="18"/>
            <w:u w:val="single"/>
            <w:rtl w:val="0"/>
          </w:rPr>
          <w:t xml:space="preserve">https://www.who.int/publications/i/item/WHO-RHR-12.38</w:t>
        </w:r>
      </w:hyperlink>
      <w:r w:rsidDel="00000000" w:rsidR="00000000" w:rsidRPr="00000000">
        <w:rPr>
          <w:sz w:val="18"/>
          <w:szCs w:val="18"/>
          <w:rtl w:val="0"/>
        </w:rPr>
        <w:t xml:space="preserve"> </w:t>
      </w:r>
    </w:p>
  </w:footnote>
  <w:footnote w:id="7">
    <w:p w:rsidR="00000000" w:rsidDel="00000000" w:rsidP="00000000" w:rsidRDefault="00000000" w:rsidRPr="00000000" w14:paraId="0000009D">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United Nations Office on Drugs and Crime and the United Nations Entity for GenderEquality and the Empowerment of Women, 2022, Statistical framework for measuring the gender-related killing of women  and girls (also referred to as “femicide/feminicide”), disponibil la:</w:t>
      </w:r>
    </w:p>
    <w:p w:rsidR="00000000" w:rsidDel="00000000" w:rsidP="00000000" w:rsidRDefault="00000000" w:rsidRPr="00000000" w14:paraId="0000009E">
      <w:pPr>
        <w:spacing w:line="240" w:lineRule="auto"/>
        <w:rPr>
          <w:sz w:val="18"/>
          <w:szCs w:val="18"/>
        </w:rPr>
      </w:pPr>
      <w:hyperlink r:id="rId13">
        <w:r w:rsidDel="00000000" w:rsidR="00000000" w:rsidRPr="00000000">
          <w:rPr>
            <w:color w:val="1155cc"/>
            <w:sz w:val="18"/>
            <w:szCs w:val="18"/>
            <w:u w:val="single"/>
            <w:rtl w:val="0"/>
          </w:rPr>
          <w:t xml:space="preserve">https://www.unodc.org/documents/data-and-analysis/statistics/Statistical_framework_femicide_2022.pdf</w:t>
        </w:r>
      </w:hyperlink>
      <w:r w:rsidDel="00000000" w:rsidR="00000000" w:rsidRPr="00000000">
        <w:rPr>
          <w:rtl w:val="0"/>
        </w:rPr>
      </w:r>
    </w:p>
  </w:footnote>
  <w:footnote w:id="5">
    <w:p w:rsidR="00000000" w:rsidDel="00000000" w:rsidP="00000000" w:rsidRDefault="00000000" w:rsidRPr="00000000" w14:paraId="0000009F">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United Nations , 2013, Vienna Declaration on Femicide, </w:t>
      </w:r>
      <w:hyperlink r:id="rId14">
        <w:r w:rsidDel="00000000" w:rsidR="00000000" w:rsidRPr="00000000">
          <w:rPr>
            <w:color w:val="1155cc"/>
            <w:sz w:val="18"/>
            <w:szCs w:val="18"/>
            <w:u w:val="single"/>
            <w:rtl w:val="0"/>
          </w:rPr>
          <w:t xml:space="preserve">https://www.unodc.org/documents/commissions/CCPCJ/CCPCJ_Sessions/CCPCJ_22/_E-CN15-2013-NGO1/E-CN15-2013-NGO1_E.pdf</w:t>
        </w:r>
      </w:hyperlink>
      <w:r w:rsidDel="00000000" w:rsidR="00000000" w:rsidRPr="00000000">
        <w:rPr>
          <w:rtl w:val="0"/>
        </w:rPr>
      </w:r>
    </w:p>
    <w:p w:rsidR="00000000" w:rsidDel="00000000" w:rsidP="00000000" w:rsidRDefault="00000000" w:rsidRPr="00000000" w14:paraId="000000A0">
      <w:pPr>
        <w:spacing w:line="240" w:lineRule="auto"/>
        <w:jc w:val="both"/>
        <w:rPr>
          <w:sz w:val="18"/>
          <w:szCs w:val="18"/>
        </w:rPr>
      </w:pPr>
      <w:r w:rsidDel="00000000" w:rsidR="00000000" w:rsidRPr="00000000">
        <w:rPr>
          <w:rtl w:val="0"/>
        </w:rPr>
      </w:r>
    </w:p>
  </w:footnote>
  <w:footnote w:id="11">
    <w:p w:rsidR="00000000" w:rsidDel="00000000" w:rsidP="00000000" w:rsidRDefault="00000000" w:rsidRPr="00000000" w14:paraId="000000A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United Nations</w:t>
      </w:r>
      <w:r w:rsidDel="00000000" w:rsidR="00000000" w:rsidRPr="00000000">
        <w:rPr>
          <w:i w:val="1"/>
          <w:sz w:val="18"/>
          <w:szCs w:val="18"/>
          <w:rtl w:val="0"/>
        </w:rPr>
        <w:t xml:space="preserve">, “Transforming our world: the 2030 Agenda for Sustainable Development”, par. 8 (A/RES/70/1)</w:t>
      </w:r>
      <w:r w:rsidDel="00000000" w:rsidR="00000000" w:rsidRPr="00000000">
        <w:rPr>
          <w:rtl w:val="0"/>
        </w:rPr>
      </w:r>
    </w:p>
  </w:footnote>
  <w:footnote w:id="9">
    <w:p w:rsidR="00000000" w:rsidDel="00000000" w:rsidP="00000000" w:rsidRDefault="00000000" w:rsidRPr="00000000" w14:paraId="000000A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color w:val="0000ff"/>
          <w:sz w:val="18"/>
          <w:szCs w:val="18"/>
          <w:rtl w:val="0"/>
        </w:rPr>
        <w:t xml:space="preserve">UNODC, 2023, Global Study on Homicide 2023, p. 10 disponibil la: </w:t>
      </w:r>
      <w:hyperlink r:id="rId15">
        <w:r w:rsidDel="00000000" w:rsidR="00000000" w:rsidRPr="00000000">
          <w:rPr>
            <w:color w:val="1155cc"/>
            <w:sz w:val="18"/>
            <w:szCs w:val="18"/>
            <w:u w:val="single"/>
            <w:rtl w:val="0"/>
          </w:rPr>
          <w:t xml:space="preserve">https://www.unodc.org/documents/data-and-analysis/gsh/2023/Global_study_on_homicide_2023_web.pdf</w:t>
        </w:r>
      </w:hyperlink>
      <w:r w:rsidDel="00000000" w:rsidR="00000000" w:rsidRPr="00000000">
        <w:rPr>
          <w:rtl w:val="0"/>
        </w:rPr>
      </w:r>
    </w:p>
  </w:footnote>
  <w:footnote w:id="0">
    <w:p w:rsidR="00000000" w:rsidDel="00000000" w:rsidP="00000000" w:rsidRDefault="00000000" w:rsidRPr="00000000" w14:paraId="000000A4">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Conform Inspectoratului General al Poliției Române, Centrul de Infformare și Relații Publice, adresa 297.609 din 24.09.2025</w:t>
      </w:r>
    </w:p>
  </w:footnote>
  <w:footnote w:id="24">
    <w:p w:rsidR="00000000" w:rsidDel="00000000" w:rsidP="00000000" w:rsidRDefault="00000000" w:rsidRPr="00000000" w14:paraId="000000A5">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Notele Secretariatului Comitetului de Miniștri al Consiliului Europei privind cauza </w:t>
      </w:r>
      <w:r w:rsidDel="00000000" w:rsidR="00000000" w:rsidRPr="00000000">
        <w:rPr>
          <w:i w:val="1"/>
          <w:sz w:val="18"/>
          <w:szCs w:val="18"/>
          <w:rtl w:val="0"/>
        </w:rPr>
        <w:t xml:space="preserve">Bălșan c. România</w:t>
      </w:r>
      <w:r w:rsidDel="00000000" w:rsidR="00000000" w:rsidRPr="00000000">
        <w:rPr>
          <w:sz w:val="18"/>
          <w:szCs w:val="18"/>
          <w:rtl w:val="0"/>
        </w:rPr>
        <w:t xml:space="preserve">, disponibile la adresa: </w:t>
      </w:r>
      <w:hyperlink r:id="rId16">
        <w:r w:rsidDel="00000000" w:rsidR="00000000" w:rsidRPr="00000000">
          <w:rPr>
            <w:color w:val="0b57d0"/>
            <w:sz w:val="18"/>
            <w:szCs w:val="18"/>
            <w:rtl w:val="0"/>
          </w:rPr>
          <w:t xml:space="preserve">https://hudoc.exec.coe.int/?i=CM/Notes/1521/H46-25E</w:t>
        </w:r>
      </w:hyperlink>
      <w:r w:rsidDel="00000000" w:rsidR="00000000" w:rsidRPr="00000000">
        <w:rPr>
          <w:rtl w:val="0"/>
        </w:rPr>
      </w:r>
    </w:p>
  </w:footnote>
  <w:footnote w:id="25">
    <w:p w:rsidR="00000000" w:rsidDel="00000000" w:rsidP="00000000" w:rsidRDefault="00000000" w:rsidRPr="00000000" w14:paraId="000000A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Grupul de experți privind acțiunea împotriva violenței împotriva femeilor și a violenței domestice (GREVIO), 2022, Raportul de evaluare GREVIO privind măsurile legislative și de altă natură care dau efect prevederilor Convenției Consiliului Europei, privind prevenirea și combaterea Violenței împotriva femeilor și violența domestica (Convenția de la Istanbul) ROMÂNIA, disponibil la adresa: </w:t>
      </w:r>
      <w:hyperlink r:id="rId17">
        <w:r w:rsidDel="00000000" w:rsidR="00000000" w:rsidRPr="00000000">
          <w:rPr>
            <w:color w:val="1155cc"/>
            <w:sz w:val="20"/>
            <w:szCs w:val="20"/>
            <w:u w:val="single"/>
            <w:rtl w:val="0"/>
          </w:rPr>
          <w:t xml:space="preserve">https://anes.gov.ro/wp-content/uploads/2024/04/Raport-de-evaluare-Grevio-RO.pdf</w:t>
        </w:r>
      </w:hyperlink>
      <w:r w:rsidDel="00000000" w:rsidR="00000000" w:rsidRPr="00000000">
        <w:rPr>
          <w:rtl w:val="0"/>
        </w:rPr>
      </w:r>
    </w:p>
  </w:footnote>
  <w:footnote w:id="23">
    <w:p w:rsidR="00000000" w:rsidDel="00000000" w:rsidP="00000000" w:rsidRDefault="00000000" w:rsidRPr="00000000" w14:paraId="000000A7">
      <w:pPr>
        <w:spacing w:line="240" w:lineRule="auto"/>
        <w:jc w:val="both"/>
        <w:rPr>
          <w:color w:val="1155cc"/>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sz w:val="18"/>
            <w:szCs w:val="18"/>
            <w:rtl w:val="0"/>
          </w:rPr>
          <w:t xml:space="preserve">Simonovic, Dubravka</w:t>
        </w:r>
      </w:hyperlink>
      <w:r w:rsidDel="00000000" w:rsidR="00000000" w:rsidRPr="00000000">
        <w:rPr>
          <w:sz w:val="18"/>
          <w:szCs w:val="18"/>
          <w:rtl w:val="0"/>
        </w:rPr>
        <w:t xml:space="preserve">, 2021, </w:t>
      </w:r>
      <w:r w:rsidDel="00000000" w:rsidR="00000000" w:rsidRPr="00000000">
        <w:rPr>
          <w:sz w:val="18"/>
          <w:szCs w:val="18"/>
          <w:rtl w:val="0"/>
        </w:rPr>
        <w:t xml:space="preserve">Report of the Special Rapporteur on Violence against Women, Its Causes and Consequences on online violence against women and girls from a human rights perspective</w:t>
      </w:r>
      <w:r w:rsidDel="00000000" w:rsidR="00000000" w:rsidRPr="00000000">
        <w:rPr>
          <w:sz w:val="18"/>
          <w:szCs w:val="18"/>
          <w:rtl w:val="0"/>
        </w:rPr>
        <w:t xml:space="preserve">, para. 41, p. 21, </w:t>
      </w:r>
      <w:r w:rsidDel="00000000" w:rsidR="00000000" w:rsidRPr="00000000">
        <w:rPr>
          <w:sz w:val="18"/>
          <w:szCs w:val="18"/>
          <w:rtl w:val="0"/>
        </w:rPr>
        <w:t xml:space="preserve">disponibil la adresa: </w:t>
      </w:r>
      <w:hyperlink r:id="rId19">
        <w:r w:rsidDel="00000000" w:rsidR="00000000" w:rsidRPr="00000000">
          <w:rPr>
            <w:color w:val="1155cc"/>
            <w:sz w:val="18"/>
            <w:szCs w:val="18"/>
            <w:u w:val="single"/>
            <w:rtl w:val="0"/>
          </w:rPr>
          <w:t xml:space="preserve">https://docs.un.org/en/A/76/132</w:t>
        </w:r>
      </w:hyperlink>
      <w:r w:rsidDel="00000000" w:rsidR="00000000" w:rsidRPr="00000000">
        <w:rPr>
          <w:sz w:val="18"/>
          <w:szCs w:val="18"/>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s://www.who.int/publications/i/item/WHO-RHR-12.38" TargetMode="External"/><Relationship Id="rId10" Type="http://schemas.openxmlformats.org/officeDocument/2006/relationships/hyperlink" Target="https://www.who.int/publications/i/item/WHO-RHR-12.38" TargetMode="External"/><Relationship Id="rId13" Type="http://schemas.openxmlformats.org/officeDocument/2006/relationships/hyperlink" Target="https://www.unodc.org/documents/data-and-analysis/statistics/Statistical_framework_femicide_2022.pdf" TargetMode="External"/><Relationship Id="rId12" Type="http://schemas.openxmlformats.org/officeDocument/2006/relationships/hyperlink" Target="https://www.who.int/publications/i/item/WHO-RHR-12.38" TargetMode="External"/><Relationship Id="rId1" Type="http://schemas.openxmlformats.org/officeDocument/2006/relationships/hyperlink" Target="https://www.unodc.org/documents/commissions/CCPCJ/CCPCJ_Sessions/CCPCJ_22/_E-CN15-2013-NGO1/E-CN15-2013-NGO1_E.pdf" TargetMode="External"/><Relationship Id="rId2" Type="http://schemas.openxmlformats.org/officeDocument/2006/relationships/hyperlink" Target="https://www.unodc.org/documents/data-and-analysis/gsh/2023/Global_study_on_homicide_2023_web.pdf" TargetMode="External"/><Relationship Id="rId3" Type="http://schemas.openxmlformats.org/officeDocument/2006/relationships/hyperlink" Target="https://docs.un.org/en/A/RES/70/1" TargetMode="External"/><Relationship Id="rId4" Type="http://schemas.openxmlformats.org/officeDocument/2006/relationships/hyperlink" Target="https://ec.europa.eu/eurostat/databrowser/view/crim_hom_soff/default/table?lang=en&amp;category=crim.crim_hom" TargetMode="External"/><Relationship Id="rId9" Type="http://schemas.openxmlformats.org/officeDocument/2006/relationships/hyperlink" Target="https://ec.europa.eu/eurostat/databrowser/view/crim_hom_soff/default/table?lang=en&amp;category=crim.crim_hom" TargetMode="External"/><Relationship Id="rId15" Type="http://schemas.openxmlformats.org/officeDocument/2006/relationships/hyperlink" Target="https://www.unodc.org/documents/data-and-analysis/gsh/2023/Global_study_on_homicide_2023_web.pdf" TargetMode="External"/><Relationship Id="rId14" Type="http://schemas.openxmlformats.org/officeDocument/2006/relationships/hyperlink" Target="https://www.unodc.org/documents/commissions/CCPCJ/CCPCJ_Sessions/CCPCJ_22/_E-CN15-2013-NGO1/E-CN15-2013-NGO1_E.pdf" TargetMode="External"/><Relationship Id="rId17" Type="http://schemas.openxmlformats.org/officeDocument/2006/relationships/hyperlink" Target="https://anes.gov.ro/wp-content/uploads/2024/04/Raport-de-evaluare-Grevio-RO.pdf" TargetMode="External"/><Relationship Id="rId16" Type="http://schemas.openxmlformats.org/officeDocument/2006/relationships/hyperlink" Target="https://hudoc.exec.coe.int/?i=CM/Notes/1521/H46-25E" TargetMode="External"/><Relationship Id="rId5" Type="http://schemas.openxmlformats.org/officeDocument/2006/relationships/hyperlink" Target="https://dataunodc.un.org/dp-intentional-homicide-victims" TargetMode="External"/><Relationship Id="rId19" Type="http://schemas.openxmlformats.org/officeDocument/2006/relationships/hyperlink" Target="https://docs.un.org/en/A/76/132" TargetMode="External"/><Relationship Id="rId6" Type="http://schemas.openxmlformats.org/officeDocument/2006/relationships/hyperlink" Target="https://www.unodc.org/documents/data-and-analysis/gsh/2023/Global_study_on_homicide_2023_web.pdf" TargetMode="External"/><Relationship Id="rId18" Type="http://schemas.openxmlformats.org/officeDocument/2006/relationships/hyperlink" Target="https://digitallibrary.un.org/search?f1=author&amp;as=1&amp;sf=title&amp;so=a&amp;rm=&amp;m1=e&amp;p1=Simonovic%2C%20Dubravka&amp;ln=en" TargetMode="External"/><Relationship Id="rId7" Type="http://schemas.openxmlformats.org/officeDocument/2006/relationships/hyperlink" Target="https://ec.europa.eu/eurostat/databrowser/view/crim_hom_soff/default/table?lang=en&amp;category=crim.crim_hom" TargetMode="External"/><Relationship Id="rId8" Type="http://schemas.openxmlformats.org/officeDocument/2006/relationships/hyperlink" Target="https://www.unodc.org/documents/data-and-analysis/gsh/2023/Global_study_on_homicide_2023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