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B9A7" w14:textId="77777777" w:rsidR="0037186A" w:rsidRPr="00823DD8" w:rsidRDefault="0037186A" w:rsidP="0037186A">
      <w:pPr>
        <w:jc w:val="center"/>
      </w:pPr>
      <w:r>
        <w:rPr>
          <w:noProof/>
          <w:lang w:val="en-US"/>
        </w:rPr>
        <w:drawing>
          <wp:inline distT="0" distB="0" distL="0" distR="0" wp14:anchorId="2B230653" wp14:editId="79B666AE">
            <wp:extent cx="923925" cy="1103911"/>
            <wp:effectExtent l="19050" t="0" r="9525" b="0"/>
            <wp:docPr id="2" name="Picture 1" descr="f5ea9fa6-33dc-4807-802a-d7ecbdcf46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5ea9fa6-33dc-4807-802a-d7ecbdcf46c8.jpg"/>
                    <pic:cNvPicPr/>
                  </pic:nvPicPr>
                  <pic:blipFill>
                    <a:blip r:embed="rId6" cstate="print"/>
                    <a:stretch>
                      <a:fillRect/>
                    </a:stretch>
                  </pic:blipFill>
                  <pic:spPr>
                    <a:xfrm>
                      <a:off x="0" y="0"/>
                      <a:ext cx="925860" cy="1106223"/>
                    </a:xfrm>
                    <a:prstGeom prst="rect">
                      <a:avLst/>
                    </a:prstGeom>
                  </pic:spPr>
                </pic:pic>
              </a:graphicData>
            </a:graphic>
          </wp:inline>
        </w:drawing>
      </w:r>
    </w:p>
    <w:p w14:paraId="79BD02B2" w14:textId="77777777" w:rsidR="0037186A" w:rsidRPr="00823DD8" w:rsidRDefault="0037186A" w:rsidP="0037186A">
      <w:pPr>
        <w:jc w:val="center"/>
        <w:rPr>
          <w:b/>
          <w:sz w:val="36"/>
          <w:szCs w:val="36"/>
        </w:rPr>
      </w:pPr>
    </w:p>
    <w:p w14:paraId="631D6E5B" w14:textId="77777777" w:rsidR="0037186A" w:rsidRPr="00823DD8" w:rsidRDefault="0037186A" w:rsidP="0037186A">
      <w:pPr>
        <w:jc w:val="center"/>
        <w:rPr>
          <w:rFonts w:ascii="Monotype Corsiva" w:hAnsi="Monotype Corsiva"/>
          <w:b/>
          <w:i/>
          <w:sz w:val="44"/>
          <w:szCs w:val="44"/>
        </w:rPr>
      </w:pPr>
      <w:r w:rsidRPr="00823DD8">
        <w:rPr>
          <w:rFonts w:ascii="Monotype Corsiva" w:hAnsi="Monotype Corsiva"/>
          <w:b/>
          <w:i/>
          <w:sz w:val="44"/>
          <w:szCs w:val="44"/>
        </w:rPr>
        <w:t>Parlamentul României</w:t>
      </w:r>
    </w:p>
    <w:p w14:paraId="7B1F9776" w14:textId="77777777" w:rsidR="0037186A" w:rsidRPr="00823DD8" w:rsidRDefault="0037186A" w:rsidP="0037186A">
      <w:pPr>
        <w:jc w:val="center"/>
        <w:rPr>
          <w:rFonts w:ascii="Monotype Corsiva" w:hAnsi="Monotype Corsiva"/>
          <w:b/>
          <w:i/>
          <w:sz w:val="44"/>
          <w:szCs w:val="44"/>
        </w:rPr>
      </w:pPr>
      <w:r w:rsidRPr="00823DD8">
        <w:rPr>
          <w:rFonts w:ascii="Monotype Corsiva" w:hAnsi="Monotype Corsiva"/>
          <w:b/>
          <w:i/>
          <w:sz w:val="44"/>
          <w:szCs w:val="44"/>
        </w:rPr>
        <w:t>Camera Deputaţilor</w:t>
      </w:r>
    </w:p>
    <w:p w14:paraId="0602741F" w14:textId="471183F8" w:rsidR="0037186A" w:rsidRPr="00823DD8" w:rsidRDefault="0037186A" w:rsidP="0037186A">
      <w:pPr>
        <w:keepNext/>
        <w:spacing w:after="60" w:line="360" w:lineRule="auto"/>
        <w:jc w:val="center"/>
        <w:outlineLvl w:val="3"/>
        <w:rPr>
          <w:rFonts w:ascii="Monotype Corsiva" w:hAnsi="Monotype Corsiva"/>
          <w:sz w:val="40"/>
          <w:szCs w:val="40"/>
        </w:rPr>
      </w:pPr>
      <w:r>
        <w:rPr>
          <w:noProof/>
          <w:lang w:val="en-US"/>
        </w:rPr>
        <mc:AlternateContent>
          <mc:Choice Requires="wps">
            <w:drawing>
              <wp:anchor distT="4294967294" distB="4294967294" distL="114300" distR="114300" simplePos="0" relativeHeight="251664383" behindDoc="0" locked="0" layoutInCell="1" allowOverlap="1" wp14:anchorId="0D161D82" wp14:editId="2A778AB8">
                <wp:simplePos x="0" y="0"/>
                <wp:positionH relativeFrom="column">
                  <wp:align>center</wp:align>
                </wp:positionH>
                <wp:positionV relativeFrom="paragraph">
                  <wp:posOffset>402589</wp:posOffset>
                </wp:positionV>
                <wp:extent cx="5486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A2D33" id="Straight Connector 3" o:spid="_x0000_s1026" style="position:absolute;flip:y;z-index:251664383;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31.7pt" to="6in,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" strokeweight="1.25pt"/>
            </w:pict>
          </mc:Fallback>
        </mc:AlternateContent>
      </w:r>
      <w:r w:rsidRPr="00823DD8">
        <w:rPr>
          <w:rFonts w:ascii="Monotype Corsiva" w:hAnsi="Monotype Corsiva"/>
          <w:sz w:val="40"/>
          <w:szCs w:val="40"/>
        </w:rPr>
        <w:t xml:space="preserve">Grupul Parlamentar al Partidului Naţional Liberal   </w:t>
      </w:r>
    </w:p>
    <w:p w14:paraId="272D6C41" w14:textId="77777777" w:rsidR="0037186A" w:rsidRPr="00823DD8" w:rsidRDefault="0037186A" w:rsidP="0037186A">
      <w:pPr>
        <w:keepNext/>
        <w:jc w:val="center"/>
        <w:outlineLvl w:val="0"/>
        <w:rPr>
          <w:rFonts w:ascii="Verdana" w:hAnsi="Verdana"/>
          <w:b/>
          <w:sz w:val="18"/>
          <w:lang w:eastAsia="ro-RO"/>
        </w:rPr>
      </w:pPr>
      <w:r w:rsidRPr="00823DD8">
        <w:rPr>
          <w:rFonts w:ascii="Verdana" w:hAnsi="Verdana"/>
          <w:b/>
          <w:sz w:val="18"/>
          <w:lang w:eastAsia="ro-RO"/>
        </w:rPr>
        <w:t>Telefon: (021) 414 10 70</w:t>
      </w:r>
      <w:r w:rsidRPr="00823DD8">
        <w:rPr>
          <w:rFonts w:ascii="Verdana" w:hAnsi="Verdana"/>
          <w:b/>
          <w:sz w:val="18"/>
          <w:lang w:eastAsia="ro-RO"/>
        </w:rPr>
        <w:tab/>
        <w:t xml:space="preserve">      Fax: (021) 414 10 72   </w:t>
      </w:r>
      <w:r w:rsidRPr="00823DD8">
        <w:rPr>
          <w:rFonts w:ascii="Verdana" w:hAnsi="Verdana"/>
          <w:b/>
          <w:sz w:val="18"/>
          <w:lang w:eastAsia="ro-RO"/>
        </w:rPr>
        <w:tab/>
        <w:t xml:space="preserve">       E-mail:pnl@cdep.ro</w:t>
      </w:r>
    </w:p>
    <w:p w14:paraId="149ECCC9" w14:textId="77777777" w:rsidR="0037186A" w:rsidRDefault="0037186A" w:rsidP="0037186A">
      <w:pPr>
        <w:rPr>
          <w:lang w:val="it-IT"/>
        </w:rPr>
      </w:pPr>
    </w:p>
    <w:p w14:paraId="6B84470D" w14:textId="77777777" w:rsidR="00314EA9" w:rsidRPr="00C372A6" w:rsidRDefault="00314EA9" w:rsidP="00314EA9">
      <w:pPr>
        <w:ind w:left="567"/>
        <w:jc w:val="both"/>
        <w:rPr>
          <w:b/>
          <w:bCs/>
          <w:spacing w:val="10"/>
          <w:sz w:val="26"/>
          <w:szCs w:val="26"/>
        </w:rPr>
      </w:pPr>
    </w:p>
    <w:p w14:paraId="4CA6A247" w14:textId="77777777" w:rsidR="00314EA9" w:rsidRPr="009C401D" w:rsidRDefault="00314EA9" w:rsidP="00314EA9">
      <w:pPr>
        <w:spacing w:line="360" w:lineRule="auto"/>
        <w:ind w:left="567" w:firstLine="153"/>
        <w:jc w:val="both"/>
        <w:rPr>
          <w:sz w:val="28"/>
          <w:szCs w:val="28"/>
        </w:rPr>
      </w:pPr>
      <w:r w:rsidRPr="009C401D">
        <w:rPr>
          <w:b/>
          <w:sz w:val="28"/>
          <w:szCs w:val="28"/>
        </w:rPr>
        <w:t xml:space="preserve">Către, </w:t>
      </w:r>
    </w:p>
    <w:p w14:paraId="2FAC4EA4" w14:textId="77777777" w:rsidR="00314EA9" w:rsidRPr="009C401D" w:rsidRDefault="00314EA9" w:rsidP="00314EA9">
      <w:pPr>
        <w:spacing w:line="360" w:lineRule="auto"/>
        <w:ind w:left="567"/>
        <w:jc w:val="both"/>
        <w:rPr>
          <w:b/>
          <w:sz w:val="28"/>
          <w:szCs w:val="28"/>
        </w:rPr>
      </w:pPr>
    </w:p>
    <w:p w14:paraId="0051C30C" w14:textId="77777777" w:rsidR="00314EA9" w:rsidRPr="009C401D" w:rsidRDefault="00314EA9" w:rsidP="00314EA9">
      <w:pPr>
        <w:spacing w:line="360" w:lineRule="auto"/>
        <w:ind w:left="567"/>
        <w:jc w:val="both"/>
        <w:rPr>
          <w:sz w:val="28"/>
          <w:szCs w:val="28"/>
        </w:rPr>
      </w:pPr>
      <w:r w:rsidRPr="009C401D">
        <w:rPr>
          <w:b/>
          <w:sz w:val="28"/>
          <w:szCs w:val="28"/>
        </w:rPr>
        <w:tab/>
        <w:t xml:space="preserve">Biroul Permanent al </w:t>
      </w:r>
      <w:r w:rsidR="00C2358B" w:rsidRPr="009C401D">
        <w:rPr>
          <w:b/>
          <w:sz w:val="28"/>
          <w:szCs w:val="28"/>
        </w:rPr>
        <w:t>Camerei Deputaților</w:t>
      </w:r>
    </w:p>
    <w:p w14:paraId="5BB45230" w14:textId="77777777" w:rsidR="00314EA9" w:rsidRPr="009C401D" w:rsidRDefault="00314EA9" w:rsidP="00314EA9">
      <w:pPr>
        <w:spacing w:line="360" w:lineRule="auto"/>
        <w:ind w:left="567"/>
        <w:jc w:val="both"/>
        <w:rPr>
          <w:sz w:val="28"/>
          <w:szCs w:val="28"/>
        </w:rPr>
      </w:pPr>
    </w:p>
    <w:p w14:paraId="2FC1E96F" w14:textId="77777777" w:rsidR="00314EA9" w:rsidRPr="009C401D" w:rsidRDefault="00314EA9" w:rsidP="00314EA9">
      <w:pPr>
        <w:spacing w:line="360" w:lineRule="auto"/>
        <w:ind w:left="567"/>
        <w:jc w:val="both"/>
        <w:rPr>
          <w:sz w:val="28"/>
          <w:szCs w:val="28"/>
        </w:rPr>
      </w:pPr>
    </w:p>
    <w:p w14:paraId="64459E16" w14:textId="09C8D825" w:rsidR="00BA77BD" w:rsidRPr="00D45E5D" w:rsidRDefault="00CC4F6A" w:rsidP="00BA77BD">
      <w:pPr>
        <w:pStyle w:val="ListParagraph"/>
        <w:ind w:left="432"/>
        <w:jc w:val="both"/>
        <w:rPr>
          <w:b/>
          <w:sz w:val="28"/>
          <w:szCs w:val="28"/>
        </w:rPr>
      </w:pPr>
      <w:r w:rsidRPr="009C401D">
        <w:rPr>
          <w:sz w:val="28"/>
          <w:szCs w:val="28"/>
        </w:rPr>
        <w:t xml:space="preserve">În conformitate cu prevederile art. 74 din Constituţia României, republicată şi ale art. 92 din Regulamentul Camerei Deputaţilor, republicat, vă înaintăm alăturat spre dezbatere şi adoptare </w:t>
      </w:r>
      <w:r w:rsidR="00314EA9" w:rsidRPr="009C401D">
        <w:rPr>
          <w:b/>
          <w:sz w:val="28"/>
          <w:szCs w:val="28"/>
        </w:rPr>
        <w:t>Propunerea</w:t>
      </w:r>
      <w:r w:rsidR="00FA7DBD" w:rsidRPr="009C401D">
        <w:rPr>
          <w:b/>
          <w:sz w:val="28"/>
          <w:szCs w:val="28"/>
        </w:rPr>
        <w:t xml:space="preserve"> </w:t>
      </w:r>
      <w:r w:rsidR="00B31393" w:rsidRPr="009C401D">
        <w:rPr>
          <w:b/>
          <w:sz w:val="28"/>
          <w:szCs w:val="28"/>
        </w:rPr>
        <w:t>l</w:t>
      </w:r>
      <w:r w:rsidR="00314EA9" w:rsidRPr="009C401D">
        <w:rPr>
          <w:b/>
          <w:sz w:val="28"/>
          <w:szCs w:val="28"/>
        </w:rPr>
        <w:t>egislativă</w:t>
      </w:r>
      <w:r w:rsidR="00B0216A" w:rsidRPr="009C401D">
        <w:rPr>
          <w:b/>
          <w:sz w:val="28"/>
          <w:szCs w:val="28"/>
        </w:rPr>
        <w:t xml:space="preserve"> </w:t>
      </w:r>
      <w:r w:rsidR="00C372A6" w:rsidRPr="009C401D">
        <w:rPr>
          <w:b/>
          <w:sz w:val="28"/>
          <w:szCs w:val="28"/>
        </w:rPr>
        <w:t xml:space="preserve">privind </w:t>
      </w:r>
      <w:r w:rsidR="00674DD0" w:rsidRPr="009C401D">
        <w:rPr>
          <w:b/>
          <w:sz w:val="28"/>
          <w:szCs w:val="28"/>
        </w:rPr>
        <w:t>m</w:t>
      </w:r>
      <w:r w:rsidR="003853E9" w:rsidRPr="009C401D">
        <w:rPr>
          <w:b/>
          <w:sz w:val="28"/>
          <w:szCs w:val="28"/>
        </w:rPr>
        <w:t xml:space="preserve">odificarea și completarea </w:t>
      </w:r>
      <w:r w:rsidR="00BA77BD" w:rsidRPr="00D45E5D">
        <w:rPr>
          <w:b/>
          <w:sz w:val="28"/>
          <w:szCs w:val="28"/>
        </w:rPr>
        <w:t>Legii nr. 249/2015 privind modalitatea de gestionare a ambalajelor și a deșeurilor de ambalaje</w:t>
      </w:r>
    </w:p>
    <w:p w14:paraId="3D252210" w14:textId="1A0964E9" w:rsidR="00314EA9" w:rsidRPr="009C401D" w:rsidRDefault="001766CD" w:rsidP="00BA77BD">
      <w:pPr>
        <w:spacing w:line="360" w:lineRule="auto"/>
        <w:jc w:val="both"/>
        <w:rPr>
          <w:b/>
          <w:sz w:val="28"/>
          <w:szCs w:val="28"/>
        </w:rPr>
      </w:pPr>
      <w:r>
        <w:rPr>
          <w:b/>
          <w:sz w:val="28"/>
          <w:szCs w:val="28"/>
        </w:rPr>
        <w:t xml:space="preserve"> </w:t>
      </w:r>
    </w:p>
    <w:p w14:paraId="7D1A8F89" w14:textId="4247EEF7" w:rsidR="00314EA9" w:rsidRPr="009C401D" w:rsidRDefault="00314EA9" w:rsidP="00BA77BD">
      <w:pPr>
        <w:spacing w:line="360" w:lineRule="auto"/>
        <w:ind w:firstLine="432"/>
        <w:rPr>
          <w:b/>
          <w:sz w:val="28"/>
          <w:szCs w:val="28"/>
        </w:rPr>
      </w:pPr>
      <w:r w:rsidRPr="009C401D">
        <w:rPr>
          <w:b/>
          <w:sz w:val="28"/>
          <w:szCs w:val="28"/>
        </w:rPr>
        <w:t>Iniţiator</w:t>
      </w:r>
      <w:r w:rsidR="00BA77BD">
        <w:rPr>
          <w:b/>
          <w:sz w:val="28"/>
          <w:szCs w:val="28"/>
        </w:rPr>
        <w:t>,</w:t>
      </w:r>
    </w:p>
    <w:p w14:paraId="4654C606" w14:textId="77777777" w:rsidR="00BA77BD" w:rsidRDefault="00BA77BD" w:rsidP="00BA77BD">
      <w:pPr>
        <w:spacing w:line="360" w:lineRule="auto"/>
        <w:rPr>
          <w:b/>
          <w:sz w:val="28"/>
          <w:szCs w:val="28"/>
        </w:rPr>
      </w:pPr>
    </w:p>
    <w:p w14:paraId="4C1976A5" w14:textId="3D2B6F2C" w:rsidR="00C06C5B" w:rsidRDefault="00C06C5B" w:rsidP="00BA77BD">
      <w:pPr>
        <w:spacing w:line="360" w:lineRule="auto"/>
        <w:ind w:firstLine="432"/>
        <w:rPr>
          <w:b/>
          <w:sz w:val="28"/>
          <w:szCs w:val="28"/>
        </w:rPr>
      </w:pPr>
      <w:r>
        <w:rPr>
          <w:b/>
          <w:sz w:val="28"/>
          <w:szCs w:val="28"/>
        </w:rPr>
        <w:t xml:space="preserve">Deputat </w:t>
      </w:r>
    </w:p>
    <w:p w14:paraId="22EB5202" w14:textId="3BE80D25" w:rsidR="00C06C5B" w:rsidRPr="009C401D" w:rsidRDefault="00C06C5B" w:rsidP="00BA77BD">
      <w:pPr>
        <w:spacing w:line="360" w:lineRule="auto"/>
        <w:ind w:firstLine="432"/>
        <w:rPr>
          <w:b/>
          <w:sz w:val="28"/>
          <w:szCs w:val="28"/>
        </w:rPr>
      </w:pPr>
      <w:r>
        <w:rPr>
          <w:b/>
          <w:sz w:val="28"/>
          <w:szCs w:val="28"/>
        </w:rPr>
        <w:t>Mircea FECHET</w:t>
      </w:r>
    </w:p>
    <w:p w14:paraId="566DA3D7" w14:textId="77777777" w:rsidR="00BE11F1" w:rsidRPr="009C401D" w:rsidRDefault="00BE11F1" w:rsidP="00314EA9">
      <w:pPr>
        <w:spacing w:line="360" w:lineRule="auto"/>
        <w:ind w:left="567"/>
        <w:rPr>
          <w:b/>
          <w:sz w:val="28"/>
          <w:szCs w:val="28"/>
        </w:rPr>
      </w:pPr>
    </w:p>
    <w:p w14:paraId="47334725" w14:textId="77777777" w:rsidR="00314EA9" w:rsidRPr="009C401D" w:rsidRDefault="00314EA9" w:rsidP="00314EA9">
      <w:pPr>
        <w:spacing w:line="360" w:lineRule="auto"/>
        <w:ind w:left="567"/>
        <w:rPr>
          <w:sz w:val="28"/>
          <w:szCs w:val="28"/>
        </w:rPr>
      </w:pPr>
    </w:p>
    <w:p w14:paraId="153D40B1" w14:textId="24AFE437" w:rsidR="004377FD" w:rsidRDefault="004377FD" w:rsidP="00314EA9">
      <w:pPr>
        <w:spacing w:line="360" w:lineRule="auto"/>
        <w:ind w:left="567"/>
        <w:rPr>
          <w:sz w:val="28"/>
          <w:szCs w:val="28"/>
        </w:rPr>
      </w:pPr>
    </w:p>
    <w:p w14:paraId="0AD2D113" w14:textId="77777777" w:rsidR="0060616F" w:rsidRPr="009C401D" w:rsidRDefault="0060616F" w:rsidP="00314EA9">
      <w:pPr>
        <w:spacing w:line="360" w:lineRule="auto"/>
        <w:ind w:left="567"/>
        <w:rPr>
          <w:sz w:val="28"/>
          <w:szCs w:val="28"/>
        </w:rPr>
      </w:pPr>
    </w:p>
    <w:p w14:paraId="69E78F81" w14:textId="77777777" w:rsidR="004377FD" w:rsidRPr="009C401D" w:rsidRDefault="004377FD" w:rsidP="00314EA9">
      <w:pPr>
        <w:spacing w:line="360" w:lineRule="auto"/>
        <w:ind w:left="567"/>
        <w:rPr>
          <w:sz w:val="28"/>
          <w:szCs w:val="28"/>
        </w:rPr>
      </w:pPr>
    </w:p>
    <w:p w14:paraId="73793375" w14:textId="51F0743A" w:rsidR="009C3CEE" w:rsidRPr="009C401D" w:rsidRDefault="009C3CEE" w:rsidP="00BE11F1">
      <w:pPr>
        <w:spacing w:after="200" w:line="276" w:lineRule="auto"/>
        <w:jc w:val="center"/>
        <w:rPr>
          <w:b/>
          <w:sz w:val="28"/>
          <w:szCs w:val="28"/>
        </w:rPr>
      </w:pPr>
      <w:r w:rsidRPr="009C401D">
        <w:rPr>
          <w:b/>
          <w:sz w:val="28"/>
          <w:szCs w:val="28"/>
        </w:rPr>
        <w:lastRenderedPageBreak/>
        <w:t>EXPUNERE DE MOTIVE</w:t>
      </w:r>
    </w:p>
    <w:p w14:paraId="66C25B83" w14:textId="77777777" w:rsidR="0060616F" w:rsidRPr="00C14F0C" w:rsidRDefault="0060616F" w:rsidP="0060616F">
      <w:pPr>
        <w:spacing w:before="100" w:beforeAutospacing="1" w:after="100" w:afterAutospacing="1"/>
        <w:jc w:val="both"/>
        <w:outlineLvl w:val="2"/>
        <w:rPr>
          <w:b/>
          <w:bCs/>
          <w:sz w:val="28"/>
          <w:szCs w:val="28"/>
        </w:rPr>
      </w:pPr>
      <w:r w:rsidRPr="00C14F0C">
        <w:rPr>
          <w:b/>
          <w:bCs/>
          <w:sz w:val="28"/>
          <w:szCs w:val="28"/>
        </w:rPr>
        <w:t>Context și necesitate</w:t>
      </w:r>
    </w:p>
    <w:p w14:paraId="493DB091" w14:textId="77777777" w:rsidR="0060616F" w:rsidRPr="00C14F0C" w:rsidRDefault="0060616F" w:rsidP="0060616F">
      <w:pPr>
        <w:spacing w:before="100" w:beforeAutospacing="1" w:after="100" w:afterAutospacing="1"/>
        <w:jc w:val="both"/>
        <w:rPr>
          <w:sz w:val="28"/>
          <w:szCs w:val="28"/>
        </w:rPr>
      </w:pPr>
      <w:r w:rsidRPr="00C14F0C">
        <w:rPr>
          <w:sz w:val="28"/>
          <w:szCs w:val="28"/>
        </w:rPr>
        <w:t xml:space="preserve">Prezenta propunere legislativă are ca obiect extinderea Sistemului de Garanție–Returnare (SGR) la </w:t>
      </w:r>
      <w:r w:rsidRPr="00C14F0C">
        <w:rPr>
          <w:bCs/>
          <w:sz w:val="28"/>
          <w:szCs w:val="28"/>
        </w:rPr>
        <w:t>ambalajele primare reutilizabile pentru băuturi</w:t>
      </w:r>
      <w:r w:rsidRPr="00C14F0C">
        <w:rPr>
          <w:sz w:val="28"/>
          <w:szCs w:val="28"/>
        </w:rPr>
        <w:t xml:space="preserve"> și, etapizat, la </w:t>
      </w:r>
      <w:r w:rsidRPr="00C14F0C">
        <w:rPr>
          <w:bCs/>
          <w:sz w:val="28"/>
          <w:szCs w:val="28"/>
        </w:rPr>
        <w:t>anumite ambalaje suplimentare</w:t>
      </w:r>
      <w:r w:rsidRPr="00C14F0C">
        <w:rPr>
          <w:sz w:val="28"/>
          <w:szCs w:val="28"/>
        </w:rPr>
        <w:t>, în vederea reducerii utilizării ambalajelor de unică folosință, creșterii ratei de returnare și reciclare, precum și stimulării reutilizării, în conformitate cu dreptul Uniunii Europene aplicabil.</w:t>
      </w:r>
    </w:p>
    <w:p w14:paraId="5EAB8DCE" w14:textId="77777777" w:rsidR="0060616F" w:rsidRPr="00C14F0C" w:rsidRDefault="0060616F" w:rsidP="0060616F">
      <w:pPr>
        <w:spacing w:before="100" w:beforeAutospacing="1" w:after="100" w:afterAutospacing="1"/>
        <w:jc w:val="both"/>
        <w:rPr>
          <w:sz w:val="28"/>
          <w:szCs w:val="28"/>
        </w:rPr>
      </w:pPr>
      <w:r w:rsidRPr="00C14F0C">
        <w:rPr>
          <w:sz w:val="28"/>
          <w:szCs w:val="28"/>
        </w:rPr>
        <w:t xml:space="preserve">Această măsură urmărește </w:t>
      </w:r>
      <w:r w:rsidRPr="00C14F0C">
        <w:rPr>
          <w:bCs/>
          <w:sz w:val="28"/>
          <w:szCs w:val="28"/>
        </w:rPr>
        <w:t>alinierea cadrului legislativ național</w:t>
      </w:r>
      <w:r w:rsidRPr="00C14F0C">
        <w:rPr>
          <w:sz w:val="28"/>
          <w:szCs w:val="28"/>
        </w:rPr>
        <w:t xml:space="preserve"> la prevederile </w:t>
      </w:r>
      <w:r w:rsidRPr="00C14F0C">
        <w:rPr>
          <w:bCs/>
          <w:sz w:val="28"/>
          <w:szCs w:val="28"/>
        </w:rPr>
        <w:t>Regulamentului (UE) 2025/40 privind ambalajele și deșeurile de ambalaje (PPWR)</w:t>
      </w:r>
      <w:r w:rsidRPr="00C14F0C">
        <w:rPr>
          <w:sz w:val="28"/>
          <w:szCs w:val="28"/>
        </w:rPr>
        <w:t xml:space="preserve"> — care înlocuiește Directiva 94/62/CE — și la </w:t>
      </w:r>
      <w:r w:rsidRPr="00C14F0C">
        <w:rPr>
          <w:bCs/>
          <w:sz w:val="28"/>
          <w:szCs w:val="28"/>
        </w:rPr>
        <w:t>Directiva (UE) 2019/904 privind reducerea impactului anumitor produse din plastic asupra mediului (SUPD)</w:t>
      </w:r>
      <w:r w:rsidRPr="00C14F0C">
        <w:rPr>
          <w:sz w:val="28"/>
          <w:szCs w:val="28"/>
        </w:rPr>
        <w:t>.</w:t>
      </w:r>
      <w:r w:rsidRPr="00C14F0C">
        <w:rPr>
          <w:sz w:val="28"/>
          <w:szCs w:val="28"/>
        </w:rPr>
        <w:br/>
        <w:t>Regulamentul PPWR impune statelor membre atingerea unor niveluri înalte de colectare separată și reutilizare, consolidând tranziția către o economie circulară sustenabilă.</w:t>
      </w:r>
    </w:p>
    <w:p w14:paraId="766BFD96" w14:textId="77777777" w:rsidR="0060616F" w:rsidRPr="00C14F0C" w:rsidRDefault="0060616F" w:rsidP="0060616F">
      <w:pPr>
        <w:spacing w:before="100" w:beforeAutospacing="1" w:after="100" w:afterAutospacing="1"/>
        <w:jc w:val="both"/>
        <w:outlineLvl w:val="2"/>
        <w:rPr>
          <w:b/>
          <w:bCs/>
          <w:sz w:val="28"/>
          <w:szCs w:val="28"/>
        </w:rPr>
      </w:pPr>
      <w:r w:rsidRPr="00C14F0C">
        <w:rPr>
          <w:b/>
          <w:bCs/>
          <w:sz w:val="28"/>
          <w:szCs w:val="28"/>
        </w:rPr>
        <w:t>Soluția propusă</w:t>
      </w:r>
    </w:p>
    <w:p w14:paraId="27EC56F5" w14:textId="77777777" w:rsidR="0060616F" w:rsidRPr="00C14F0C" w:rsidRDefault="0060616F" w:rsidP="0060616F">
      <w:pPr>
        <w:spacing w:before="100" w:beforeAutospacing="1" w:after="100" w:afterAutospacing="1"/>
        <w:jc w:val="both"/>
        <w:rPr>
          <w:sz w:val="28"/>
          <w:szCs w:val="28"/>
        </w:rPr>
      </w:pPr>
      <w:r w:rsidRPr="00C14F0C">
        <w:rPr>
          <w:sz w:val="28"/>
          <w:szCs w:val="28"/>
        </w:rPr>
        <w:t xml:space="preserve">Proiectul prevede </w:t>
      </w:r>
      <w:r w:rsidRPr="00C14F0C">
        <w:rPr>
          <w:bCs/>
          <w:sz w:val="28"/>
          <w:szCs w:val="28"/>
        </w:rPr>
        <w:t>includerea ambalajelor primare reutilizabile pentru băuturi</w:t>
      </w:r>
      <w:r w:rsidRPr="00C14F0C">
        <w:rPr>
          <w:sz w:val="28"/>
          <w:szCs w:val="28"/>
        </w:rPr>
        <w:t xml:space="preserve"> în cadrul SGR, prin:</w:t>
      </w:r>
    </w:p>
    <w:p w14:paraId="30D0CB66" w14:textId="77777777" w:rsidR="0060616F" w:rsidRPr="00C14F0C" w:rsidRDefault="0060616F" w:rsidP="0060616F">
      <w:pPr>
        <w:numPr>
          <w:ilvl w:val="0"/>
          <w:numId w:val="11"/>
        </w:numPr>
        <w:spacing w:before="100" w:beforeAutospacing="1" w:after="100" w:afterAutospacing="1"/>
        <w:jc w:val="both"/>
        <w:rPr>
          <w:sz w:val="28"/>
          <w:szCs w:val="28"/>
        </w:rPr>
      </w:pPr>
      <w:r w:rsidRPr="00C14F0C">
        <w:rPr>
          <w:sz w:val="28"/>
          <w:szCs w:val="28"/>
        </w:rPr>
        <w:t xml:space="preserve">introducerea unui </w:t>
      </w:r>
      <w:r w:rsidRPr="00C14F0C">
        <w:rPr>
          <w:bCs/>
          <w:sz w:val="28"/>
          <w:szCs w:val="28"/>
        </w:rPr>
        <w:t>marcaj distinct</w:t>
      </w:r>
      <w:r w:rsidRPr="00C14F0C">
        <w:rPr>
          <w:sz w:val="28"/>
          <w:szCs w:val="28"/>
        </w:rPr>
        <w:t xml:space="preserve"> și a unei </w:t>
      </w:r>
      <w:r w:rsidRPr="00C14F0C">
        <w:rPr>
          <w:bCs/>
          <w:sz w:val="28"/>
          <w:szCs w:val="28"/>
        </w:rPr>
        <w:t>identificări digitale</w:t>
      </w:r>
      <w:r w:rsidRPr="00C14F0C">
        <w:rPr>
          <w:sz w:val="28"/>
          <w:szCs w:val="28"/>
        </w:rPr>
        <w:t xml:space="preserve"> (cod de bare sau cod QR) care să asigure trasabilitatea completă a ambalajelor la nivel de unitate;</w:t>
      </w:r>
    </w:p>
    <w:p w14:paraId="5517CC17" w14:textId="77777777" w:rsidR="0060616F" w:rsidRPr="00C14F0C" w:rsidRDefault="0060616F" w:rsidP="0060616F">
      <w:pPr>
        <w:numPr>
          <w:ilvl w:val="0"/>
          <w:numId w:val="11"/>
        </w:numPr>
        <w:spacing w:before="100" w:beforeAutospacing="1" w:after="100" w:afterAutospacing="1"/>
        <w:jc w:val="both"/>
        <w:rPr>
          <w:sz w:val="28"/>
          <w:szCs w:val="28"/>
        </w:rPr>
      </w:pPr>
      <w:r w:rsidRPr="00C14F0C">
        <w:rPr>
          <w:sz w:val="28"/>
          <w:szCs w:val="28"/>
        </w:rPr>
        <w:t xml:space="preserve">stabilirea </w:t>
      </w:r>
      <w:r w:rsidRPr="00C14F0C">
        <w:rPr>
          <w:bCs/>
          <w:sz w:val="28"/>
          <w:szCs w:val="28"/>
        </w:rPr>
        <w:t>obiectivelor anuale minime</w:t>
      </w:r>
      <w:r w:rsidRPr="00C14F0C">
        <w:rPr>
          <w:sz w:val="28"/>
          <w:szCs w:val="28"/>
        </w:rPr>
        <w:t xml:space="preserve"> privind:</w:t>
      </w:r>
    </w:p>
    <w:p w14:paraId="0CFD6580" w14:textId="77777777" w:rsidR="0060616F" w:rsidRPr="00C14F0C" w:rsidRDefault="0060616F" w:rsidP="0060616F">
      <w:pPr>
        <w:numPr>
          <w:ilvl w:val="1"/>
          <w:numId w:val="11"/>
        </w:numPr>
        <w:spacing w:before="100" w:beforeAutospacing="1" w:after="100" w:afterAutospacing="1"/>
        <w:jc w:val="both"/>
        <w:rPr>
          <w:sz w:val="28"/>
          <w:szCs w:val="28"/>
        </w:rPr>
      </w:pPr>
      <w:r w:rsidRPr="00C14F0C">
        <w:rPr>
          <w:sz w:val="28"/>
          <w:szCs w:val="28"/>
        </w:rPr>
        <w:t>ponderea ambalajelor reutilizabile în totalul ambalajelor gestionate prin SGR;</w:t>
      </w:r>
    </w:p>
    <w:p w14:paraId="702B9C7D" w14:textId="77777777" w:rsidR="0060616F" w:rsidRPr="00C14F0C" w:rsidRDefault="0060616F" w:rsidP="0060616F">
      <w:pPr>
        <w:numPr>
          <w:ilvl w:val="1"/>
          <w:numId w:val="11"/>
        </w:numPr>
        <w:spacing w:before="100" w:beforeAutospacing="1" w:after="100" w:afterAutospacing="1"/>
        <w:jc w:val="both"/>
        <w:rPr>
          <w:sz w:val="28"/>
          <w:szCs w:val="28"/>
        </w:rPr>
      </w:pPr>
      <w:r w:rsidRPr="00C14F0C">
        <w:rPr>
          <w:sz w:val="28"/>
          <w:szCs w:val="28"/>
        </w:rPr>
        <w:t>rata de returnare și rata de reciclare a acestora;</w:t>
      </w:r>
    </w:p>
    <w:p w14:paraId="541F6211" w14:textId="77777777" w:rsidR="0060616F" w:rsidRPr="00C14F0C" w:rsidRDefault="0060616F" w:rsidP="0060616F">
      <w:pPr>
        <w:numPr>
          <w:ilvl w:val="0"/>
          <w:numId w:val="11"/>
        </w:numPr>
        <w:spacing w:before="100" w:beforeAutospacing="1" w:after="100" w:afterAutospacing="1"/>
        <w:jc w:val="both"/>
        <w:rPr>
          <w:sz w:val="28"/>
          <w:szCs w:val="28"/>
        </w:rPr>
      </w:pPr>
      <w:r w:rsidRPr="00C14F0C">
        <w:rPr>
          <w:bCs/>
          <w:sz w:val="28"/>
          <w:szCs w:val="28"/>
        </w:rPr>
        <w:t>utilizarea infrastructurii existente</w:t>
      </w:r>
      <w:r w:rsidRPr="00C14F0C">
        <w:rPr>
          <w:sz w:val="28"/>
          <w:szCs w:val="28"/>
        </w:rPr>
        <w:t xml:space="preserve"> a SGR pentru colectare, depozitare, transport și raportare, în vederea optimizării costurilor și simplificării proceselor.</w:t>
      </w:r>
    </w:p>
    <w:p w14:paraId="53020D5A" w14:textId="77777777" w:rsidR="0060616F" w:rsidRPr="00C14F0C" w:rsidRDefault="0060616F" w:rsidP="0060616F">
      <w:pPr>
        <w:spacing w:before="100" w:beforeAutospacing="1" w:after="100" w:afterAutospacing="1"/>
        <w:jc w:val="both"/>
        <w:outlineLvl w:val="2"/>
        <w:rPr>
          <w:b/>
          <w:bCs/>
          <w:sz w:val="28"/>
          <w:szCs w:val="28"/>
        </w:rPr>
      </w:pPr>
      <w:r w:rsidRPr="00C14F0C">
        <w:rPr>
          <w:b/>
          <w:bCs/>
          <w:sz w:val="28"/>
          <w:szCs w:val="28"/>
        </w:rPr>
        <w:t>Efectele preconizate</w:t>
      </w:r>
    </w:p>
    <w:p w14:paraId="10C7141C" w14:textId="77777777" w:rsidR="0060616F" w:rsidRPr="00C14F0C" w:rsidRDefault="0060616F" w:rsidP="0060616F">
      <w:pPr>
        <w:spacing w:before="100" w:beforeAutospacing="1" w:after="100" w:afterAutospacing="1"/>
        <w:jc w:val="both"/>
        <w:rPr>
          <w:sz w:val="28"/>
          <w:szCs w:val="28"/>
        </w:rPr>
      </w:pPr>
      <w:r w:rsidRPr="00C14F0C">
        <w:rPr>
          <w:sz w:val="28"/>
          <w:szCs w:val="28"/>
        </w:rPr>
        <w:t>Implementarea modificărilor propuse va genera următoarele rezultate:</w:t>
      </w:r>
    </w:p>
    <w:p w14:paraId="405B248E" w14:textId="77777777" w:rsidR="0060616F" w:rsidRPr="00C14F0C" w:rsidRDefault="0060616F" w:rsidP="0060616F">
      <w:pPr>
        <w:numPr>
          <w:ilvl w:val="0"/>
          <w:numId w:val="12"/>
        </w:numPr>
        <w:spacing w:before="100" w:beforeAutospacing="1" w:after="100" w:afterAutospacing="1"/>
        <w:jc w:val="both"/>
        <w:rPr>
          <w:sz w:val="28"/>
          <w:szCs w:val="28"/>
        </w:rPr>
      </w:pPr>
      <w:r w:rsidRPr="00C14F0C">
        <w:rPr>
          <w:bCs/>
          <w:sz w:val="28"/>
          <w:szCs w:val="28"/>
        </w:rPr>
        <w:t>Creșterea ponderii ambalajelor reutilizabile</w:t>
      </w:r>
      <w:r w:rsidRPr="00C14F0C">
        <w:rPr>
          <w:sz w:val="28"/>
          <w:szCs w:val="28"/>
        </w:rPr>
        <w:t xml:space="preserve"> în piața băuturilor și </w:t>
      </w:r>
      <w:r w:rsidRPr="00C14F0C">
        <w:rPr>
          <w:bCs/>
          <w:sz w:val="28"/>
          <w:szCs w:val="28"/>
        </w:rPr>
        <w:t>reducerea volumelor de ambalaje de unică folosință</w:t>
      </w:r>
      <w:r w:rsidRPr="00C14F0C">
        <w:rPr>
          <w:sz w:val="28"/>
          <w:szCs w:val="28"/>
        </w:rPr>
        <w:t>;</w:t>
      </w:r>
    </w:p>
    <w:p w14:paraId="03961FC6" w14:textId="77777777" w:rsidR="0060616F" w:rsidRPr="00C14F0C" w:rsidRDefault="0060616F" w:rsidP="0060616F">
      <w:pPr>
        <w:numPr>
          <w:ilvl w:val="0"/>
          <w:numId w:val="12"/>
        </w:numPr>
        <w:spacing w:before="100" w:beforeAutospacing="1" w:after="100" w:afterAutospacing="1"/>
        <w:jc w:val="both"/>
        <w:rPr>
          <w:sz w:val="28"/>
          <w:szCs w:val="28"/>
        </w:rPr>
      </w:pPr>
      <w:r w:rsidRPr="00C14F0C">
        <w:rPr>
          <w:bCs/>
          <w:sz w:val="28"/>
          <w:szCs w:val="28"/>
        </w:rPr>
        <w:t>Trasabilitate completă</w:t>
      </w:r>
      <w:r w:rsidRPr="00C14F0C">
        <w:rPr>
          <w:sz w:val="28"/>
          <w:szCs w:val="28"/>
        </w:rPr>
        <w:t xml:space="preserve"> în cadrul SGR — de la momentul punerii pe piață până la reutilizare și, la finalul ciclului de viață, până la reciclare;</w:t>
      </w:r>
    </w:p>
    <w:p w14:paraId="314DADA5" w14:textId="77777777" w:rsidR="0060616F" w:rsidRPr="00C14F0C" w:rsidRDefault="0060616F" w:rsidP="0060616F">
      <w:pPr>
        <w:numPr>
          <w:ilvl w:val="0"/>
          <w:numId w:val="12"/>
        </w:numPr>
        <w:spacing w:before="100" w:beforeAutospacing="1" w:after="100" w:afterAutospacing="1"/>
        <w:jc w:val="both"/>
        <w:rPr>
          <w:sz w:val="28"/>
          <w:szCs w:val="28"/>
        </w:rPr>
      </w:pPr>
      <w:r w:rsidRPr="00C14F0C">
        <w:rPr>
          <w:bCs/>
          <w:sz w:val="28"/>
          <w:szCs w:val="28"/>
        </w:rPr>
        <w:lastRenderedPageBreak/>
        <w:t>Simplificarea procesului pentru consumatori</w:t>
      </w:r>
      <w:r w:rsidRPr="00C14F0C">
        <w:rPr>
          <w:sz w:val="28"/>
          <w:szCs w:val="28"/>
        </w:rPr>
        <w:t>, prin utilizarea acelorași puncte de returnare și reguli de rambursare a garanției, într-un sistem care beneficiază deja de un nivel ridicat de încredere publică;</w:t>
      </w:r>
    </w:p>
    <w:p w14:paraId="0C0B6E0F" w14:textId="77777777" w:rsidR="0060616F" w:rsidRPr="00C14F0C" w:rsidRDefault="0060616F" w:rsidP="0060616F">
      <w:pPr>
        <w:numPr>
          <w:ilvl w:val="0"/>
          <w:numId w:val="12"/>
        </w:numPr>
        <w:spacing w:before="100" w:beforeAutospacing="1" w:after="100" w:afterAutospacing="1"/>
        <w:jc w:val="both"/>
        <w:rPr>
          <w:sz w:val="28"/>
          <w:szCs w:val="28"/>
        </w:rPr>
      </w:pPr>
      <w:r w:rsidRPr="00C14F0C">
        <w:rPr>
          <w:bCs/>
          <w:sz w:val="28"/>
          <w:szCs w:val="28"/>
        </w:rPr>
        <w:t>Optimizare logistică</w:t>
      </w:r>
      <w:r w:rsidRPr="00C14F0C">
        <w:rPr>
          <w:sz w:val="28"/>
          <w:szCs w:val="28"/>
        </w:rPr>
        <w:t>, prin valorificarea rutelor, spațiilor de depozitare și echipamentelor existente în cadrul infrastructurii actuale.</w:t>
      </w:r>
    </w:p>
    <w:p w14:paraId="2D89E422" w14:textId="77777777" w:rsidR="0060616F" w:rsidRPr="00C14F0C" w:rsidRDefault="0060616F" w:rsidP="0060616F">
      <w:pPr>
        <w:spacing w:before="100" w:beforeAutospacing="1" w:after="100" w:afterAutospacing="1"/>
        <w:jc w:val="both"/>
        <w:outlineLvl w:val="2"/>
        <w:rPr>
          <w:b/>
          <w:bCs/>
          <w:sz w:val="28"/>
          <w:szCs w:val="28"/>
        </w:rPr>
      </w:pPr>
      <w:r w:rsidRPr="00C14F0C">
        <w:rPr>
          <w:b/>
          <w:bCs/>
          <w:sz w:val="28"/>
          <w:szCs w:val="28"/>
        </w:rPr>
        <w:t>Impact administrativ și financiar</w:t>
      </w:r>
    </w:p>
    <w:p w14:paraId="1E01A60C" w14:textId="77777777" w:rsidR="0060616F" w:rsidRPr="00C14F0C" w:rsidRDefault="0060616F" w:rsidP="0060616F">
      <w:pPr>
        <w:spacing w:before="100" w:beforeAutospacing="1" w:after="100" w:afterAutospacing="1"/>
        <w:jc w:val="both"/>
        <w:rPr>
          <w:sz w:val="28"/>
          <w:szCs w:val="28"/>
        </w:rPr>
      </w:pPr>
      <w:r w:rsidRPr="00C14F0C">
        <w:rPr>
          <w:sz w:val="28"/>
          <w:szCs w:val="28"/>
        </w:rPr>
        <w:t xml:space="preserve">Extinderea sistemului se realizează </w:t>
      </w:r>
      <w:r w:rsidRPr="00C14F0C">
        <w:rPr>
          <w:bCs/>
          <w:sz w:val="28"/>
          <w:szCs w:val="28"/>
        </w:rPr>
        <w:t>în interiorul arhitecturii operaționale actuale a SGR</w:t>
      </w:r>
      <w:r w:rsidRPr="00C14F0C">
        <w:rPr>
          <w:sz w:val="28"/>
          <w:szCs w:val="28"/>
        </w:rPr>
        <w:t>, fără a necesita crearea de structuri paralele sau costuri suplimentare semnificative.</w:t>
      </w:r>
      <w:r w:rsidRPr="00C14F0C">
        <w:rPr>
          <w:sz w:val="28"/>
          <w:szCs w:val="28"/>
        </w:rPr>
        <w:br/>
        <w:t>Adaptările tehnice și procedurale vor fi reglementate prin acte normative subsecvente, în limitele mecanismelor SGR existente.</w:t>
      </w:r>
    </w:p>
    <w:p w14:paraId="404BEEF4" w14:textId="77777777" w:rsidR="0060616F" w:rsidRPr="00C14F0C" w:rsidRDefault="0060616F" w:rsidP="0060616F">
      <w:pPr>
        <w:spacing w:before="100" w:beforeAutospacing="1" w:after="100" w:afterAutospacing="1"/>
        <w:jc w:val="both"/>
        <w:rPr>
          <w:sz w:val="28"/>
          <w:szCs w:val="28"/>
        </w:rPr>
      </w:pPr>
      <w:r w:rsidRPr="00C14F0C">
        <w:rPr>
          <w:sz w:val="28"/>
          <w:szCs w:val="28"/>
        </w:rPr>
        <w:t>Implementarea măsurii:</w:t>
      </w:r>
    </w:p>
    <w:p w14:paraId="3C1AE341" w14:textId="77777777" w:rsidR="0060616F" w:rsidRPr="00C14F0C" w:rsidRDefault="0060616F" w:rsidP="0060616F">
      <w:pPr>
        <w:numPr>
          <w:ilvl w:val="0"/>
          <w:numId w:val="13"/>
        </w:numPr>
        <w:spacing w:before="100" w:beforeAutospacing="1" w:after="100" w:afterAutospacing="1"/>
        <w:jc w:val="both"/>
        <w:rPr>
          <w:sz w:val="28"/>
          <w:szCs w:val="28"/>
        </w:rPr>
      </w:pPr>
      <w:r w:rsidRPr="00C14F0C">
        <w:rPr>
          <w:bCs/>
          <w:sz w:val="28"/>
          <w:szCs w:val="28"/>
        </w:rPr>
        <w:t>nu afectează drepturile consumatorilor</w:t>
      </w:r>
      <w:r w:rsidRPr="00C14F0C">
        <w:rPr>
          <w:sz w:val="28"/>
          <w:szCs w:val="28"/>
        </w:rPr>
        <w:t>,</w:t>
      </w:r>
    </w:p>
    <w:p w14:paraId="6E8CFB91" w14:textId="77777777" w:rsidR="0060616F" w:rsidRPr="00C14F0C" w:rsidRDefault="0060616F" w:rsidP="0060616F">
      <w:pPr>
        <w:numPr>
          <w:ilvl w:val="0"/>
          <w:numId w:val="13"/>
        </w:numPr>
        <w:spacing w:before="100" w:beforeAutospacing="1" w:after="100" w:afterAutospacing="1"/>
        <w:jc w:val="both"/>
        <w:rPr>
          <w:sz w:val="28"/>
          <w:szCs w:val="28"/>
        </w:rPr>
      </w:pPr>
      <w:r w:rsidRPr="00C14F0C">
        <w:rPr>
          <w:bCs/>
          <w:sz w:val="28"/>
          <w:szCs w:val="28"/>
        </w:rPr>
        <w:t>nu generează costuri suplimentare pentru autoritățile publice</w:t>
      </w:r>
      <w:r w:rsidRPr="00C14F0C">
        <w:rPr>
          <w:sz w:val="28"/>
          <w:szCs w:val="28"/>
        </w:rPr>
        <w:t>,</w:t>
      </w:r>
    </w:p>
    <w:p w14:paraId="319BEA67" w14:textId="77777777" w:rsidR="0060616F" w:rsidRPr="00C14F0C" w:rsidRDefault="0060616F" w:rsidP="0060616F">
      <w:pPr>
        <w:numPr>
          <w:ilvl w:val="0"/>
          <w:numId w:val="13"/>
        </w:numPr>
        <w:spacing w:before="100" w:beforeAutospacing="1" w:after="100" w:afterAutospacing="1"/>
        <w:jc w:val="both"/>
        <w:rPr>
          <w:bCs/>
          <w:sz w:val="28"/>
          <w:szCs w:val="28"/>
        </w:rPr>
      </w:pPr>
      <w:r w:rsidRPr="00C14F0C">
        <w:rPr>
          <w:sz w:val="28"/>
          <w:szCs w:val="28"/>
        </w:rPr>
        <w:t xml:space="preserve">și contribuie la creșterea eficienței generale a sistemului, prin integrarea unui model </w:t>
      </w:r>
    </w:p>
    <w:p w14:paraId="457C4DA8" w14:textId="77777777" w:rsidR="0060616F" w:rsidRPr="00C14F0C" w:rsidRDefault="0060616F" w:rsidP="0060616F">
      <w:pPr>
        <w:spacing w:before="100" w:beforeAutospacing="1" w:after="100" w:afterAutospacing="1"/>
        <w:jc w:val="both"/>
        <w:outlineLvl w:val="2"/>
        <w:rPr>
          <w:b/>
          <w:bCs/>
          <w:sz w:val="28"/>
          <w:szCs w:val="28"/>
        </w:rPr>
      </w:pPr>
      <w:r w:rsidRPr="00C14F0C">
        <w:rPr>
          <w:b/>
          <w:bCs/>
          <w:sz w:val="28"/>
          <w:szCs w:val="28"/>
        </w:rPr>
        <w:t>Concluzii</w:t>
      </w:r>
    </w:p>
    <w:p w14:paraId="4CBBF082" w14:textId="77777777" w:rsidR="0060616F" w:rsidRPr="00C14F0C" w:rsidRDefault="0060616F" w:rsidP="0060616F">
      <w:pPr>
        <w:spacing w:before="100" w:beforeAutospacing="1" w:after="100" w:afterAutospacing="1"/>
        <w:jc w:val="both"/>
        <w:rPr>
          <w:sz w:val="28"/>
          <w:szCs w:val="28"/>
        </w:rPr>
      </w:pPr>
      <w:r w:rsidRPr="00C14F0C">
        <w:rPr>
          <w:sz w:val="28"/>
          <w:szCs w:val="28"/>
        </w:rPr>
        <w:t>Extinderea Sistemului de Garanție–Returnare la ambalajele primare reutilizabile reprezintă o măsură esențială pentru atingerea obiectivelor naționale și europene privind reducerea deșeurilor, creșterea ratei de reciclare și consolidarea economiei circulare.</w:t>
      </w:r>
    </w:p>
    <w:p w14:paraId="61069A32" w14:textId="77777777" w:rsidR="0060616F" w:rsidRDefault="0060616F" w:rsidP="0060616F">
      <w:pPr>
        <w:spacing w:before="100" w:beforeAutospacing="1" w:after="100" w:afterAutospacing="1"/>
        <w:jc w:val="both"/>
        <w:rPr>
          <w:sz w:val="28"/>
          <w:szCs w:val="28"/>
        </w:rPr>
      </w:pPr>
      <w:r w:rsidRPr="00C14F0C">
        <w:rPr>
          <w:sz w:val="28"/>
          <w:szCs w:val="28"/>
        </w:rPr>
        <w:t>Această reglementare valorifică infrastructura existentă, reduce presiunea asupra mediului și contribuie la modernizarea sustenabilă a pieței ambalajelor pentru băuturi, în deplină conformitate cu legislația Uniunii Europene.</w:t>
      </w:r>
    </w:p>
    <w:p w14:paraId="71320E50" w14:textId="77777777" w:rsidR="0060616F" w:rsidRDefault="0060616F" w:rsidP="0060616F">
      <w:pPr>
        <w:spacing w:line="360" w:lineRule="auto"/>
        <w:rPr>
          <w:b/>
          <w:sz w:val="28"/>
          <w:szCs w:val="28"/>
        </w:rPr>
      </w:pPr>
    </w:p>
    <w:p w14:paraId="63A15A1C" w14:textId="510613CA" w:rsidR="00BE11F1" w:rsidRPr="009C401D" w:rsidRDefault="00043AF0" w:rsidP="0060616F">
      <w:pPr>
        <w:spacing w:line="360" w:lineRule="auto"/>
        <w:rPr>
          <w:b/>
          <w:sz w:val="28"/>
          <w:szCs w:val="28"/>
        </w:rPr>
      </w:pPr>
      <w:r>
        <w:rPr>
          <w:b/>
          <w:sz w:val="28"/>
          <w:szCs w:val="28"/>
        </w:rPr>
        <w:t>Iniţiator</w:t>
      </w:r>
      <w:r w:rsidR="00BA77BD">
        <w:rPr>
          <w:b/>
          <w:sz w:val="28"/>
          <w:szCs w:val="28"/>
        </w:rPr>
        <w:t>,</w:t>
      </w:r>
    </w:p>
    <w:p w14:paraId="400ACAFA" w14:textId="3F514F79" w:rsidR="00674DD0" w:rsidRDefault="00D45E5D" w:rsidP="0060616F">
      <w:pPr>
        <w:spacing w:line="360" w:lineRule="auto"/>
        <w:rPr>
          <w:b/>
          <w:sz w:val="28"/>
          <w:szCs w:val="28"/>
        </w:rPr>
      </w:pPr>
      <w:r>
        <w:rPr>
          <w:b/>
          <w:sz w:val="28"/>
          <w:szCs w:val="28"/>
        </w:rPr>
        <w:t>Deputat</w:t>
      </w:r>
    </w:p>
    <w:p w14:paraId="2D62A8E1" w14:textId="69776614" w:rsidR="00D45E5D" w:rsidRPr="009C401D" w:rsidRDefault="00D45E5D" w:rsidP="0060616F">
      <w:pPr>
        <w:spacing w:line="360" w:lineRule="auto"/>
        <w:rPr>
          <w:b/>
          <w:sz w:val="28"/>
          <w:szCs w:val="28"/>
        </w:rPr>
      </w:pPr>
      <w:r>
        <w:rPr>
          <w:b/>
          <w:sz w:val="28"/>
          <w:szCs w:val="28"/>
        </w:rPr>
        <w:t>Mircea FECHET</w:t>
      </w:r>
    </w:p>
    <w:p w14:paraId="67164F86" w14:textId="285BFC6A" w:rsidR="00674DD0" w:rsidRDefault="00674DD0" w:rsidP="00BE11F1">
      <w:pPr>
        <w:spacing w:line="360" w:lineRule="auto"/>
        <w:ind w:left="567"/>
        <w:rPr>
          <w:b/>
          <w:sz w:val="28"/>
          <w:szCs w:val="28"/>
        </w:rPr>
      </w:pPr>
    </w:p>
    <w:p w14:paraId="6BEF30F8" w14:textId="77777777" w:rsidR="0060616F" w:rsidRDefault="0060616F" w:rsidP="00BE11F1">
      <w:pPr>
        <w:spacing w:line="360" w:lineRule="auto"/>
        <w:ind w:left="567"/>
        <w:rPr>
          <w:b/>
          <w:sz w:val="28"/>
          <w:szCs w:val="28"/>
        </w:rPr>
      </w:pPr>
    </w:p>
    <w:p w14:paraId="265F9765" w14:textId="3C3FB31E" w:rsidR="00B75BA1" w:rsidRDefault="00B75BA1" w:rsidP="00BE11F1">
      <w:pPr>
        <w:spacing w:line="360" w:lineRule="auto"/>
        <w:ind w:left="567"/>
        <w:rPr>
          <w:b/>
          <w:sz w:val="28"/>
          <w:szCs w:val="28"/>
        </w:rPr>
      </w:pPr>
    </w:p>
    <w:p w14:paraId="4971698F" w14:textId="77777777" w:rsidR="00B871C2" w:rsidRPr="009C401D" w:rsidRDefault="00C372A6" w:rsidP="00574B25">
      <w:pPr>
        <w:pStyle w:val="ListParagraph"/>
        <w:ind w:left="432"/>
        <w:jc w:val="center"/>
        <w:rPr>
          <w:b/>
          <w:sz w:val="28"/>
          <w:szCs w:val="28"/>
        </w:rPr>
      </w:pPr>
      <w:r w:rsidRPr="009C401D">
        <w:rPr>
          <w:b/>
          <w:sz w:val="28"/>
          <w:szCs w:val="28"/>
        </w:rPr>
        <w:lastRenderedPageBreak/>
        <w:t xml:space="preserve">LEGE </w:t>
      </w:r>
    </w:p>
    <w:p w14:paraId="09F95875" w14:textId="77777777" w:rsidR="00BA77BD" w:rsidRPr="00D45E5D" w:rsidRDefault="00D50739" w:rsidP="00BA77BD">
      <w:pPr>
        <w:pStyle w:val="ListParagraph"/>
        <w:ind w:left="432"/>
        <w:jc w:val="center"/>
        <w:rPr>
          <w:b/>
          <w:sz w:val="28"/>
          <w:szCs w:val="28"/>
        </w:rPr>
      </w:pPr>
      <w:r w:rsidRPr="009C401D">
        <w:rPr>
          <w:b/>
          <w:sz w:val="28"/>
          <w:szCs w:val="28"/>
        </w:rPr>
        <w:t xml:space="preserve">privind modificarea și completarea </w:t>
      </w:r>
      <w:r w:rsidR="00BA77BD" w:rsidRPr="00D45E5D">
        <w:rPr>
          <w:b/>
          <w:sz w:val="28"/>
          <w:szCs w:val="28"/>
        </w:rPr>
        <w:t>Legii nr. 249/2015 privind modalitatea de gestionare a ambalajelor și a deșeurilor de ambalaje</w:t>
      </w:r>
    </w:p>
    <w:p w14:paraId="4962EB6D" w14:textId="3DC328D1" w:rsidR="009C3CEE" w:rsidRDefault="009C3CEE" w:rsidP="00574B25">
      <w:pPr>
        <w:pStyle w:val="ListParagraph"/>
        <w:ind w:left="432"/>
        <w:jc w:val="both"/>
        <w:rPr>
          <w:b/>
          <w:sz w:val="28"/>
          <w:szCs w:val="28"/>
        </w:rPr>
      </w:pPr>
    </w:p>
    <w:p w14:paraId="0301C01F" w14:textId="75342685" w:rsidR="00BA77BD" w:rsidRDefault="00BA77BD" w:rsidP="00574B25">
      <w:pPr>
        <w:pStyle w:val="ListParagraph"/>
        <w:ind w:left="432"/>
        <w:jc w:val="both"/>
        <w:rPr>
          <w:b/>
          <w:sz w:val="28"/>
          <w:szCs w:val="28"/>
        </w:rPr>
      </w:pPr>
    </w:p>
    <w:p w14:paraId="6CB6C489" w14:textId="77777777" w:rsidR="00BA77BD" w:rsidRPr="009C401D" w:rsidRDefault="00BA77BD" w:rsidP="00574B25">
      <w:pPr>
        <w:pStyle w:val="ListParagraph"/>
        <w:ind w:left="432"/>
        <w:jc w:val="both"/>
        <w:rPr>
          <w:b/>
          <w:sz w:val="28"/>
          <w:szCs w:val="28"/>
        </w:rPr>
      </w:pPr>
    </w:p>
    <w:p w14:paraId="62430C02" w14:textId="77777777" w:rsidR="0060616F" w:rsidRPr="00982DBB" w:rsidRDefault="0060616F" w:rsidP="0060616F">
      <w:pPr>
        <w:autoSpaceDE w:val="0"/>
        <w:autoSpaceDN w:val="0"/>
        <w:adjustRightInd w:val="0"/>
        <w:spacing w:after="213" w:line="400" w:lineRule="atLeast"/>
        <w:jc w:val="both"/>
        <w:rPr>
          <w:color w:val="000000"/>
          <w:sz w:val="28"/>
          <w:szCs w:val="28"/>
          <w:u w:color="0B4CB4"/>
        </w:rPr>
      </w:pPr>
      <w:r w:rsidRPr="00982DBB">
        <w:rPr>
          <w:b/>
          <w:bCs/>
          <w:color w:val="000000"/>
          <w:sz w:val="28"/>
          <w:szCs w:val="28"/>
        </w:rPr>
        <w:t xml:space="preserve">Art. I. - </w:t>
      </w:r>
      <w:r w:rsidRPr="00982DBB">
        <w:rPr>
          <w:sz w:val="28"/>
          <w:szCs w:val="28"/>
        </w:rPr>
        <w:t>Legea nr. 249/2015</w:t>
      </w:r>
      <w:r w:rsidRPr="00982DBB">
        <w:rPr>
          <w:sz w:val="28"/>
          <w:szCs w:val="28"/>
          <w:u w:color="0B4CB4"/>
        </w:rPr>
        <w:t xml:space="preserve"> privind </w:t>
      </w:r>
      <w:r w:rsidRPr="00982DBB">
        <w:rPr>
          <w:color w:val="000000"/>
          <w:sz w:val="28"/>
          <w:szCs w:val="28"/>
          <w:u w:color="0B4CB4"/>
        </w:rPr>
        <w:t>modalitatea de gestionare a ambalajelor și a deșeurilor de ambalaje, publicată în Monitorul Oficial al României, Partea I, nr. 809 din 30 octombrie 2015, cu modificările și completările ulterioare, se modifică și se completează după cum urmează:</w:t>
      </w:r>
    </w:p>
    <w:p w14:paraId="4130A5EF" w14:textId="77777777" w:rsidR="0060616F" w:rsidRPr="00982DBB" w:rsidRDefault="0060616F" w:rsidP="0060616F">
      <w:pPr>
        <w:pStyle w:val="ListParagraph"/>
        <w:numPr>
          <w:ilvl w:val="0"/>
          <w:numId w:val="14"/>
        </w:numPr>
        <w:autoSpaceDE w:val="0"/>
        <w:autoSpaceDN w:val="0"/>
        <w:adjustRightInd w:val="0"/>
        <w:ind w:left="284"/>
        <w:jc w:val="both"/>
        <w:rPr>
          <w:sz w:val="28"/>
          <w:szCs w:val="28"/>
        </w:rPr>
      </w:pPr>
      <w:r w:rsidRPr="00982DBB">
        <w:rPr>
          <w:sz w:val="28"/>
          <w:szCs w:val="28"/>
        </w:rPr>
        <w:t>La articolul 10, după alineatul (5) se introduc opt noi alineate, alineatele (5^1-5^8), cu următorul cuprins:</w:t>
      </w:r>
    </w:p>
    <w:p w14:paraId="025A894F" w14:textId="77777777" w:rsidR="0060616F" w:rsidRPr="00982DBB" w:rsidRDefault="0060616F" w:rsidP="0060616F">
      <w:pPr>
        <w:pStyle w:val="ListParagraph"/>
        <w:autoSpaceDE w:val="0"/>
        <w:autoSpaceDN w:val="0"/>
        <w:adjustRightInd w:val="0"/>
        <w:ind w:left="284"/>
        <w:jc w:val="both"/>
        <w:rPr>
          <w:sz w:val="28"/>
          <w:szCs w:val="28"/>
        </w:rPr>
      </w:pPr>
    </w:p>
    <w:p w14:paraId="66525A1D" w14:textId="77777777" w:rsidR="0060616F" w:rsidRPr="00982DBB" w:rsidRDefault="0060616F" w:rsidP="0060616F">
      <w:pPr>
        <w:jc w:val="both"/>
        <w:rPr>
          <w:sz w:val="28"/>
          <w:szCs w:val="28"/>
        </w:rPr>
      </w:pPr>
      <w:r w:rsidRPr="00982DBB">
        <w:rPr>
          <w:sz w:val="28"/>
          <w:szCs w:val="28"/>
        </w:rPr>
        <w:t>„(5^1) Începând cu 1 ianuarie 2027, sistemul de garanție-returnare de la alin. (5) se va aplica și pentru ambalajele primare nereutilizabile din sticlă, plastic sau metal, utilizate pentru a face disponibile pe piața națională oțetul, borșul, apa distilată și băuturile din cafea și pe baza de cafea, precum și orice produs alimentar astfel cum este definit în cadrul art. 2 alin. (2), pct. 1 din Legea nr. 321/2009 privind comercializarea produselor alimentare făcute disponibile pe piață în ambalaje primare nereutilizabile constând în borcane din sticlă cu capac din plastic sau metal.</w:t>
      </w:r>
    </w:p>
    <w:p w14:paraId="0057F025" w14:textId="77777777" w:rsidR="0060616F" w:rsidRPr="00982DBB" w:rsidRDefault="0060616F" w:rsidP="0060616F">
      <w:pPr>
        <w:jc w:val="both"/>
        <w:rPr>
          <w:sz w:val="28"/>
          <w:szCs w:val="28"/>
        </w:rPr>
      </w:pPr>
      <w:r w:rsidRPr="00982DBB">
        <w:rPr>
          <w:sz w:val="28"/>
          <w:szCs w:val="28"/>
        </w:rPr>
        <w:t>(5^2) Începând cu 1 ianuarie 2027, ambalajele primare reutilizabile utilizate pentru a face disponibile băuturile menționate la art. 10 alin. (5),  vor fi incluse și gestionate exclusiv în cadrul sistemului de garanție-returnare de la alin. (5).</w:t>
      </w:r>
    </w:p>
    <w:p w14:paraId="48A46B3F" w14:textId="77777777" w:rsidR="0060616F" w:rsidRPr="00982DBB" w:rsidRDefault="0060616F" w:rsidP="0060616F">
      <w:pPr>
        <w:jc w:val="both"/>
        <w:rPr>
          <w:sz w:val="28"/>
          <w:szCs w:val="28"/>
        </w:rPr>
      </w:pPr>
      <w:r w:rsidRPr="00982DBB">
        <w:rPr>
          <w:sz w:val="28"/>
          <w:szCs w:val="28"/>
        </w:rPr>
        <w:t xml:space="preserve">Vor fi exceptate de la prevederile prezentului alineat următoarele categorii de băuturi făcute disponibile pe piață în ambalaje reutilizabile: </w:t>
      </w:r>
    </w:p>
    <w:p w14:paraId="66B32561" w14:textId="77777777" w:rsidR="0060616F" w:rsidRPr="00982DBB" w:rsidRDefault="0060616F" w:rsidP="0060616F">
      <w:pPr>
        <w:jc w:val="both"/>
        <w:rPr>
          <w:sz w:val="28"/>
          <w:szCs w:val="28"/>
        </w:rPr>
      </w:pPr>
      <w:r w:rsidRPr="00982DBB">
        <w:rPr>
          <w:sz w:val="28"/>
          <w:szCs w:val="28"/>
        </w:rPr>
        <w:t xml:space="preserve">- băuturile foarte perisabile în înțelesul articolului 24 din Regulamentul (UE) nr. 1169/2011 și laptele și produsele lactate enumerate în anexa I partea XVI la Regulamentul (UE) nr. 1308/2013 și produsele analoge lactatelor din această categorie, care se încadrează la codurile 2202 99 11 și 2202 99 15 din Nomenclatura combinată (NC) din anexa I la Regulamentul (CEE) nr. 2658/87 al Consiliului (70). Opțional, operatorii economici care introduc pe piața națională produse lactate în ambalaje primare reutilizabile din sticla, pot opta pentru includere și participare în cadrul sistemului de garanție-returnare în condițiile prezentei legi. </w:t>
      </w:r>
    </w:p>
    <w:p w14:paraId="01ADEC22" w14:textId="77777777" w:rsidR="0060616F" w:rsidRPr="00982DBB" w:rsidRDefault="0060616F" w:rsidP="0060616F">
      <w:pPr>
        <w:jc w:val="both"/>
        <w:rPr>
          <w:sz w:val="28"/>
          <w:szCs w:val="28"/>
        </w:rPr>
      </w:pPr>
      <w:r w:rsidRPr="00982DBB">
        <w:rPr>
          <w:sz w:val="28"/>
          <w:szCs w:val="28"/>
        </w:rPr>
        <w:t xml:space="preserve">- categoriile de produse vitivinicole enumerate la punctele 1, 3-9, 11, 12, 15, 16 și 17 din anexa VII partea II la Regulamentul (UE) nr. 1308/2013; </w:t>
      </w:r>
    </w:p>
    <w:p w14:paraId="08488B6D" w14:textId="77777777" w:rsidR="0060616F" w:rsidRPr="00982DBB" w:rsidRDefault="0060616F" w:rsidP="0060616F">
      <w:pPr>
        <w:jc w:val="both"/>
        <w:rPr>
          <w:sz w:val="28"/>
          <w:szCs w:val="28"/>
        </w:rPr>
      </w:pPr>
      <w:r w:rsidRPr="00982DBB">
        <w:rPr>
          <w:sz w:val="28"/>
          <w:szCs w:val="28"/>
        </w:rPr>
        <w:t>- produsele vitivinicole aromatizate, astfel cum sunt definite în1 Regulamentul (UE) nr. 251/2014 al Parlamentului European și al Consiliului (71);</w:t>
      </w:r>
    </w:p>
    <w:p w14:paraId="62199B7B" w14:textId="77777777" w:rsidR="0060616F" w:rsidRPr="00982DBB" w:rsidRDefault="0060616F" w:rsidP="0060616F">
      <w:pPr>
        <w:jc w:val="both"/>
        <w:rPr>
          <w:sz w:val="28"/>
          <w:szCs w:val="28"/>
        </w:rPr>
      </w:pPr>
      <w:r w:rsidRPr="00982DBB">
        <w:rPr>
          <w:sz w:val="28"/>
          <w:szCs w:val="28"/>
        </w:rPr>
        <w:t xml:space="preserve">- produsele care sunt similare produselor vitivinicole și produselor vitivinicole aromatizate și care sunt obținute din alte fructe decât strugurii și din legume, și altor </w:t>
      </w:r>
      <w:r w:rsidRPr="00982DBB">
        <w:rPr>
          <w:sz w:val="28"/>
          <w:szCs w:val="28"/>
        </w:rPr>
        <w:lastRenderedPageBreak/>
        <w:t>băuturi fermentate încadrate la codul NC 2206 00 din Regulamentul (UE) nr. 1308/2013;</w:t>
      </w:r>
    </w:p>
    <w:p w14:paraId="0B6EA813" w14:textId="77777777" w:rsidR="0060616F" w:rsidRPr="00982DBB" w:rsidRDefault="0060616F" w:rsidP="0060616F">
      <w:pPr>
        <w:jc w:val="both"/>
        <w:rPr>
          <w:sz w:val="28"/>
          <w:szCs w:val="28"/>
        </w:rPr>
      </w:pPr>
      <w:r w:rsidRPr="00982DBB">
        <w:rPr>
          <w:sz w:val="28"/>
          <w:szCs w:val="28"/>
        </w:rPr>
        <w:t>- băuturile spirtoase pe bază de alcool care corespund poziției NC 2208 din Regulamentul (UE) nr. 1308/2013.</w:t>
      </w:r>
    </w:p>
    <w:p w14:paraId="2F32A8C3" w14:textId="77777777" w:rsidR="0060616F" w:rsidRPr="00982DBB" w:rsidRDefault="0060616F" w:rsidP="0060616F">
      <w:pPr>
        <w:jc w:val="both"/>
        <w:rPr>
          <w:sz w:val="28"/>
          <w:szCs w:val="28"/>
        </w:rPr>
      </w:pPr>
      <w:r w:rsidRPr="00982DBB">
        <w:rPr>
          <w:sz w:val="28"/>
          <w:szCs w:val="28"/>
        </w:rPr>
        <w:t>(5^3) Ambalajele reutilizabile primare utilizate pentru a face disponibile băuturile menționate la art. 10 alin. (5), suplimentar simbolului privind apartenența la SGR, vor fi marcate și cu un cod QR sau alt tip de suport de date standardizat care facilitează urmărirea ambalajelor și calcularea traseelor și a rotațiilor sau, dacă o asemenea calculare nu este fezabilă, o estimare medie.</w:t>
      </w:r>
    </w:p>
    <w:p w14:paraId="4580FBBC" w14:textId="77777777" w:rsidR="0060616F" w:rsidRPr="00982DBB" w:rsidRDefault="0060616F" w:rsidP="0060616F">
      <w:pPr>
        <w:jc w:val="both"/>
        <w:rPr>
          <w:sz w:val="28"/>
          <w:szCs w:val="28"/>
        </w:rPr>
      </w:pPr>
      <w:r w:rsidRPr="00982DBB">
        <w:rPr>
          <w:sz w:val="28"/>
          <w:szCs w:val="28"/>
        </w:rPr>
        <w:t>(5^4) Începând cu data de 01.01.2027, este interzisă introducerea pe piață produselor ambalate în ambalajele nereutilizabile de la alin. (5^1) și care nu sunt inscripționate potrivit art. 24 din HG 1074/2021, cu excepția produselor aflate în stocurile producătorilor, distribuitorilor sau comercianților la data de 01.01.2027. Produsele aflate în stocurile producătorilor, distribuitorilor sau comercianților la data de 01.01.2027, vor putea fi comercializate cel mult până la data epuizării stocurilor, dar nu mai târziu de 31 martie 2027, dată după care introducerea pe piață sau comercializarea lor este interzisă.</w:t>
      </w:r>
    </w:p>
    <w:p w14:paraId="00462C4C" w14:textId="77777777" w:rsidR="0060616F" w:rsidRPr="00982DBB" w:rsidRDefault="0060616F" w:rsidP="0060616F">
      <w:pPr>
        <w:jc w:val="both"/>
        <w:rPr>
          <w:sz w:val="28"/>
          <w:szCs w:val="28"/>
        </w:rPr>
      </w:pPr>
      <w:r w:rsidRPr="00982DBB">
        <w:rPr>
          <w:sz w:val="28"/>
          <w:szCs w:val="28"/>
        </w:rPr>
        <w:t>(5^5) Începând cu data de 01.01.2027, este interzisă introducerea pe piață produselor ambalate în ambalajele reutilizabile de la alin. (5^2) și care nu sunt inscripționate potrivit alin. (5^3), cu excepția produselor aflate în stocurile producătorilor, distribuitorilor sau comercianților la data de 01.01.2027. Produsele aflate în stocurile producătorilor, distribuitorilor sau comercianților la data de 01.01.2027, vor putea fi comercializate cel mult până la data epuizării stocurilor, dar nu mai târziu de 31 martie 2027, dată după care introducerea pe piață sau comercializarea lor este interzisă.</w:t>
      </w:r>
    </w:p>
    <w:p w14:paraId="1F1E20A6" w14:textId="77777777" w:rsidR="0060616F" w:rsidRPr="00982DBB" w:rsidRDefault="0060616F" w:rsidP="0060616F">
      <w:pPr>
        <w:jc w:val="both"/>
        <w:rPr>
          <w:sz w:val="28"/>
          <w:szCs w:val="28"/>
        </w:rPr>
      </w:pPr>
      <w:r w:rsidRPr="00982DBB">
        <w:rPr>
          <w:sz w:val="28"/>
          <w:szCs w:val="28"/>
        </w:rPr>
        <w:t>(5^6) Ambalaje primare nereutilizabile și reutilizabile incluse în sistemul de garanție-returnare, trebuie să îndeplinească următoarele caracteristici:</w:t>
      </w:r>
    </w:p>
    <w:p w14:paraId="61D74D41" w14:textId="77777777" w:rsidR="0060616F" w:rsidRPr="00982DBB" w:rsidRDefault="0060616F" w:rsidP="0060616F">
      <w:pPr>
        <w:jc w:val="both"/>
        <w:rPr>
          <w:sz w:val="28"/>
          <w:szCs w:val="28"/>
        </w:rPr>
      </w:pPr>
      <w:r w:rsidRPr="00982DBB">
        <w:rPr>
          <w:sz w:val="28"/>
          <w:szCs w:val="28"/>
        </w:rPr>
        <w:t>a) volume cuprinse între  0,1 l și 3 l inclusiv</w:t>
      </w:r>
    </w:p>
    <w:p w14:paraId="1BBBB3BF" w14:textId="77777777" w:rsidR="0060616F" w:rsidRPr="00982DBB" w:rsidRDefault="0060616F" w:rsidP="0060616F">
      <w:pPr>
        <w:jc w:val="both"/>
        <w:rPr>
          <w:sz w:val="28"/>
          <w:szCs w:val="28"/>
        </w:rPr>
      </w:pPr>
      <w:r w:rsidRPr="00982DBB">
        <w:rPr>
          <w:sz w:val="28"/>
          <w:szCs w:val="28"/>
        </w:rPr>
        <w:t>b) diametrul exterior al ambalajului: min. 40 mm - max. 130 mm, cu excepția borcanelor din sticla care  trebuie sa aibă un diametru exterior cuprins între min. 50 mm – max. 130 mm;</w:t>
      </w:r>
    </w:p>
    <w:p w14:paraId="0AEB66E7" w14:textId="77777777" w:rsidR="0060616F" w:rsidRPr="00982DBB" w:rsidRDefault="0060616F" w:rsidP="0060616F">
      <w:pPr>
        <w:jc w:val="both"/>
        <w:rPr>
          <w:sz w:val="28"/>
          <w:szCs w:val="28"/>
        </w:rPr>
      </w:pPr>
      <w:r w:rsidRPr="00982DBB">
        <w:rPr>
          <w:sz w:val="28"/>
          <w:szCs w:val="28"/>
        </w:rPr>
        <w:t>c) înălțimea ambalajului, inclusiv închiderea: min. 75 mm - max. 360 mm;</w:t>
      </w:r>
    </w:p>
    <w:p w14:paraId="03D76E75" w14:textId="77777777" w:rsidR="0060616F" w:rsidRPr="00982DBB" w:rsidRDefault="0060616F" w:rsidP="0060616F">
      <w:pPr>
        <w:jc w:val="both"/>
        <w:rPr>
          <w:sz w:val="28"/>
          <w:szCs w:val="28"/>
        </w:rPr>
      </w:pPr>
      <w:r w:rsidRPr="00982DBB">
        <w:rPr>
          <w:sz w:val="28"/>
          <w:szCs w:val="28"/>
        </w:rPr>
        <w:t>d) greutatea ambalajului (fără conținut/băutură): max. 1 kg.</w:t>
      </w:r>
    </w:p>
    <w:p w14:paraId="7AB53D5E" w14:textId="77777777" w:rsidR="0060616F" w:rsidRPr="00982DBB" w:rsidRDefault="0060616F" w:rsidP="0060616F">
      <w:pPr>
        <w:jc w:val="both"/>
        <w:rPr>
          <w:sz w:val="28"/>
          <w:szCs w:val="28"/>
        </w:rPr>
      </w:pPr>
      <w:r w:rsidRPr="00982DBB">
        <w:rPr>
          <w:sz w:val="28"/>
          <w:szCs w:val="28"/>
        </w:rPr>
        <w:t>(5^7) Caracteristicile de la alin. (5^6) vor fi determinate și incluse în registrul ambalajelor conform procedurii de testare a mostrelor de ambalaje ce urmează să fie introduse pe piața națională, elaborată și gestionată de către administratorul sistemului garanție-returnare.</w:t>
      </w:r>
    </w:p>
    <w:p w14:paraId="16002833" w14:textId="77777777" w:rsidR="0060616F" w:rsidRPr="00982DBB" w:rsidRDefault="0060616F" w:rsidP="0060616F">
      <w:pPr>
        <w:jc w:val="both"/>
        <w:rPr>
          <w:sz w:val="28"/>
          <w:szCs w:val="28"/>
        </w:rPr>
      </w:pPr>
      <w:r w:rsidRPr="00982DBB">
        <w:rPr>
          <w:sz w:val="28"/>
          <w:szCs w:val="28"/>
        </w:rPr>
        <w:t>(5^8) Hotărârea de Guvern nr. 1074/2021 privind sistemul de garanție-returnare se va modifica în sensul aplicării prevederilor prezentei legi, în conformitate cu dispozițiile acesteia, în termen de maxim 90 de zile de la adoptarea prezentelor prevederi.”</w:t>
      </w:r>
    </w:p>
    <w:p w14:paraId="1F12F97B" w14:textId="77777777" w:rsidR="0060616F" w:rsidRPr="00982DBB" w:rsidRDefault="0060616F" w:rsidP="0060616F">
      <w:pPr>
        <w:pStyle w:val="ListParagraph"/>
        <w:numPr>
          <w:ilvl w:val="0"/>
          <w:numId w:val="14"/>
        </w:numPr>
        <w:autoSpaceDE w:val="0"/>
        <w:autoSpaceDN w:val="0"/>
        <w:adjustRightInd w:val="0"/>
        <w:ind w:left="284"/>
        <w:jc w:val="both"/>
        <w:rPr>
          <w:sz w:val="28"/>
          <w:szCs w:val="28"/>
        </w:rPr>
      </w:pPr>
      <w:r w:rsidRPr="00982DBB">
        <w:rPr>
          <w:sz w:val="28"/>
          <w:szCs w:val="28"/>
        </w:rPr>
        <w:lastRenderedPageBreak/>
        <w:t>La articolul 11, se introduc cinci noi alineate, alineatele (2)-(5), cu următorul cuprins:</w:t>
      </w:r>
    </w:p>
    <w:p w14:paraId="35F9AC11" w14:textId="77777777" w:rsidR="0060616F" w:rsidRPr="00982DBB" w:rsidRDefault="0060616F" w:rsidP="0060616F">
      <w:pPr>
        <w:pStyle w:val="ListParagraph"/>
        <w:autoSpaceDE w:val="0"/>
        <w:autoSpaceDN w:val="0"/>
        <w:adjustRightInd w:val="0"/>
        <w:ind w:left="284"/>
        <w:jc w:val="both"/>
        <w:rPr>
          <w:sz w:val="28"/>
          <w:szCs w:val="28"/>
        </w:rPr>
      </w:pPr>
    </w:p>
    <w:p w14:paraId="464ACD7C" w14:textId="77777777" w:rsidR="0060616F" w:rsidRPr="00982DBB" w:rsidRDefault="0060616F" w:rsidP="0060616F">
      <w:pPr>
        <w:jc w:val="both"/>
        <w:rPr>
          <w:sz w:val="28"/>
          <w:szCs w:val="28"/>
        </w:rPr>
      </w:pPr>
      <w:r w:rsidRPr="00982DBB">
        <w:rPr>
          <w:sz w:val="28"/>
          <w:szCs w:val="28"/>
        </w:rPr>
        <w:t>“(2) În condițiile art. 10 alin. (52), operatorii economici care introduc pe piața națională produse ambalate prevăzute la art. 10 alin. (5) sunt obligați să aibă, începând cu data de 1 ianuarie 2027, un procent al numărului de unități de ambalaje primare reutilizabile, din numărul total al unităților de ambalaje primare menționate la art. 10 alin. (5) introduse pe piață într-un an, astfel cum este prevăzut in Anexa nr. 5^1.</w:t>
      </w:r>
    </w:p>
    <w:p w14:paraId="3EB9E890" w14:textId="77777777" w:rsidR="0060616F" w:rsidRPr="00982DBB" w:rsidRDefault="0060616F" w:rsidP="0060616F">
      <w:pPr>
        <w:jc w:val="both"/>
        <w:rPr>
          <w:sz w:val="28"/>
          <w:szCs w:val="28"/>
        </w:rPr>
      </w:pPr>
      <w:r w:rsidRPr="00982DBB">
        <w:rPr>
          <w:sz w:val="28"/>
          <w:szCs w:val="28"/>
        </w:rPr>
        <w:t>(3) Operatorii economici de la  alin. (2), sunt obligați să realizeze obiectivele minime anuale de returnare și reciclare pentru ambalajele primare reutilizabile incluse în SGR, prin intermediul administratorului SGR, astfel cum sunt prevăzute în Anexa nr. 51.</w:t>
      </w:r>
    </w:p>
    <w:p w14:paraId="7D1B9FF8" w14:textId="77777777" w:rsidR="0060616F" w:rsidRPr="00982DBB" w:rsidRDefault="0060616F" w:rsidP="0060616F">
      <w:pPr>
        <w:jc w:val="both"/>
        <w:rPr>
          <w:sz w:val="28"/>
          <w:szCs w:val="28"/>
        </w:rPr>
      </w:pPr>
      <w:r w:rsidRPr="00982DBB">
        <w:rPr>
          <w:sz w:val="28"/>
          <w:szCs w:val="28"/>
        </w:rPr>
        <w:t>(4) Gradul de îndeplinire a obiectivelor de returnare de la alin. (3) se calculează prin raportul dintre cantitățile de ambalaje primare reutilizabile introduse pe piață pentru prima dată și după fiecare rotație și cantitățile de ambalaje primare reutilizabile validate în baza codului de bare ca fiind returnate în cadrul SGR în anul calendaristic de referință.</w:t>
      </w:r>
    </w:p>
    <w:p w14:paraId="27D4EE1F" w14:textId="77777777" w:rsidR="0060616F" w:rsidRPr="00982DBB" w:rsidRDefault="0060616F" w:rsidP="0060616F">
      <w:pPr>
        <w:jc w:val="both"/>
        <w:rPr>
          <w:sz w:val="28"/>
          <w:szCs w:val="28"/>
        </w:rPr>
      </w:pPr>
      <w:r w:rsidRPr="00982DBB">
        <w:rPr>
          <w:sz w:val="28"/>
          <w:szCs w:val="28"/>
        </w:rPr>
        <w:t>(5) Operatorii economici prevăzuți la  art. 10 alin. (5) , sunt obligați să realizeze obiectivul minim anual privind numărul de ambalaje primare reutilizabile introduse pe piață astfel cum este prevăzut la alin. (2). Gradul de îndeplinire al obiectivelor se calculează prin raportul dintre numărul de unități de ambalaje nereutilizabile SGR introduse pe piață într-un an, și numărul de unități de ambalaje primare reutilizabile declarate către administratorul SGR și Administrația Fondului pentru Mediu ca fiind introduse pe piață într-un an.</w:t>
      </w:r>
    </w:p>
    <w:p w14:paraId="2EBFED03" w14:textId="77777777" w:rsidR="0060616F" w:rsidRPr="00982DBB" w:rsidRDefault="0060616F" w:rsidP="0060616F">
      <w:pPr>
        <w:pStyle w:val="ListParagraph"/>
        <w:numPr>
          <w:ilvl w:val="0"/>
          <w:numId w:val="14"/>
        </w:numPr>
        <w:autoSpaceDE w:val="0"/>
        <w:autoSpaceDN w:val="0"/>
        <w:adjustRightInd w:val="0"/>
        <w:ind w:left="284"/>
        <w:jc w:val="both"/>
        <w:rPr>
          <w:sz w:val="28"/>
          <w:szCs w:val="28"/>
        </w:rPr>
      </w:pPr>
      <w:r w:rsidRPr="00982DBB">
        <w:rPr>
          <w:sz w:val="28"/>
          <w:szCs w:val="28"/>
        </w:rPr>
        <w:t xml:space="preserve"> La articolul 13, alineatul (1), lit. b) si c) se modifică și vor avea următorul conținut:</w:t>
      </w:r>
    </w:p>
    <w:p w14:paraId="13F44616" w14:textId="77777777" w:rsidR="0060616F" w:rsidRPr="00982DBB" w:rsidRDefault="0060616F" w:rsidP="0060616F">
      <w:pPr>
        <w:jc w:val="both"/>
        <w:rPr>
          <w:sz w:val="28"/>
          <w:szCs w:val="28"/>
        </w:rPr>
      </w:pPr>
      <w:r w:rsidRPr="00982DBB">
        <w:rPr>
          <w:sz w:val="28"/>
          <w:szCs w:val="28"/>
        </w:rPr>
        <w:t>„b) să primească la schimb ambalajele reutilizabile ale produselor comercializate care sunt într-o stare corespunzătoare pentru a fi reutilizate, cu respectarea cerințelor de raportare si gestionare corespunzătoare garanțiilor aferente;</w:t>
      </w:r>
    </w:p>
    <w:p w14:paraId="1D318419" w14:textId="77777777" w:rsidR="0060616F" w:rsidRPr="00982DBB" w:rsidRDefault="0060616F" w:rsidP="0060616F">
      <w:pPr>
        <w:jc w:val="both"/>
        <w:rPr>
          <w:sz w:val="28"/>
          <w:szCs w:val="28"/>
        </w:rPr>
      </w:pPr>
      <w:r w:rsidRPr="00982DBB">
        <w:rPr>
          <w:sz w:val="28"/>
          <w:szCs w:val="28"/>
        </w:rPr>
        <w:t>c) să returneze, la solicitarea consumatorului, valoarea garanției bănești cu respectarea condițiilor de rambursare a garanției.”</w:t>
      </w:r>
    </w:p>
    <w:p w14:paraId="0FA57F36" w14:textId="77777777" w:rsidR="0060616F" w:rsidRPr="00982DBB" w:rsidRDefault="0060616F" w:rsidP="0060616F">
      <w:pPr>
        <w:jc w:val="both"/>
        <w:rPr>
          <w:b/>
          <w:bCs/>
          <w:sz w:val="28"/>
          <w:szCs w:val="28"/>
        </w:rPr>
      </w:pPr>
    </w:p>
    <w:p w14:paraId="5B0E0312" w14:textId="77777777" w:rsidR="0060616F" w:rsidRPr="00982DBB" w:rsidRDefault="0060616F" w:rsidP="0060616F">
      <w:pPr>
        <w:pStyle w:val="ListParagraph"/>
        <w:numPr>
          <w:ilvl w:val="0"/>
          <w:numId w:val="14"/>
        </w:numPr>
        <w:autoSpaceDE w:val="0"/>
        <w:autoSpaceDN w:val="0"/>
        <w:adjustRightInd w:val="0"/>
        <w:ind w:left="284"/>
        <w:jc w:val="both"/>
        <w:rPr>
          <w:sz w:val="28"/>
          <w:szCs w:val="28"/>
        </w:rPr>
      </w:pPr>
      <w:r w:rsidRPr="00982DBB">
        <w:rPr>
          <w:sz w:val="28"/>
          <w:szCs w:val="28"/>
        </w:rPr>
        <w:t>La articolul 13, după alineatul (1) se introduc patru noi alineate, alineatele (1^1), (1^2), (1^3) si (1^4), cu următorul cuprins:</w:t>
      </w:r>
    </w:p>
    <w:p w14:paraId="4398BC2E" w14:textId="77777777" w:rsidR="0060616F" w:rsidRPr="00982DBB" w:rsidRDefault="0060616F" w:rsidP="0060616F">
      <w:pPr>
        <w:pStyle w:val="ListParagraph"/>
        <w:autoSpaceDE w:val="0"/>
        <w:autoSpaceDN w:val="0"/>
        <w:adjustRightInd w:val="0"/>
        <w:ind w:left="284"/>
        <w:jc w:val="both"/>
        <w:rPr>
          <w:b/>
          <w:bCs/>
          <w:sz w:val="28"/>
          <w:szCs w:val="28"/>
        </w:rPr>
      </w:pPr>
    </w:p>
    <w:p w14:paraId="5578071A" w14:textId="77777777" w:rsidR="0060616F" w:rsidRPr="00982DBB" w:rsidRDefault="0060616F" w:rsidP="0060616F">
      <w:pPr>
        <w:jc w:val="both"/>
        <w:rPr>
          <w:sz w:val="28"/>
          <w:szCs w:val="28"/>
        </w:rPr>
      </w:pPr>
      <w:r w:rsidRPr="00982DBB">
        <w:rPr>
          <w:sz w:val="28"/>
          <w:szCs w:val="28"/>
        </w:rPr>
        <w:t xml:space="preserve">“(1^1) Începând cu data de 01 ianuarie 2027, operatorii economici care comercializează cu amănuntul produse ambalate în ambalaje primare reutilizabile, au obligația să se asigure că procentul corespunzător obiectivului din Anexa nr. 5^1 este atins, respectiv a numărului de unități de ambalaje reutilizabile făcute disponibile pe piață într-un an. Numărul de ambalaje reutilizabile se determină în raport de numărul de unități de ambalaje primare SGR nereutilizabile făcute </w:t>
      </w:r>
      <w:r w:rsidRPr="00982DBB">
        <w:rPr>
          <w:sz w:val="28"/>
          <w:szCs w:val="28"/>
        </w:rPr>
        <w:lastRenderedPageBreak/>
        <w:t>disponibile pe piață în anul de referință. Prin excepție, comerciantul cu o suprafață de vânzare de cel mult 100 m2, este scutit de obligația de a îndeplini obiectivele din Anexa nr. 5^1, pentru anul calendaristic în care suprafața de vânzare nu depășește 100 m2;</w:t>
      </w:r>
    </w:p>
    <w:p w14:paraId="78B55AD7" w14:textId="77777777" w:rsidR="0060616F" w:rsidRPr="00982DBB" w:rsidRDefault="0060616F" w:rsidP="0060616F">
      <w:pPr>
        <w:jc w:val="both"/>
        <w:rPr>
          <w:sz w:val="28"/>
          <w:szCs w:val="28"/>
        </w:rPr>
      </w:pPr>
      <w:r w:rsidRPr="00982DBB">
        <w:rPr>
          <w:sz w:val="28"/>
          <w:szCs w:val="28"/>
        </w:rPr>
        <w:t>(1^2) Operatorii economici prevăzuți la alin. (1^1), sunt obligați să realizeze obiectivele minime anuale stabilite în sarcina lor potrivit Anexei nr. 5^1.</w:t>
      </w:r>
    </w:p>
    <w:p w14:paraId="606AE79C" w14:textId="77777777" w:rsidR="0060616F" w:rsidRPr="00982DBB" w:rsidRDefault="0060616F" w:rsidP="0060616F">
      <w:pPr>
        <w:jc w:val="both"/>
        <w:rPr>
          <w:sz w:val="28"/>
          <w:szCs w:val="28"/>
        </w:rPr>
      </w:pPr>
      <w:r w:rsidRPr="00982DBB">
        <w:rPr>
          <w:sz w:val="28"/>
          <w:szCs w:val="28"/>
        </w:rPr>
        <w:t>(1^3) Gradul de îndeplinire al obiectivului operatorilor economici de la alin. (1^1) se calculează prin raportul dintre numărul total de unități ambalaje SGR nereutilizabile făcute disponibile pe piață într-un an și numărul total de unități de ambalaje SGR reutilizabile făcute disponibile pe piață într-un an.</w:t>
      </w:r>
    </w:p>
    <w:p w14:paraId="00442F1B" w14:textId="77777777" w:rsidR="0060616F" w:rsidRPr="00982DBB" w:rsidRDefault="0060616F" w:rsidP="0060616F">
      <w:pPr>
        <w:jc w:val="both"/>
        <w:rPr>
          <w:sz w:val="28"/>
          <w:szCs w:val="28"/>
        </w:rPr>
      </w:pPr>
      <w:r w:rsidRPr="00982DBB">
        <w:rPr>
          <w:sz w:val="28"/>
          <w:szCs w:val="28"/>
        </w:rPr>
        <w:t>(1^4) Operatorii economici prevăzuți la alin. (1^1), cu suprafața de vânzare sub 100 mp, vor fi exceptați de la organizarea punctelor de returnare astfel cum sunt definite de HG nr. 1074/2021. În cazul în care vor opta pentru organizarea punctelor de returnare a ambalajelor primare reutilizabile, aceștia o pot face individual sau prin asociere cu alți comercianți care au structuri de vânzare cu o suprafață mai mică de 100 mp și cu acordul prealabil al Administratorului SGR.”</w:t>
      </w:r>
    </w:p>
    <w:p w14:paraId="52CFD3B5" w14:textId="77777777" w:rsidR="0060616F" w:rsidRPr="00982DBB" w:rsidRDefault="0060616F" w:rsidP="0060616F">
      <w:pPr>
        <w:jc w:val="both"/>
        <w:rPr>
          <w:b/>
          <w:bCs/>
          <w:sz w:val="28"/>
          <w:szCs w:val="28"/>
        </w:rPr>
      </w:pPr>
    </w:p>
    <w:p w14:paraId="09F9A9BD" w14:textId="0524F9E1" w:rsidR="0060616F" w:rsidRPr="00982DBB" w:rsidRDefault="0060616F" w:rsidP="0060616F">
      <w:pPr>
        <w:pStyle w:val="ListParagraph"/>
        <w:numPr>
          <w:ilvl w:val="0"/>
          <w:numId w:val="14"/>
        </w:numPr>
        <w:autoSpaceDE w:val="0"/>
        <w:autoSpaceDN w:val="0"/>
        <w:adjustRightInd w:val="0"/>
        <w:ind w:left="284"/>
        <w:jc w:val="both"/>
        <w:rPr>
          <w:sz w:val="28"/>
          <w:szCs w:val="28"/>
        </w:rPr>
      </w:pPr>
      <w:r w:rsidRPr="00982DBB">
        <w:rPr>
          <w:sz w:val="28"/>
          <w:szCs w:val="28"/>
        </w:rPr>
        <w:t xml:space="preserve">După Anexa nr. 5, se introduce o noua anexa, Anexa nr. 5^1, având cuprinsul </w:t>
      </w:r>
      <w:r w:rsidR="00363079">
        <w:rPr>
          <w:sz w:val="28"/>
          <w:szCs w:val="28"/>
        </w:rPr>
        <w:t xml:space="preserve">în </w:t>
      </w:r>
      <w:r w:rsidRPr="00982DBB">
        <w:rPr>
          <w:sz w:val="28"/>
          <w:szCs w:val="28"/>
        </w:rPr>
        <w:t>Anex</w:t>
      </w:r>
      <w:r w:rsidR="00363079">
        <w:rPr>
          <w:sz w:val="28"/>
          <w:szCs w:val="28"/>
        </w:rPr>
        <w:t>a</w:t>
      </w:r>
      <w:r w:rsidRPr="00982DBB">
        <w:rPr>
          <w:sz w:val="28"/>
          <w:szCs w:val="28"/>
        </w:rPr>
        <w:t xml:space="preserve"> nr. 1 la prezenta lege.</w:t>
      </w:r>
    </w:p>
    <w:p w14:paraId="49F17780" w14:textId="77777777" w:rsidR="0060616F" w:rsidRPr="00982DBB" w:rsidRDefault="0060616F" w:rsidP="0060616F">
      <w:pPr>
        <w:autoSpaceDE w:val="0"/>
        <w:autoSpaceDN w:val="0"/>
        <w:adjustRightInd w:val="0"/>
        <w:jc w:val="both"/>
        <w:rPr>
          <w:b/>
          <w:bCs/>
          <w:sz w:val="28"/>
          <w:szCs w:val="28"/>
        </w:rPr>
      </w:pPr>
    </w:p>
    <w:p w14:paraId="4F823A0C" w14:textId="77777777" w:rsidR="0060616F" w:rsidRPr="00982DBB" w:rsidRDefault="0060616F" w:rsidP="0060616F">
      <w:pPr>
        <w:jc w:val="both"/>
        <w:rPr>
          <w:sz w:val="28"/>
          <w:szCs w:val="28"/>
        </w:rPr>
      </w:pPr>
      <w:r w:rsidRPr="00982DBB">
        <w:rPr>
          <w:b/>
          <w:bCs/>
          <w:sz w:val="28"/>
          <w:szCs w:val="28"/>
        </w:rPr>
        <w:t>Art. II.</w:t>
      </w:r>
      <w:r w:rsidRPr="00982DBB">
        <w:rPr>
          <w:sz w:val="28"/>
          <w:szCs w:val="28"/>
        </w:rPr>
        <w:t xml:space="preserve"> – 1. Sancțiunile și contribuțiile pentru neîndeplinirea obiectivelor aferente ambalajelor primare reutilizabile menționate la art. 10 alin. (52) din Legea 249/2015 vor fi prevăzute în cadrul HG nr. 1074/2021 privind sistemul garanție-returnare și în OUG 196/2005 privind Fondul pentru Mediu.</w:t>
      </w:r>
    </w:p>
    <w:p w14:paraId="51F9C250" w14:textId="77777777" w:rsidR="0060616F" w:rsidRPr="00982DBB" w:rsidRDefault="0060616F" w:rsidP="0060616F">
      <w:pPr>
        <w:jc w:val="both"/>
        <w:rPr>
          <w:sz w:val="28"/>
          <w:szCs w:val="28"/>
        </w:rPr>
      </w:pPr>
      <w:r w:rsidRPr="00982DBB">
        <w:rPr>
          <w:sz w:val="28"/>
          <w:szCs w:val="28"/>
        </w:rPr>
        <w:t>2. Verificarea îndeplinirii obiectivelor pentru ambalajele primare reutilizabile menționate la art. 10 alin. (52) se va realiza de către Administrația Fondului pentru Mediu.</w:t>
      </w:r>
    </w:p>
    <w:p w14:paraId="75A05CBD" w14:textId="77777777" w:rsidR="0060616F" w:rsidRPr="00982DBB" w:rsidRDefault="0060616F" w:rsidP="0060616F">
      <w:pPr>
        <w:jc w:val="both"/>
        <w:rPr>
          <w:sz w:val="28"/>
          <w:szCs w:val="28"/>
        </w:rPr>
      </w:pPr>
      <w:r w:rsidRPr="00982DBB">
        <w:rPr>
          <w:b/>
          <w:bCs/>
          <w:sz w:val="28"/>
          <w:szCs w:val="28"/>
        </w:rPr>
        <w:t>Art. III.</w:t>
      </w:r>
      <w:r w:rsidRPr="00982DBB">
        <w:rPr>
          <w:sz w:val="28"/>
          <w:szCs w:val="28"/>
        </w:rPr>
        <w:t xml:space="preserve"> - Legea nr. 249/2015 privind modalitatea de gestionare a ambalajelor și a deșeurilor de ambalaje, publicată în Monitorul Oficial al României, Partea I, nr. 809 din 30 octombrie 2015, cu modificările și completările ulterioare, precum și cu cele aduse prin prezenta lege, va fi republicată, dându-se textelor o nouă numerotare.</w:t>
      </w:r>
    </w:p>
    <w:p w14:paraId="2412AB29" w14:textId="77777777" w:rsidR="0060616F" w:rsidRDefault="0060616F" w:rsidP="0060616F">
      <w:pPr>
        <w:jc w:val="both"/>
        <w:rPr>
          <w:b/>
          <w:bCs/>
          <w:sz w:val="28"/>
          <w:szCs w:val="28"/>
        </w:rPr>
      </w:pPr>
    </w:p>
    <w:p w14:paraId="39CFEBCE" w14:textId="77777777" w:rsidR="0060616F" w:rsidRDefault="0060616F" w:rsidP="0060616F">
      <w:pPr>
        <w:spacing w:line="264" w:lineRule="auto"/>
        <w:jc w:val="both"/>
        <w:rPr>
          <w:b/>
          <w:bCs/>
          <w:sz w:val="28"/>
          <w:szCs w:val="28"/>
        </w:rPr>
      </w:pPr>
    </w:p>
    <w:p w14:paraId="78961C51" w14:textId="77777777" w:rsidR="0060616F" w:rsidRPr="009C401D" w:rsidRDefault="0060616F" w:rsidP="0060616F">
      <w:pPr>
        <w:spacing w:line="264" w:lineRule="auto"/>
        <w:jc w:val="both"/>
        <w:rPr>
          <w:b/>
          <w:bCs/>
          <w:sz w:val="28"/>
          <w:szCs w:val="28"/>
        </w:rPr>
      </w:pPr>
      <w:r w:rsidRPr="009C401D">
        <w:rPr>
          <w:b/>
          <w:bCs/>
          <w:sz w:val="28"/>
          <w:szCs w:val="28"/>
        </w:rPr>
        <w:t xml:space="preserve">Această lege a fost adoptată de Parlamentul României cu respectarea prevederilor art. 75 şi ale art. 76  din Constituția României, republicată. </w:t>
      </w:r>
    </w:p>
    <w:p w14:paraId="31C95181" w14:textId="77777777" w:rsidR="0060616F" w:rsidRPr="009C401D" w:rsidRDefault="0060616F" w:rsidP="0060616F">
      <w:pPr>
        <w:spacing w:line="264" w:lineRule="auto"/>
        <w:jc w:val="both"/>
        <w:rPr>
          <w:sz w:val="28"/>
          <w:szCs w:val="28"/>
        </w:rPr>
      </w:pPr>
    </w:p>
    <w:p w14:paraId="134881EE" w14:textId="77777777" w:rsidR="0060616F" w:rsidRPr="009C401D" w:rsidRDefault="0060616F" w:rsidP="0060616F">
      <w:pPr>
        <w:spacing w:line="264" w:lineRule="auto"/>
        <w:jc w:val="both"/>
        <w:rPr>
          <w:sz w:val="28"/>
          <w:szCs w:val="28"/>
        </w:rPr>
      </w:pPr>
    </w:p>
    <w:p w14:paraId="5FAD468D" w14:textId="77777777" w:rsidR="0060616F" w:rsidRPr="009C401D" w:rsidRDefault="0060616F" w:rsidP="0060616F">
      <w:pPr>
        <w:spacing w:line="264" w:lineRule="auto"/>
        <w:jc w:val="both"/>
        <w:rPr>
          <w:sz w:val="28"/>
          <w:szCs w:val="28"/>
        </w:rPr>
      </w:pPr>
      <w:r w:rsidRPr="009C401D">
        <w:rPr>
          <w:sz w:val="28"/>
          <w:szCs w:val="28"/>
        </w:rPr>
        <w:t xml:space="preserve">PREŞEDINTELE CAMEREI DEPUTAȚILOR      PREŞEDINTELE SENATULUI </w:t>
      </w:r>
    </w:p>
    <w:p w14:paraId="157866D1" w14:textId="77777777" w:rsidR="0060616F" w:rsidRPr="009C401D" w:rsidRDefault="0060616F" w:rsidP="0060616F">
      <w:pPr>
        <w:spacing w:line="264" w:lineRule="auto"/>
        <w:jc w:val="both"/>
        <w:rPr>
          <w:sz w:val="28"/>
          <w:szCs w:val="28"/>
        </w:rPr>
      </w:pPr>
    </w:p>
    <w:p w14:paraId="470D205D" w14:textId="77777777" w:rsidR="0060616F" w:rsidRPr="009C401D" w:rsidRDefault="0060616F" w:rsidP="0060616F">
      <w:pPr>
        <w:spacing w:line="264" w:lineRule="auto"/>
        <w:jc w:val="both"/>
        <w:rPr>
          <w:rStyle w:val="apple-style-span"/>
          <w:bCs/>
          <w:sz w:val="28"/>
          <w:szCs w:val="28"/>
        </w:rPr>
      </w:pPr>
      <w:r>
        <w:rPr>
          <w:rStyle w:val="apple-style-span"/>
          <w:bCs/>
          <w:sz w:val="28"/>
          <w:szCs w:val="28"/>
        </w:rPr>
        <w:t xml:space="preserve">          </w:t>
      </w:r>
      <w:r w:rsidRPr="0003218F">
        <w:rPr>
          <w:rStyle w:val="apple-style-span"/>
          <w:bCs/>
          <w:sz w:val="28"/>
          <w:szCs w:val="28"/>
        </w:rPr>
        <w:t>Sorin-Mihai GRINDEANU</w:t>
      </w:r>
      <w:r w:rsidRPr="009C401D">
        <w:rPr>
          <w:rStyle w:val="apple-style-span"/>
          <w:bCs/>
          <w:sz w:val="28"/>
          <w:szCs w:val="28"/>
        </w:rPr>
        <w:t xml:space="preserve">                                      </w:t>
      </w:r>
      <w:r>
        <w:rPr>
          <w:rStyle w:val="apple-style-span"/>
          <w:bCs/>
          <w:sz w:val="28"/>
          <w:szCs w:val="28"/>
        </w:rPr>
        <w:t>Mircea ABRUDEAN</w:t>
      </w:r>
    </w:p>
    <w:p w14:paraId="5CF08703" w14:textId="12786100" w:rsidR="0060616F" w:rsidRDefault="0060616F" w:rsidP="0060616F">
      <w:pPr>
        <w:jc w:val="both"/>
        <w:rPr>
          <w:b/>
          <w:bCs/>
          <w:sz w:val="28"/>
          <w:szCs w:val="28"/>
        </w:rPr>
      </w:pPr>
    </w:p>
    <w:p w14:paraId="6D01C826" w14:textId="77777777" w:rsidR="0060616F" w:rsidRDefault="0060616F" w:rsidP="0060616F">
      <w:pPr>
        <w:jc w:val="both"/>
        <w:rPr>
          <w:b/>
          <w:bCs/>
          <w:sz w:val="28"/>
          <w:szCs w:val="28"/>
        </w:rPr>
      </w:pPr>
    </w:p>
    <w:p w14:paraId="786838BC" w14:textId="77777777" w:rsidR="0060616F" w:rsidRPr="00982DBB" w:rsidRDefault="0060616F" w:rsidP="0060616F">
      <w:pPr>
        <w:jc w:val="both"/>
        <w:rPr>
          <w:b/>
          <w:bCs/>
          <w:sz w:val="28"/>
          <w:szCs w:val="28"/>
        </w:rPr>
      </w:pPr>
    </w:p>
    <w:p w14:paraId="515589E5" w14:textId="77777777" w:rsidR="0060616F" w:rsidRPr="00982DBB" w:rsidRDefault="0060616F" w:rsidP="0060616F">
      <w:pPr>
        <w:jc w:val="both"/>
        <w:rPr>
          <w:sz w:val="28"/>
          <w:szCs w:val="28"/>
        </w:rPr>
      </w:pPr>
      <w:r w:rsidRPr="00982DBB">
        <w:rPr>
          <w:sz w:val="28"/>
          <w:szCs w:val="28"/>
        </w:rPr>
        <w:t>ANEXA nr. 1</w:t>
      </w:r>
    </w:p>
    <w:p w14:paraId="5997EAEF" w14:textId="77777777" w:rsidR="0060616F" w:rsidRPr="00982DBB" w:rsidRDefault="0060616F" w:rsidP="0060616F">
      <w:pPr>
        <w:ind w:left="5040"/>
        <w:jc w:val="both"/>
        <w:rPr>
          <w:sz w:val="28"/>
          <w:szCs w:val="28"/>
        </w:rPr>
      </w:pPr>
      <w:r w:rsidRPr="00982DBB">
        <w:rPr>
          <w:sz w:val="28"/>
          <w:szCs w:val="28"/>
        </w:rPr>
        <w:t>(Anexa 5^1 la Legea nr. 249/2015)</w:t>
      </w:r>
    </w:p>
    <w:p w14:paraId="701FE202" w14:textId="77777777" w:rsidR="0060616F" w:rsidRDefault="0060616F" w:rsidP="0060616F">
      <w:pPr>
        <w:jc w:val="center"/>
        <w:rPr>
          <w:sz w:val="28"/>
          <w:szCs w:val="28"/>
        </w:rPr>
      </w:pPr>
    </w:p>
    <w:p w14:paraId="341CBD60" w14:textId="0A0B5747" w:rsidR="0060616F" w:rsidRPr="00982DBB" w:rsidRDefault="0060616F" w:rsidP="0060616F">
      <w:pPr>
        <w:jc w:val="center"/>
        <w:rPr>
          <w:sz w:val="28"/>
          <w:szCs w:val="28"/>
        </w:rPr>
      </w:pPr>
      <w:r w:rsidRPr="00982DBB">
        <w:rPr>
          <w:sz w:val="28"/>
          <w:szCs w:val="28"/>
        </w:rPr>
        <w:t xml:space="preserve">Valorile minime ale obiectivelor privind ambalajele primare reutilizabile </w:t>
      </w:r>
    </w:p>
    <w:p w14:paraId="4D99CA97" w14:textId="77777777" w:rsidR="0060616F" w:rsidRPr="00982DBB" w:rsidRDefault="0060616F" w:rsidP="0060616F">
      <w:pPr>
        <w:jc w:val="center"/>
        <w:rPr>
          <w:sz w:val="28"/>
          <w:szCs w:val="28"/>
        </w:rPr>
      </w:pPr>
      <w:r w:rsidRPr="00982DBB">
        <w:rPr>
          <w:sz w:val="28"/>
          <w:szCs w:val="28"/>
        </w:rPr>
        <w:t>incluse în sistemul de garanție-returnare</w:t>
      </w:r>
    </w:p>
    <w:p w14:paraId="1FFDDDF8" w14:textId="77777777" w:rsidR="0060616F" w:rsidRPr="00982DBB" w:rsidRDefault="0060616F" w:rsidP="0060616F">
      <w:pPr>
        <w:jc w:val="center"/>
        <w:rPr>
          <w:sz w:val="28"/>
          <w:szCs w:val="28"/>
        </w:rPr>
      </w:pPr>
    </w:p>
    <w:tbl>
      <w:tblPr>
        <w:tblStyle w:val="TableGrid"/>
        <w:tblW w:w="0" w:type="auto"/>
        <w:tblLook w:val="04A0" w:firstRow="1" w:lastRow="0" w:firstColumn="1" w:lastColumn="0" w:noHBand="0" w:noVBand="1"/>
      </w:tblPr>
      <w:tblGrid>
        <w:gridCol w:w="514"/>
        <w:gridCol w:w="1165"/>
        <w:gridCol w:w="1781"/>
        <w:gridCol w:w="1110"/>
        <w:gridCol w:w="1835"/>
        <w:gridCol w:w="1110"/>
        <w:gridCol w:w="1835"/>
      </w:tblGrid>
      <w:tr w:rsidR="0060616F" w:rsidRPr="00982DBB" w14:paraId="6B3A6F33" w14:textId="77777777" w:rsidTr="00363079">
        <w:tc>
          <w:tcPr>
            <w:tcW w:w="514" w:type="dxa"/>
          </w:tcPr>
          <w:p w14:paraId="69394823" w14:textId="77777777" w:rsidR="0060616F" w:rsidRPr="00982DBB" w:rsidRDefault="0060616F" w:rsidP="00E92130">
            <w:pPr>
              <w:jc w:val="center"/>
              <w:rPr>
                <w:sz w:val="28"/>
                <w:szCs w:val="28"/>
              </w:rPr>
            </w:pPr>
            <w:r w:rsidRPr="00982DBB">
              <w:rPr>
                <w:sz w:val="28"/>
                <w:szCs w:val="28"/>
              </w:rPr>
              <w:t>Nr. crt</w:t>
            </w:r>
          </w:p>
        </w:tc>
        <w:tc>
          <w:tcPr>
            <w:tcW w:w="2946" w:type="dxa"/>
            <w:gridSpan w:val="2"/>
          </w:tcPr>
          <w:p w14:paraId="559146C6" w14:textId="77777777" w:rsidR="0060616F" w:rsidRPr="00982DBB" w:rsidRDefault="0060616F" w:rsidP="00E92130">
            <w:pPr>
              <w:jc w:val="center"/>
              <w:rPr>
                <w:sz w:val="28"/>
                <w:szCs w:val="28"/>
              </w:rPr>
            </w:pPr>
            <w:r w:rsidRPr="00982DBB">
              <w:rPr>
                <w:sz w:val="28"/>
                <w:szCs w:val="28"/>
              </w:rPr>
              <w:t>2027</w:t>
            </w:r>
          </w:p>
        </w:tc>
        <w:tc>
          <w:tcPr>
            <w:tcW w:w="2945" w:type="dxa"/>
            <w:gridSpan w:val="2"/>
          </w:tcPr>
          <w:p w14:paraId="4154EE86" w14:textId="77777777" w:rsidR="0060616F" w:rsidRPr="00982DBB" w:rsidRDefault="0060616F" w:rsidP="00E92130">
            <w:pPr>
              <w:jc w:val="center"/>
              <w:rPr>
                <w:sz w:val="28"/>
                <w:szCs w:val="28"/>
              </w:rPr>
            </w:pPr>
            <w:r w:rsidRPr="00982DBB">
              <w:rPr>
                <w:sz w:val="28"/>
                <w:szCs w:val="28"/>
              </w:rPr>
              <w:t>2028</w:t>
            </w:r>
          </w:p>
        </w:tc>
        <w:tc>
          <w:tcPr>
            <w:tcW w:w="2945" w:type="dxa"/>
            <w:gridSpan w:val="2"/>
          </w:tcPr>
          <w:p w14:paraId="724F674A" w14:textId="77777777" w:rsidR="0060616F" w:rsidRPr="00982DBB" w:rsidRDefault="0060616F" w:rsidP="00E92130">
            <w:pPr>
              <w:jc w:val="center"/>
              <w:rPr>
                <w:sz w:val="28"/>
                <w:szCs w:val="28"/>
              </w:rPr>
            </w:pPr>
            <w:r w:rsidRPr="00982DBB">
              <w:rPr>
                <w:sz w:val="28"/>
                <w:szCs w:val="28"/>
              </w:rPr>
              <w:t>2029</w:t>
            </w:r>
          </w:p>
        </w:tc>
      </w:tr>
      <w:tr w:rsidR="0060616F" w:rsidRPr="00982DBB" w14:paraId="69F15C6F" w14:textId="77777777" w:rsidTr="00363079">
        <w:trPr>
          <w:trHeight w:val="50"/>
        </w:trPr>
        <w:tc>
          <w:tcPr>
            <w:tcW w:w="514" w:type="dxa"/>
            <w:vMerge w:val="restart"/>
          </w:tcPr>
          <w:p w14:paraId="3BC8F854" w14:textId="77777777" w:rsidR="0060616F" w:rsidRPr="00982DBB" w:rsidRDefault="0060616F" w:rsidP="00E92130">
            <w:pPr>
              <w:jc w:val="center"/>
              <w:rPr>
                <w:sz w:val="28"/>
                <w:szCs w:val="28"/>
              </w:rPr>
            </w:pPr>
            <w:r w:rsidRPr="00982DBB">
              <w:rPr>
                <w:sz w:val="28"/>
                <w:szCs w:val="28"/>
              </w:rPr>
              <w:t>1.</w:t>
            </w:r>
          </w:p>
        </w:tc>
        <w:tc>
          <w:tcPr>
            <w:tcW w:w="2033" w:type="dxa"/>
          </w:tcPr>
          <w:p w14:paraId="27EB91A6" w14:textId="77777777" w:rsidR="0060616F" w:rsidRPr="00982DBB" w:rsidRDefault="0060616F" w:rsidP="00E92130">
            <w:pPr>
              <w:jc w:val="center"/>
              <w:rPr>
                <w:sz w:val="28"/>
                <w:szCs w:val="28"/>
              </w:rPr>
            </w:pPr>
            <w:r w:rsidRPr="00982DBB">
              <w:rPr>
                <w:sz w:val="28"/>
                <w:szCs w:val="28"/>
              </w:rPr>
              <w:t>Obiectiv minim anual de returnare</w:t>
            </w:r>
          </w:p>
        </w:tc>
        <w:tc>
          <w:tcPr>
            <w:tcW w:w="913" w:type="dxa"/>
          </w:tcPr>
          <w:p w14:paraId="133F4CB2" w14:textId="77777777" w:rsidR="0060616F" w:rsidRPr="00982DBB" w:rsidRDefault="0060616F" w:rsidP="00E92130">
            <w:pPr>
              <w:jc w:val="center"/>
              <w:rPr>
                <w:sz w:val="28"/>
                <w:szCs w:val="28"/>
              </w:rPr>
            </w:pPr>
            <w:r w:rsidRPr="00982DBB">
              <w:rPr>
                <w:sz w:val="28"/>
                <w:szCs w:val="28"/>
              </w:rPr>
              <w:t>Obiectiv  minim anual de reciclare* </w:t>
            </w:r>
          </w:p>
        </w:tc>
        <w:tc>
          <w:tcPr>
            <w:tcW w:w="1110" w:type="dxa"/>
          </w:tcPr>
          <w:p w14:paraId="7E6E15C3" w14:textId="77777777" w:rsidR="0060616F" w:rsidRPr="00982DBB" w:rsidRDefault="0060616F" w:rsidP="00E92130">
            <w:pPr>
              <w:jc w:val="center"/>
              <w:rPr>
                <w:sz w:val="28"/>
                <w:szCs w:val="28"/>
              </w:rPr>
            </w:pPr>
            <w:r w:rsidRPr="00982DBB">
              <w:rPr>
                <w:sz w:val="28"/>
                <w:szCs w:val="28"/>
              </w:rPr>
              <w:t>Obiectiv minim anual de returnare</w:t>
            </w:r>
          </w:p>
        </w:tc>
        <w:tc>
          <w:tcPr>
            <w:tcW w:w="1835" w:type="dxa"/>
          </w:tcPr>
          <w:p w14:paraId="6045D685" w14:textId="77777777" w:rsidR="0060616F" w:rsidRPr="00982DBB" w:rsidRDefault="0060616F" w:rsidP="00E92130">
            <w:pPr>
              <w:jc w:val="center"/>
              <w:rPr>
                <w:sz w:val="28"/>
                <w:szCs w:val="28"/>
              </w:rPr>
            </w:pPr>
            <w:r w:rsidRPr="00982DBB">
              <w:rPr>
                <w:sz w:val="28"/>
                <w:szCs w:val="28"/>
              </w:rPr>
              <w:t>Obiectiv  minim anual de reciclare* </w:t>
            </w:r>
          </w:p>
        </w:tc>
        <w:tc>
          <w:tcPr>
            <w:tcW w:w="1110" w:type="dxa"/>
          </w:tcPr>
          <w:p w14:paraId="72438FBE" w14:textId="77777777" w:rsidR="0060616F" w:rsidRPr="00982DBB" w:rsidRDefault="0060616F" w:rsidP="00E92130">
            <w:pPr>
              <w:jc w:val="center"/>
              <w:rPr>
                <w:sz w:val="28"/>
                <w:szCs w:val="28"/>
              </w:rPr>
            </w:pPr>
            <w:r w:rsidRPr="00982DBB">
              <w:rPr>
                <w:sz w:val="28"/>
                <w:szCs w:val="28"/>
              </w:rPr>
              <w:t>Obiectiv minim anual de returnare</w:t>
            </w:r>
          </w:p>
        </w:tc>
        <w:tc>
          <w:tcPr>
            <w:tcW w:w="1835" w:type="dxa"/>
          </w:tcPr>
          <w:p w14:paraId="24EE6DA7" w14:textId="77777777" w:rsidR="0060616F" w:rsidRPr="00982DBB" w:rsidRDefault="0060616F" w:rsidP="00E92130">
            <w:pPr>
              <w:jc w:val="center"/>
              <w:rPr>
                <w:sz w:val="28"/>
                <w:szCs w:val="28"/>
              </w:rPr>
            </w:pPr>
            <w:r w:rsidRPr="00982DBB">
              <w:rPr>
                <w:sz w:val="28"/>
                <w:szCs w:val="28"/>
              </w:rPr>
              <w:t>Obiectiv  minim anual de reciclare* </w:t>
            </w:r>
          </w:p>
        </w:tc>
      </w:tr>
      <w:tr w:rsidR="0060616F" w:rsidRPr="00982DBB" w14:paraId="2539D888" w14:textId="77777777" w:rsidTr="00363079">
        <w:trPr>
          <w:trHeight w:val="50"/>
        </w:trPr>
        <w:tc>
          <w:tcPr>
            <w:tcW w:w="514" w:type="dxa"/>
            <w:vMerge/>
          </w:tcPr>
          <w:p w14:paraId="6B73F413" w14:textId="77777777" w:rsidR="0060616F" w:rsidRPr="00982DBB" w:rsidRDefault="0060616F" w:rsidP="00E92130">
            <w:pPr>
              <w:jc w:val="center"/>
              <w:rPr>
                <w:sz w:val="28"/>
                <w:szCs w:val="28"/>
              </w:rPr>
            </w:pPr>
          </w:p>
        </w:tc>
        <w:tc>
          <w:tcPr>
            <w:tcW w:w="2033" w:type="dxa"/>
          </w:tcPr>
          <w:p w14:paraId="5A67705E" w14:textId="77777777" w:rsidR="0060616F" w:rsidRPr="00982DBB" w:rsidRDefault="0060616F" w:rsidP="00E92130">
            <w:pPr>
              <w:spacing w:after="160" w:line="360" w:lineRule="auto"/>
              <w:contextualSpacing/>
              <w:jc w:val="both"/>
              <w:rPr>
                <w:sz w:val="28"/>
                <w:szCs w:val="28"/>
              </w:rPr>
            </w:pPr>
            <w:r w:rsidRPr="00982DBB">
              <w:rPr>
                <w:sz w:val="28"/>
                <w:szCs w:val="28"/>
              </w:rPr>
              <w:t>80%</w:t>
            </w:r>
          </w:p>
        </w:tc>
        <w:tc>
          <w:tcPr>
            <w:tcW w:w="913" w:type="dxa"/>
          </w:tcPr>
          <w:p w14:paraId="4D4E9C8A" w14:textId="77777777" w:rsidR="0060616F" w:rsidRPr="00982DBB" w:rsidRDefault="0060616F" w:rsidP="00E92130">
            <w:pPr>
              <w:spacing w:after="160" w:line="360" w:lineRule="auto"/>
              <w:contextualSpacing/>
              <w:jc w:val="both"/>
              <w:rPr>
                <w:sz w:val="28"/>
                <w:szCs w:val="28"/>
              </w:rPr>
            </w:pPr>
            <w:r w:rsidRPr="00982DBB">
              <w:rPr>
                <w:sz w:val="28"/>
                <w:szCs w:val="28"/>
              </w:rPr>
              <w:t>65%</w:t>
            </w:r>
          </w:p>
        </w:tc>
        <w:tc>
          <w:tcPr>
            <w:tcW w:w="1110" w:type="dxa"/>
          </w:tcPr>
          <w:p w14:paraId="5BD84488" w14:textId="77777777" w:rsidR="0060616F" w:rsidRPr="00982DBB" w:rsidRDefault="0060616F" w:rsidP="00E92130">
            <w:pPr>
              <w:spacing w:after="160" w:line="360" w:lineRule="auto"/>
              <w:contextualSpacing/>
              <w:jc w:val="both"/>
              <w:rPr>
                <w:sz w:val="28"/>
                <w:szCs w:val="28"/>
              </w:rPr>
            </w:pPr>
            <w:r w:rsidRPr="00982DBB">
              <w:rPr>
                <w:sz w:val="28"/>
                <w:szCs w:val="28"/>
              </w:rPr>
              <w:t>85%</w:t>
            </w:r>
          </w:p>
        </w:tc>
        <w:tc>
          <w:tcPr>
            <w:tcW w:w="1835" w:type="dxa"/>
          </w:tcPr>
          <w:p w14:paraId="12C9EC8D" w14:textId="77777777" w:rsidR="0060616F" w:rsidRPr="00982DBB" w:rsidRDefault="0060616F" w:rsidP="00E92130">
            <w:pPr>
              <w:spacing w:after="160" w:line="360" w:lineRule="auto"/>
              <w:contextualSpacing/>
              <w:jc w:val="both"/>
              <w:rPr>
                <w:sz w:val="28"/>
                <w:szCs w:val="28"/>
              </w:rPr>
            </w:pPr>
            <w:r w:rsidRPr="00982DBB">
              <w:rPr>
                <w:sz w:val="28"/>
                <w:szCs w:val="28"/>
              </w:rPr>
              <w:t>70%</w:t>
            </w:r>
          </w:p>
        </w:tc>
        <w:tc>
          <w:tcPr>
            <w:tcW w:w="1110" w:type="dxa"/>
          </w:tcPr>
          <w:p w14:paraId="67849A36" w14:textId="77777777" w:rsidR="0060616F" w:rsidRPr="00982DBB" w:rsidRDefault="0060616F" w:rsidP="00E92130">
            <w:pPr>
              <w:spacing w:after="160" w:line="360" w:lineRule="auto"/>
              <w:contextualSpacing/>
              <w:jc w:val="both"/>
              <w:rPr>
                <w:sz w:val="28"/>
                <w:szCs w:val="28"/>
              </w:rPr>
            </w:pPr>
            <w:r w:rsidRPr="00982DBB">
              <w:rPr>
                <w:sz w:val="28"/>
                <w:szCs w:val="28"/>
              </w:rPr>
              <w:t>90%</w:t>
            </w:r>
          </w:p>
        </w:tc>
        <w:tc>
          <w:tcPr>
            <w:tcW w:w="1835" w:type="dxa"/>
          </w:tcPr>
          <w:p w14:paraId="651D0446" w14:textId="77777777" w:rsidR="0060616F" w:rsidRPr="00982DBB" w:rsidRDefault="0060616F" w:rsidP="00E92130">
            <w:pPr>
              <w:spacing w:after="160" w:line="360" w:lineRule="auto"/>
              <w:contextualSpacing/>
              <w:jc w:val="both"/>
              <w:rPr>
                <w:sz w:val="28"/>
                <w:szCs w:val="28"/>
              </w:rPr>
            </w:pPr>
            <w:r w:rsidRPr="00982DBB">
              <w:rPr>
                <w:sz w:val="28"/>
                <w:szCs w:val="28"/>
              </w:rPr>
              <w:t>75%</w:t>
            </w:r>
          </w:p>
        </w:tc>
      </w:tr>
      <w:tr w:rsidR="0060616F" w:rsidRPr="00982DBB" w14:paraId="01C0F233" w14:textId="77777777" w:rsidTr="00363079">
        <w:trPr>
          <w:trHeight w:val="50"/>
        </w:trPr>
        <w:tc>
          <w:tcPr>
            <w:tcW w:w="514" w:type="dxa"/>
            <w:vMerge w:val="restart"/>
          </w:tcPr>
          <w:p w14:paraId="3734B0D9" w14:textId="77777777" w:rsidR="0060616F" w:rsidRPr="00982DBB" w:rsidRDefault="0060616F" w:rsidP="00E92130">
            <w:pPr>
              <w:jc w:val="center"/>
              <w:rPr>
                <w:sz w:val="28"/>
                <w:szCs w:val="28"/>
              </w:rPr>
            </w:pPr>
            <w:r w:rsidRPr="00982DBB">
              <w:rPr>
                <w:sz w:val="28"/>
                <w:szCs w:val="28"/>
              </w:rPr>
              <w:t>2</w:t>
            </w:r>
          </w:p>
        </w:tc>
        <w:tc>
          <w:tcPr>
            <w:tcW w:w="2946" w:type="dxa"/>
            <w:gridSpan w:val="2"/>
          </w:tcPr>
          <w:p w14:paraId="7B714DB2" w14:textId="77777777" w:rsidR="0060616F" w:rsidRPr="00982DBB" w:rsidRDefault="0060616F" w:rsidP="00E92130">
            <w:pPr>
              <w:jc w:val="center"/>
              <w:rPr>
                <w:sz w:val="28"/>
                <w:szCs w:val="28"/>
              </w:rPr>
            </w:pPr>
            <w:r w:rsidRPr="00982DBB">
              <w:rPr>
                <w:sz w:val="28"/>
                <w:szCs w:val="28"/>
              </w:rPr>
              <w:t>Obiectiv privind numărul de ambalaje reutilizabile introduse  pe  piață   potrivit art. 11  alin. (2)</w:t>
            </w:r>
          </w:p>
        </w:tc>
        <w:tc>
          <w:tcPr>
            <w:tcW w:w="2945" w:type="dxa"/>
            <w:gridSpan w:val="2"/>
          </w:tcPr>
          <w:p w14:paraId="44BE8FD6" w14:textId="77777777" w:rsidR="0060616F" w:rsidRPr="00982DBB" w:rsidRDefault="0060616F" w:rsidP="00E92130">
            <w:pPr>
              <w:jc w:val="center"/>
              <w:rPr>
                <w:sz w:val="28"/>
                <w:szCs w:val="28"/>
              </w:rPr>
            </w:pPr>
            <w:r w:rsidRPr="00982DBB">
              <w:rPr>
                <w:sz w:val="28"/>
                <w:szCs w:val="28"/>
              </w:rPr>
              <w:t>Obiectiv privind numărul de ambalaje reutilizabile introduse  pe  piață   potrivit art. 11  alin. (2)</w:t>
            </w:r>
          </w:p>
        </w:tc>
        <w:tc>
          <w:tcPr>
            <w:tcW w:w="2945" w:type="dxa"/>
            <w:gridSpan w:val="2"/>
          </w:tcPr>
          <w:p w14:paraId="5DA0ED6A" w14:textId="77777777" w:rsidR="0060616F" w:rsidRPr="00982DBB" w:rsidRDefault="0060616F" w:rsidP="00E92130">
            <w:pPr>
              <w:jc w:val="center"/>
              <w:rPr>
                <w:sz w:val="28"/>
                <w:szCs w:val="28"/>
              </w:rPr>
            </w:pPr>
            <w:r w:rsidRPr="00982DBB">
              <w:rPr>
                <w:sz w:val="28"/>
                <w:szCs w:val="28"/>
              </w:rPr>
              <w:t>Obiectiv privind numărul de ambalaje reutilizabile introduse  pe  piață   potrivit art. 11  alin. (2)</w:t>
            </w:r>
          </w:p>
        </w:tc>
      </w:tr>
      <w:tr w:rsidR="0060616F" w:rsidRPr="00982DBB" w14:paraId="55486FE3" w14:textId="77777777" w:rsidTr="00363079">
        <w:trPr>
          <w:trHeight w:val="50"/>
        </w:trPr>
        <w:tc>
          <w:tcPr>
            <w:tcW w:w="514" w:type="dxa"/>
            <w:vMerge/>
          </w:tcPr>
          <w:p w14:paraId="62183736" w14:textId="77777777" w:rsidR="0060616F" w:rsidRPr="00982DBB" w:rsidRDefault="0060616F" w:rsidP="00E92130">
            <w:pPr>
              <w:jc w:val="center"/>
              <w:rPr>
                <w:sz w:val="28"/>
                <w:szCs w:val="28"/>
              </w:rPr>
            </w:pPr>
          </w:p>
        </w:tc>
        <w:tc>
          <w:tcPr>
            <w:tcW w:w="2946" w:type="dxa"/>
            <w:gridSpan w:val="2"/>
          </w:tcPr>
          <w:p w14:paraId="560B04A9" w14:textId="77777777" w:rsidR="0060616F" w:rsidRPr="00982DBB" w:rsidRDefault="0060616F" w:rsidP="00E92130">
            <w:pPr>
              <w:jc w:val="center"/>
              <w:rPr>
                <w:sz w:val="28"/>
                <w:szCs w:val="28"/>
              </w:rPr>
            </w:pPr>
            <w:r w:rsidRPr="00982DBB">
              <w:rPr>
                <w:sz w:val="28"/>
                <w:szCs w:val="28"/>
              </w:rPr>
              <w:t>30%</w:t>
            </w:r>
          </w:p>
        </w:tc>
        <w:tc>
          <w:tcPr>
            <w:tcW w:w="2945" w:type="dxa"/>
            <w:gridSpan w:val="2"/>
          </w:tcPr>
          <w:p w14:paraId="7FBEA367" w14:textId="77777777" w:rsidR="0060616F" w:rsidRPr="00982DBB" w:rsidRDefault="0060616F" w:rsidP="00E92130">
            <w:pPr>
              <w:jc w:val="center"/>
              <w:rPr>
                <w:sz w:val="28"/>
                <w:szCs w:val="28"/>
              </w:rPr>
            </w:pPr>
            <w:r w:rsidRPr="00982DBB">
              <w:rPr>
                <w:sz w:val="28"/>
                <w:szCs w:val="28"/>
              </w:rPr>
              <w:t>35%</w:t>
            </w:r>
          </w:p>
        </w:tc>
        <w:tc>
          <w:tcPr>
            <w:tcW w:w="2945" w:type="dxa"/>
            <w:gridSpan w:val="2"/>
          </w:tcPr>
          <w:p w14:paraId="4F8FA8B8" w14:textId="77777777" w:rsidR="0060616F" w:rsidRPr="00982DBB" w:rsidRDefault="0060616F" w:rsidP="00E92130">
            <w:pPr>
              <w:jc w:val="center"/>
              <w:rPr>
                <w:sz w:val="28"/>
                <w:szCs w:val="28"/>
              </w:rPr>
            </w:pPr>
            <w:r w:rsidRPr="00982DBB">
              <w:rPr>
                <w:sz w:val="28"/>
                <w:szCs w:val="28"/>
              </w:rPr>
              <w:t>40%</w:t>
            </w:r>
          </w:p>
        </w:tc>
      </w:tr>
      <w:tr w:rsidR="0060616F" w:rsidRPr="00982DBB" w14:paraId="2B81C501" w14:textId="77777777" w:rsidTr="00363079">
        <w:trPr>
          <w:trHeight w:val="50"/>
        </w:trPr>
        <w:tc>
          <w:tcPr>
            <w:tcW w:w="514" w:type="dxa"/>
            <w:vMerge w:val="restart"/>
          </w:tcPr>
          <w:p w14:paraId="56F93786" w14:textId="77777777" w:rsidR="0060616F" w:rsidRPr="00982DBB" w:rsidRDefault="0060616F" w:rsidP="00E92130">
            <w:pPr>
              <w:jc w:val="center"/>
              <w:rPr>
                <w:sz w:val="28"/>
                <w:szCs w:val="28"/>
              </w:rPr>
            </w:pPr>
            <w:r w:rsidRPr="00982DBB">
              <w:rPr>
                <w:sz w:val="28"/>
                <w:szCs w:val="28"/>
              </w:rPr>
              <w:t>3.</w:t>
            </w:r>
          </w:p>
        </w:tc>
        <w:tc>
          <w:tcPr>
            <w:tcW w:w="2946" w:type="dxa"/>
            <w:gridSpan w:val="2"/>
          </w:tcPr>
          <w:p w14:paraId="31D3E446" w14:textId="77777777" w:rsidR="0060616F" w:rsidRPr="00982DBB" w:rsidRDefault="0060616F" w:rsidP="00E92130">
            <w:pPr>
              <w:jc w:val="center"/>
              <w:rPr>
                <w:sz w:val="28"/>
                <w:szCs w:val="28"/>
              </w:rPr>
            </w:pPr>
            <w:r w:rsidRPr="00982DBB">
              <w:rPr>
                <w:sz w:val="28"/>
                <w:szCs w:val="28"/>
              </w:rPr>
              <w:t>Obiectiv  privind numărul de ambalaje reutilizabile  făcute disponibile pe  piață   potrivit art. 13  alin. (11) </w:t>
            </w:r>
          </w:p>
        </w:tc>
        <w:tc>
          <w:tcPr>
            <w:tcW w:w="2945" w:type="dxa"/>
            <w:gridSpan w:val="2"/>
          </w:tcPr>
          <w:p w14:paraId="28E92E0B" w14:textId="77777777" w:rsidR="0060616F" w:rsidRPr="00982DBB" w:rsidRDefault="0060616F" w:rsidP="00E92130">
            <w:pPr>
              <w:jc w:val="center"/>
              <w:rPr>
                <w:sz w:val="28"/>
                <w:szCs w:val="28"/>
              </w:rPr>
            </w:pPr>
            <w:r w:rsidRPr="00982DBB">
              <w:rPr>
                <w:sz w:val="28"/>
                <w:szCs w:val="28"/>
              </w:rPr>
              <w:t>Obiectiv  privind numărul de ambalaje reutilizabile  făcute disponibile pe  piață   potrivit art. 13  alin. (11) </w:t>
            </w:r>
          </w:p>
        </w:tc>
        <w:tc>
          <w:tcPr>
            <w:tcW w:w="2945" w:type="dxa"/>
            <w:gridSpan w:val="2"/>
          </w:tcPr>
          <w:p w14:paraId="149822F5" w14:textId="77777777" w:rsidR="0060616F" w:rsidRPr="00982DBB" w:rsidRDefault="0060616F" w:rsidP="00E92130">
            <w:pPr>
              <w:jc w:val="center"/>
              <w:rPr>
                <w:sz w:val="28"/>
                <w:szCs w:val="28"/>
              </w:rPr>
            </w:pPr>
            <w:r w:rsidRPr="00982DBB">
              <w:rPr>
                <w:sz w:val="28"/>
                <w:szCs w:val="28"/>
              </w:rPr>
              <w:t>Obiectiv  privind numărul de ambalaje reutilizabile  făcute disponibile pe  piață   potrivit art. 13  alin. (11) </w:t>
            </w:r>
          </w:p>
        </w:tc>
      </w:tr>
      <w:tr w:rsidR="0060616F" w:rsidRPr="00982DBB" w14:paraId="322F0339" w14:textId="77777777" w:rsidTr="00363079">
        <w:trPr>
          <w:trHeight w:val="50"/>
        </w:trPr>
        <w:tc>
          <w:tcPr>
            <w:tcW w:w="514" w:type="dxa"/>
            <w:vMerge/>
          </w:tcPr>
          <w:p w14:paraId="2C6F9374" w14:textId="77777777" w:rsidR="0060616F" w:rsidRPr="00982DBB" w:rsidRDefault="0060616F" w:rsidP="00E92130">
            <w:pPr>
              <w:jc w:val="center"/>
              <w:rPr>
                <w:sz w:val="28"/>
                <w:szCs w:val="28"/>
              </w:rPr>
            </w:pPr>
          </w:p>
        </w:tc>
        <w:tc>
          <w:tcPr>
            <w:tcW w:w="2946" w:type="dxa"/>
            <w:gridSpan w:val="2"/>
          </w:tcPr>
          <w:p w14:paraId="4F7885AF" w14:textId="77777777" w:rsidR="0060616F" w:rsidRPr="00982DBB" w:rsidRDefault="0060616F" w:rsidP="00E92130">
            <w:pPr>
              <w:jc w:val="center"/>
              <w:rPr>
                <w:sz w:val="28"/>
                <w:szCs w:val="28"/>
              </w:rPr>
            </w:pPr>
            <w:r w:rsidRPr="00982DBB">
              <w:rPr>
                <w:sz w:val="28"/>
                <w:szCs w:val="28"/>
              </w:rPr>
              <w:t>30%</w:t>
            </w:r>
          </w:p>
        </w:tc>
        <w:tc>
          <w:tcPr>
            <w:tcW w:w="2945" w:type="dxa"/>
            <w:gridSpan w:val="2"/>
          </w:tcPr>
          <w:p w14:paraId="5DAD5B6C" w14:textId="77777777" w:rsidR="0060616F" w:rsidRPr="00982DBB" w:rsidRDefault="0060616F" w:rsidP="00E92130">
            <w:pPr>
              <w:jc w:val="center"/>
              <w:rPr>
                <w:sz w:val="28"/>
                <w:szCs w:val="28"/>
              </w:rPr>
            </w:pPr>
            <w:r w:rsidRPr="00982DBB">
              <w:rPr>
                <w:sz w:val="28"/>
                <w:szCs w:val="28"/>
              </w:rPr>
              <w:t>35%</w:t>
            </w:r>
          </w:p>
        </w:tc>
        <w:tc>
          <w:tcPr>
            <w:tcW w:w="2945" w:type="dxa"/>
            <w:gridSpan w:val="2"/>
          </w:tcPr>
          <w:p w14:paraId="5E9917B2" w14:textId="77777777" w:rsidR="0060616F" w:rsidRPr="00982DBB" w:rsidRDefault="0060616F" w:rsidP="00E92130">
            <w:pPr>
              <w:jc w:val="center"/>
              <w:rPr>
                <w:sz w:val="28"/>
                <w:szCs w:val="28"/>
              </w:rPr>
            </w:pPr>
            <w:r w:rsidRPr="00982DBB">
              <w:rPr>
                <w:sz w:val="28"/>
                <w:szCs w:val="28"/>
              </w:rPr>
              <w:t>40%</w:t>
            </w:r>
          </w:p>
        </w:tc>
      </w:tr>
    </w:tbl>
    <w:p w14:paraId="509B6956" w14:textId="77777777" w:rsidR="0060616F" w:rsidRPr="00982DBB" w:rsidRDefault="0060616F" w:rsidP="0060616F">
      <w:pPr>
        <w:jc w:val="both"/>
        <w:rPr>
          <w:b/>
          <w:bCs/>
          <w:sz w:val="28"/>
          <w:szCs w:val="28"/>
        </w:rPr>
      </w:pPr>
    </w:p>
    <w:p w14:paraId="7524FAF4" w14:textId="77777777" w:rsidR="0060616F" w:rsidRPr="00982DBB" w:rsidRDefault="0060616F" w:rsidP="0060616F">
      <w:pPr>
        <w:pStyle w:val="al"/>
        <w:spacing w:line="360" w:lineRule="auto"/>
        <w:rPr>
          <w:sz w:val="28"/>
          <w:szCs w:val="28"/>
        </w:rPr>
      </w:pPr>
      <w:r w:rsidRPr="00982DBB">
        <w:rPr>
          <w:sz w:val="28"/>
          <w:szCs w:val="28"/>
        </w:rPr>
        <w:tab/>
        <w:t>*</w:t>
      </w:r>
      <w:proofErr w:type="spellStart"/>
      <w:r w:rsidRPr="00982DBB">
        <w:rPr>
          <w:sz w:val="28"/>
          <w:szCs w:val="28"/>
        </w:rPr>
        <w:t>Obiectivul</w:t>
      </w:r>
      <w:proofErr w:type="spellEnd"/>
      <w:r w:rsidRPr="00982DBB">
        <w:rPr>
          <w:sz w:val="28"/>
          <w:szCs w:val="28"/>
        </w:rPr>
        <w:t xml:space="preserve"> de </w:t>
      </w:r>
      <w:proofErr w:type="spellStart"/>
      <w:r w:rsidRPr="00982DBB">
        <w:rPr>
          <w:sz w:val="28"/>
          <w:szCs w:val="28"/>
        </w:rPr>
        <w:t>reciclare</w:t>
      </w:r>
      <w:proofErr w:type="spellEnd"/>
      <w:r w:rsidRPr="00982DBB">
        <w:rPr>
          <w:sz w:val="28"/>
          <w:szCs w:val="28"/>
        </w:rPr>
        <w:t xml:space="preserve"> se </w:t>
      </w:r>
      <w:proofErr w:type="spellStart"/>
      <w:r w:rsidRPr="00982DBB">
        <w:rPr>
          <w:sz w:val="28"/>
          <w:szCs w:val="28"/>
        </w:rPr>
        <w:t>va</w:t>
      </w:r>
      <w:proofErr w:type="spellEnd"/>
      <w:r w:rsidRPr="00982DBB">
        <w:rPr>
          <w:sz w:val="28"/>
          <w:szCs w:val="28"/>
        </w:rPr>
        <w:t xml:space="preserve"> </w:t>
      </w:r>
      <w:proofErr w:type="spellStart"/>
      <w:r w:rsidRPr="00982DBB">
        <w:rPr>
          <w:sz w:val="28"/>
          <w:szCs w:val="28"/>
        </w:rPr>
        <w:t>calcula</w:t>
      </w:r>
      <w:proofErr w:type="spellEnd"/>
      <w:r w:rsidRPr="00982DBB">
        <w:rPr>
          <w:sz w:val="28"/>
          <w:szCs w:val="28"/>
        </w:rPr>
        <w:t xml:space="preserve"> la </w:t>
      </w:r>
      <w:proofErr w:type="spellStart"/>
      <w:r w:rsidRPr="00982DBB">
        <w:rPr>
          <w:sz w:val="28"/>
          <w:szCs w:val="28"/>
        </w:rPr>
        <w:t>cantitatea</w:t>
      </w:r>
      <w:proofErr w:type="spellEnd"/>
      <w:r w:rsidRPr="00982DBB">
        <w:rPr>
          <w:sz w:val="28"/>
          <w:szCs w:val="28"/>
        </w:rPr>
        <w:t xml:space="preserve"> de </w:t>
      </w:r>
      <w:proofErr w:type="spellStart"/>
      <w:r w:rsidRPr="00982DBB">
        <w:rPr>
          <w:sz w:val="28"/>
          <w:szCs w:val="28"/>
        </w:rPr>
        <w:t>ambalaje</w:t>
      </w:r>
      <w:proofErr w:type="spellEnd"/>
      <w:r w:rsidRPr="00982DBB">
        <w:rPr>
          <w:sz w:val="28"/>
          <w:szCs w:val="28"/>
        </w:rPr>
        <w:t xml:space="preserve"> </w:t>
      </w:r>
      <w:proofErr w:type="spellStart"/>
      <w:r w:rsidRPr="00982DBB">
        <w:rPr>
          <w:sz w:val="28"/>
          <w:szCs w:val="28"/>
        </w:rPr>
        <w:t>reutilizabile</w:t>
      </w:r>
      <w:proofErr w:type="spellEnd"/>
      <w:r w:rsidRPr="00982DBB">
        <w:rPr>
          <w:sz w:val="28"/>
          <w:szCs w:val="28"/>
        </w:rPr>
        <w:t xml:space="preserve"> </w:t>
      </w:r>
      <w:proofErr w:type="spellStart"/>
      <w:r w:rsidRPr="00982DBB">
        <w:rPr>
          <w:sz w:val="28"/>
          <w:szCs w:val="28"/>
        </w:rPr>
        <w:t>introduse</w:t>
      </w:r>
      <w:proofErr w:type="spellEnd"/>
      <w:r w:rsidRPr="00982DBB">
        <w:rPr>
          <w:sz w:val="28"/>
          <w:szCs w:val="28"/>
        </w:rPr>
        <w:t xml:space="preserve"> pe </w:t>
      </w:r>
      <w:proofErr w:type="spellStart"/>
      <w:r w:rsidRPr="00982DBB">
        <w:rPr>
          <w:sz w:val="28"/>
          <w:szCs w:val="28"/>
        </w:rPr>
        <w:t>piață</w:t>
      </w:r>
      <w:proofErr w:type="spellEnd"/>
      <w:r w:rsidRPr="00982DBB">
        <w:rPr>
          <w:sz w:val="28"/>
          <w:szCs w:val="28"/>
        </w:rPr>
        <w:t xml:space="preserve"> care au </w:t>
      </w:r>
      <w:proofErr w:type="spellStart"/>
      <w:r w:rsidRPr="00982DBB">
        <w:rPr>
          <w:sz w:val="28"/>
          <w:szCs w:val="28"/>
        </w:rPr>
        <w:t>atins</w:t>
      </w:r>
      <w:proofErr w:type="spellEnd"/>
      <w:r w:rsidRPr="00982DBB">
        <w:rPr>
          <w:sz w:val="28"/>
          <w:szCs w:val="28"/>
        </w:rPr>
        <w:t xml:space="preserve"> </w:t>
      </w:r>
      <w:proofErr w:type="spellStart"/>
      <w:r w:rsidRPr="00982DBB">
        <w:rPr>
          <w:sz w:val="28"/>
          <w:szCs w:val="28"/>
        </w:rPr>
        <w:t>numărul</w:t>
      </w:r>
      <w:proofErr w:type="spellEnd"/>
      <w:r w:rsidRPr="00982DBB">
        <w:rPr>
          <w:sz w:val="28"/>
          <w:szCs w:val="28"/>
        </w:rPr>
        <w:t xml:space="preserve"> maxim de </w:t>
      </w:r>
      <w:proofErr w:type="spellStart"/>
      <w:r w:rsidRPr="00982DBB">
        <w:rPr>
          <w:sz w:val="28"/>
          <w:szCs w:val="28"/>
        </w:rPr>
        <w:t>rotații</w:t>
      </w:r>
      <w:proofErr w:type="spellEnd"/>
      <w:r w:rsidRPr="00982DBB">
        <w:rPr>
          <w:sz w:val="28"/>
          <w:szCs w:val="28"/>
        </w:rPr>
        <w:t xml:space="preserve"> </w:t>
      </w:r>
      <w:proofErr w:type="spellStart"/>
      <w:r w:rsidRPr="00982DBB">
        <w:rPr>
          <w:sz w:val="28"/>
          <w:szCs w:val="28"/>
        </w:rPr>
        <w:t>și</w:t>
      </w:r>
      <w:proofErr w:type="spellEnd"/>
      <w:r w:rsidRPr="00982DBB">
        <w:rPr>
          <w:sz w:val="28"/>
          <w:szCs w:val="28"/>
        </w:rPr>
        <w:t xml:space="preserve"> </w:t>
      </w:r>
      <w:proofErr w:type="spellStart"/>
      <w:r w:rsidRPr="00982DBB">
        <w:rPr>
          <w:sz w:val="28"/>
          <w:szCs w:val="28"/>
        </w:rPr>
        <w:t>va</w:t>
      </w:r>
      <w:proofErr w:type="spellEnd"/>
      <w:r w:rsidRPr="00982DBB">
        <w:rPr>
          <w:sz w:val="28"/>
          <w:szCs w:val="28"/>
        </w:rPr>
        <w:t xml:space="preserve"> fi </w:t>
      </w:r>
      <w:proofErr w:type="spellStart"/>
      <w:r w:rsidRPr="00982DBB">
        <w:rPr>
          <w:sz w:val="28"/>
          <w:szCs w:val="28"/>
        </w:rPr>
        <w:t>luat</w:t>
      </w:r>
      <w:proofErr w:type="spellEnd"/>
      <w:r w:rsidRPr="00982DBB">
        <w:rPr>
          <w:sz w:val="28"/>
          <w:szCs w:val="28"/>
        </w:rPr>
        <w:t xml:space="preserve"> </w:t>
      </w:r>
      <w:proofErr w:type="spellStart"/>
      <w:r w:rsidRPr="00982DBB">
        <w:rPr>
          <w:sz w:val="28"/>
          <w:szCs w:val="28"/>
        </w:rPr>
        <w:t>în</w:t>
      </w:r>
      <w:proofErr w:type="spellEnd"/>
      <w:r w:rsidRPr="00982DBB">
        <w:rPr>
          <w:sz w:val="28"/>
          <w:szCs w:val="28"/>
        </w:rPr>
        <w:t xml:space="preserve"> </w:t>
      </w:r>
      <w:proofErr w:type="spellStart"/>
      <w:r w:rsidRPr="00982DBB">
        <w:rPr>
          <w:sz w:val="28"/>
          <w:szCs w:val="28"/>
        </w:rPr>
        <w:t>calcul</w:t>
      </w:r>
      <w:proofErr w:type="spellEnd"/>
      <w:r w:rsidRPr="00982DBB">
        <w:rPr>
          <w:sz w:val="28"/>
          <w:szCs w:val="28"/>
        </w:rPr>
        <w:t xml:space="preserve"> la </w:t>
      </w:r>
      <w:proofErr w:type="spellStart"/>
      <w:r w:rsidRPr="00982DBB">
        <w:rPr>
          <w:sz w:val="28"/>
          <w:szCs w:val="28"/>
        </w:rPr>
        <w:t>obiectivul</w:t>
      </w:r>
      <w:proofErr w:type="spellEnd"/>
      <w:r w:rsidRPr="00982DBB">
        <w:rPr>
          <w:sz w:val="28"/>
          <w:szCs w:val="28"/>
        </w:rPr>
        <w:t xml:space="preserve"> de </w:t>
      </w:r>
      <w:proofErr w:type="spellStart"/>
      <w:r w:rsidRPr="00982DBB">
        <w:rPr>
          <w:sz w:val="28"/>
          <w:szCs w:val="28"/>
        </w:rPr>
        <w:t>reciclare</w:t>
      </w:r>
      <w:proofErr w:type="spellEnd"/>
      <w:r w:rsidRPr="00982DBB">
        <w:rPr>
          <w:sz w:val="28"/>
          <w:szCs w:val="28"/>
        </w:rPr>
        <w:t xml:space="preserve"> global din </w:t>
      </w:r>
      <w:proofErr w:type="spellStart"/>
      <w:r w:rsidRPr="00982DBB">
        <w:rPr>
          <w:sz w:val="28"/>
          <w:szCs w:val="28"/>
        </w:rPr>
        <w:t>Anexa</w:t>
      </w:r>
      <w:proofErr w:type="spellEnd"/>
      <w:r w:rsidRPr="00982DBB">
        <w:rPr>
          <w:sz w:val="28"/>
          <w:szCs w:val="28"/>
        </w:rPr>
        <w:t xml:space="preserve"> nr. 5.</w:t>
      </w:r>
    </w:p>
    <w:p w14:paraId="26BC665E" w14:textId="77777777" w:rsidR="0060616F" w:rsidRPr="00982DBB" w:rsidRDefault="0060616F" w:rsidP="0060616F">
      <w:pPr>
        <w:tabs>
          <w:tab w:val="left" w:pos="2783"/>
        </w:tabs>
        <w:jc w:val="both"/>
        <w:rPr>
          <w:sz w:val="28"/>
          <w:szCs w:val="28"/>
        </w:rPr>
      </w:pPr>
    </w:p>
    <w:p w14:paraId="74A95722" w14:textId="3A9EB53B" w:rsidR="00043AF0" w:rsidRDefault="00043AF0" w:rsidP="00485E87">
      <w:pPr>
        <w:spacing w:line="264" w:lineRule="auto"/>
        <w:jc w:val="both"/>
        <w:rPr>
          <w:b/>
          <w:bCs/>
          <w:sz w:val="28"/>
          <w:szCs w:val="28"/>
        </w:rPr>
      </w:pPr>
    </w:p>
    <w:p w14:paraId="759B5CD7" w14:textId="77777777" w:rsidR="00BA77BD" w:rsidRDefault="00BA77BD" w:rsidP="00485E87">
      <w:pPr>
        <w:spacing w:line="264" w:lineRule="auto"/>
        <w:jc w:val="both"/>
        <w:rPr>
          <w:b/>
          <w:bCs/>
          <w:sz w:val="28"/>
          <w:szCs w:val="28"/>
        </w:rPr>
      </w:pPr>
    </w:p>
    <w:p w14:paraId="40A43308" w14:textId="2F0AE305" w:rsidR="0003218F" w:rsidRPr="00D45E5D" w:rsidRDefault="00D45E5D" w:rsidP="00D45E5D">
      <w:pPr>
        <w:pStyle w:val="ListParagraph"/>
        <w:ind w:left="432"/>
        <w:jc w:val="center"/>
        <w:rPr>
          <w:b/>
          <w:sz w:val="28"/>
          <w:szCs w:val="28"/>
        </w:rPr>
      </w:pPr>
      <w:r>
        <w:rPr>
          <w:rFonts w:eastAsia="MS Gothic"/>
          <w:b/>
          <w:bCs/>
          <w:color w:val="000000"/>
          <w:sz w:val="28"/>
          <w:szCs w:val="28"/>
        </w:rPr>
        <w:t>P</w:t>
      </w:r>
      <w:r w:rsidR="00592DB3" w:rsidRPr="00D45E5D">
        <w:rPr>
          <w:rFonts w:eastAsia="MS Gothic"/>
          <w:b/>
          <w:bCs/>
          <w:color w:val="000000"/>
          <w:sz w:val="28"/>
          <w:szCs w:val="28"/>
        </w:rPr>
        <w:t>ropuner</w:t>
      </w:r>
      <w:r w:rsidRPr="00D45E5D">
        <w:rPr>
          <w:rFonts w:eastAsia="MS Gothic"/>
          <w:b/>
          <w:bCs/>
          <w:color w:val="000000"/>
          <w:sz w:val="28"/>
          <w:szCs w:val="28"/>
        </w:rPr>
        <w:t>e</w:t>
      </w:r>
      <w:r w:rsidR="00592DB3" w:rsidRPr="00D45E5D">
        <w:rPr>
          <w:rFonts w:eastAsia="MS Gothic"/>
          <w:b/>
          <w:bCs/>
          <w:color w:val="000000"/>
          <w:sz w:val="28"/>
          <w:szCs w:val="28"/>
        </w:rPr>
        <w:t xml:space="preserve"> legislativ</w:t>
      </w:r>
      <w:r w:rsidRPr="00D45E5D">
        <w:rPr>
          <w:rFonts w:eastAsia="MS Gothic"/>
          <w:b/>
          <w:bCs/>
          <w:color w:val="000000"/>
          <w:sz w:val="28"/>
          <w:szCs w:val="28"/>
        </w:rPr>
        <w:t>ă</w:t>
      </w:r>
      <w:r w:rsidR="00DB738F" w:rsidRPr="00D45E5D">
        <w:rPr>
          <w:rFonts w:eastAsia="MS Gothic"/>
          <w:b/>
          <w:bCs/>
          <w:color w:val="000000"/>
          <w:sz w:val="28"/>
          <w:szCs w:val="28"/>
        </w:rPr>
        <w:t xml:space="preserve"> </w:t>
      </w:r>
      <w:r w:rsidR="0003218F" w:rsidRPr="00D45E5D">
        <w:rPr>
          <w:b/>
          <w:sz w:val="28"/>
          <w:szCs w:val="28"/>
        </w:rPr>
        <w:t>privind modificarea și completarea</w:t>
      </w:r>
      <w:r w:rsidRPr="00D45E5D">
        <w:rPr>
          <w:b/>
          <w:sz w:val="28"/>
          <w:szCs w:val="28"/>
        </w:rPr>
        <w:t xml:space="preserve"> Legii nr. 249/2015 privind modalitatea de gestionare a ambalajelor și a deșeurilor de ambalaje</w:t>
      </w:r>
    </w:p>
    <w:p w14:paraId="33042228" w14:textId="37D34FAB" w:rsidR="00592DB3" w:rsidRPr="00A95898" w:rsidRDefault="00592DB3" w:rsidP="0003218F">
      <w:pPr>
        <w:jc w:val="center"/>
        <w:rPr>
          <w:rFonts w:eastAsia="MS Gothic"/>
          <w:b/>
          <w:bCs/>
          <w:color w:val="000000"/>
        </w:rPr>
      </w:pPr>
    </w:p>
    <w:tbl>
      <w:tblPr>
        <w:tblW w:w="9843" w:type="dxa"/>
        <w:tblInd w:w="-15" w:type="dxa"/>
        <w:tblLayout w:type="fixed"/>
        <w:tblLook w:val="0000" w:firstRow="0" w:lastRow="0" w:firstColumn="0" w:lastColumn="0" w:noHBand="0" w:noVBand="0"/>
      </w:tblPr>
      <w:tblGrid>
        <w:gridCol w:w="893"/>
        <w:gridCol w:w="4270"/>
        <w:gridCol w:w="1800"/>
        <w:gridCol w:w="2880"/>
      </w:tblGrid>
      <w:tr w:rsidR="00592DB3" w:rsidRPr="00C372A6" w14:paraId="62FFFBC4" w14:textId="77777777" w:rsidTr="009502B8">
        <w:tc>
          <w:tcPr>
            <w:tcW w:w="893" w:type="dxa"/>
            <w:tcBorders>
              <w:top w:val="single" w:sz="4" w:space="0" w:color="000000"/>
              <w:left w:val="single" w:sz="4" w:space="0" w:color="000000"/>
              <w:bottom w:val="single" w:sz="4" w:space="0" w:color="000000"/>
            </w:tcBorders>
          </w:tcPr>
          <w:p w14:paraId="409F22A3" w14:textId="77777777" w:rsidR="00592DB3" w:rsidRPr="00C372A6" w:rsidRDefault="00592DB3" w:rsidP="009502B8">
            <w:pPr>
              <w:jc w:val="center"/>
            </w:pPr>
            <w:r w:rsidRPr="00C372A6">
              <w:rPr>
                <w:rFonts w:cs="Arial Narrow"/>
                <w:b/>
              </w:rPr>
              <w:t>Nr crt</w:t>
            </w:r>
          </w:p>
        </w:tc>
        <w:tc>
          <w:tcPr>
            <w:tcW w:w="4270" w:type="dxa"/>
            <w:tcBorders>
              <w:top w:val="single" w:sz="4" w:space="0" w:color="000000"/>
              <w:left w:val="single" w:sz="4" w:space="0" w:color="000000"/>
              <w:bottom w:val="single" w:sz="4" w:space="0" w:color="000000"/>
            </w:tcBorders>
          </w:tcPr>
          <w:p w14:paraId="34009358" w14:textId="77777777" w:rsidR="00592DB3" w:rsidRPr="00C372A6" w:rsidRDefault="00592DB3" w:rsidP="009502B8">
            <w:pPr>
              <w:jc w:val="center"/>
            </w:pPr>
            <w:r w:rsidRPr="00C372A6">
              <w:rPr>
                <w:rFonts w:cs="Arial Narrow"/>
                <w:b/>
              </w:rPr>
              <w:t xml:space="preserve">Nume și prenume </w:t>
            </w:r>
          </w:p>
        </w:tc>
        <w:tc>
          <w:tcPr>
            <w:tcW w:w="1800" w:type="dxa"/>
            <w:tcBorders>
              <w:top w:val="single" w:sz="4" w:space="0" w:color="000000"/>
              <w:left w:val="single" w:sz="4" w:space="0" w:color="000000"/>
              <w:bottom w:val="single" w:sz="4" w:space="0" w:color="000000"/>
              <w:right w:val="single" w:sz="4" w:space="0" w:color="000000"/>
            </w:tcBorders>
          </w:tcPr>
          <w:p w14:paraId="15215F6D" w14:textId="77777777" w:rsidR="00592DB3" w:rsidRPr="00043AF0" w:rsidRDefault="00592DB3" w:rsidP="009502B8">
            <w:pPr>
              <w:jc w:val="center"/>
              <w:rPr>
                <w:b/>
              </w:rPr>
            </w:pPr>
            <w:r w:rsidRPr="00043AF0">
              <w:rPr>
                <w:b/>
              </w:rPr>
              <w:t>Grup parlamentar</w:t>
            </w:r>
          </w:p>
        </w:tc>
        <w:tc>
          <w:tcPr>
            <w:tcW w:w="2880" w:type="dxa"/>
            <w:tcBorders>
              <w:top w:val="single" w:sz="4" w:space="0" w:color="000000"/>
              <w:left w:val="single" w:sz="4" w:space="0" w:color="000000"/>
              <w:bottom w:val="single" w:sz="4" w:space="0" w:color="000000"/>
              <w:right w:val="single" w:sz="4" w:space="0" w:color="000000"/>
            </w:tcBorders>
          </w:tcPr>
          <w:p w14:paraId="3C56A4E0" w14:textId="77777777" w:rsidR="00592DB3" w:rsidRPr="00C372A6" w:rsidRDefault="00592DB3" w:rsidP="009502B8">
            <w:pPr>
              <w:jc w:val="center"/>
              <w:rPr>
                <w:rFonts w:cs="Arial Narrow"/>
                <w:b/>
              </w:rPr>
            </w:pPr>
            <w:r w:rsidRPr="00C372A6">
              <w:rPr>
                <w:rFonts w:cs="Arial Narrow"/>
                <w:b/>
              </w:rPr>
              <w:t>Semnătura</w:t>
            </w:r>
          </w:p>
        </w:tc>
      </w:tr>
      <w:tr w:rsidR="00592DB3" w:rsidRPr="00C372A6" w14:paraId="24081D83" w14:textId="77777777" w:rsidTr="009502B8">
        <w:tc>
          <w:tcPr>
            <w:tcW w:w="893" w:type="dxa"/>
            <w:tcBorders>
              <w:top w:val="single" w:sz="4" w:space="0" w:color="000000"/>
              <w:left w:val="single" w:sz="4" w:space="0" w:color="000000"/>
              <w:bottom w:val="single" w:sz="4" w:space="0" w:color="000000"/>
            </w:tcBorders>
          </w:tcPr>
          <w:p w14:paraId="116A789B" w14:textId="77777777" w:rsidR="00592DB3" w:rsidRPr="00C372A6" w:rsidRDefault="00592DB3"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3CA18316" w14:textId="77777777" w:rsidR="00592DB3" w:rsidRPr="00C372A6" w:rsidRDefault="00592DB3"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1B2EC65A" w14:textId="77777777" w:rsidR="00592DB3" w:rsidRPr="00C372A6" w:rsidRDefault="00592DB3" w:rsidP="009502B8">
            <w:pPr>
              <w:snapToGrid w:val="0"/>
              <w:jc w:val="center"/>
              <w:rPr>
                <w:rFonts w:ascii="Arial Narrow" w:eastAsia="MS Mincho" w:hAnsi="Arial Narrow" w:cs="Arial Narrow"/>
                <w:b/>
                <w:sz w:val="28"/>
                <w:szCs w:val="28"/>
              </w:rPr>
            </w:pPr>
          </w:p>
          <w:p w14:paraId="6C7C18A0" w14:textId="77777777" w:rsidR="00592DB3" w:rsidRPr="00C372A6" w:rsidRDefault="00592DB3" w:rsidP="009502B8">
            <w:pPr>
              <w:jc w:val="center"/>
              <w:rPr>
                <w:rFonts w:ascii="Arial Narrow"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6FC99939" w14:textId="77777777" w:rsidR="00592DB3" w:rsidRPr="00C372A6" w:rsidRDefault="00592DB3" w:rsidP="009502B8">
            <w:pPr>
              <w:snapToGrid w:val="0"/>
              <w:jc w:val="center"/>
              <w:rPr>
                <w:rFonts w:ascii="Arial Narrow" w:eastAsia="MS Mincho" w:hAnsi="Arial Narrow" w:cs="Arial Narrow"/>
                <w:b/>
                <w:sz w:val="28"/>
                <w:szCs w:val="28"/>
              </w:rPr>
            </w:pPr>
          </w:p>
        </w:tc>
      </w:tr>
      <w:tr w:rsidR="00592DB3" w:rsidRPr="00C372A6" w14:paraId="7066B3F6" w14:textId="77777777" w:rsidTr="009502B8">
        <w:tc>
          <w:tcPr>
            <w:tcW w:w="893" w:type="dxa"/>
            <w:tcBorders>
              <w:top w:val="single" w:sz="4" w:space="0" w:color="000000"/>
              <w:left w:val="single" w:sz="4" w:space="0" w:color="000000"/>
              <w:bottom w:val="single" w:sz="4" w:space="0" w:color="000000"/>
            </w:tcBorders>
          </w:tcPr>
          <w:p w14:paraId="66610387" w14:textId="77777777" w:rsidR="00592DB3" w:rsidRPr="00C372A6" w:rsidRDefault="00592DB3"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32D14330" w14:textId="77777777" w:rsidR="00592DB3" w:rsidRPr="00C372A6" w:rsidRDefault="00592DB3"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210B468E" w14:textId="77777777" w:rsidR="00592DB3" w:rsidRPr="00C372A6" w:rsidRDefault="00592DB3" w:rsidP="009502B8">
            <w:pPr>
              <w:snapToGrid w:val="0"/>
              <w:jc w:val="center"/>
              <w:rPr>
                <w:rFonts w:ascii="Arial Narrow" w:eastAsia="MS Mincho" w:hAnsi="Arial Narrow" w:cs="Arial Narrow"/>
                <w:b/>
                <w:sz w:val="28"/>
                <w:szCs w:val="28"/>
              </w:rPr>
            </w:pPr>
          </w:p>
          <w:p w14:paraId="489E7F51" w14:textId="77777777" w:rsidR="00592DB3" w:rsidRPr="00C372A6" w:rsidRDefault="00592DB3" w:rsidP="009502B8">
            <w:pPr>
              <w:jc w:val="center"/>
              <w:rPr>
                <w:rFonts w:ascii="Arial Narrow"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03871614" w14:textId="77777777" w:rsidR="00592DB3" w:rsidRPr="00C372A6" w:rsidRDefault="00592DB3" w:rsidP="009502B8">
            <w:pPr>
              <w:snapToGrid w:val="0"/>
              <w:jc w:val="center"/>
              <w:rPr>
                <w:rFonts w:ascii="Arial Narrow" w:eastAsia="MS Mincho" w:hAnsi="Arial Narrow" w:cs="Arial Narrow"/>
                <w:b/>
                <w:sz w:val="28"/>
                <w:szCs w:val="28"/>
              </w:rPr>
            </w:pPr>
          </w:p>
        </w:tc>
      </w:tr>
      <w:tr w:rsidR="00592DB3" w:rsidRPr="00C372A6" w14:paraId="04FF9507" w14:textId="77777777" w:rsidTr="009502B8">
        <w:tc>
          <w:tcPr>
            <w:tcW w:w="893" w:type="dxa"/>
            <w:tcBorders>
              <w:top w:val="single" w:sz="4" w:space="0" w:color="000000"/>
              <w:left w:val="single" w:sz="4" w:space="0" w:color="000000"/>
              <w:bottom w:val="single" w:sz="4" w:space="0" w:color="000000"/>
            </w:tcBorders>
          </w:tcPr>
          <w:p w14:paraId="2F12D523" w14:textId="77777777" w:rsidR="00592DB3" w:rsidRPr="00C372A6" w:rsidRDefault="00592DB3"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0087616E" w14:textId="77777777" w:rsidR="00592DB3" w:rsidRPr="00C372A6" w:rsidRDefault="00592DB3"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64B177E6" w14:textId="77777777" w:rsidR="00592DB3" w:rsidRPr="00C372A6" w:rsidRDefault="00592DB3" w:rsidP="009502B8">
            <w:pPr>
              <w:snapToGrid w:val="0"/>
              <w:jc w:val="center"/>
              <w:rPr>
                <w:rFonts w:ascii="Arial Narrow" w:eastAsia="MS Mincho" w:hAnsi="Arial Narrow" w:cs="Arial Narrow"/>
                <w:b/>
                <w:sz w:val="28"/>
                <w:szCs w:val="28"/>
              </w:rPr>
            </w:pPr>
          </w:p>
          <w:p w14:paraId="0751A294" w14:textId="77777777" w:rsidR="00592DB3" w:rsidRPr="00C372A6" w:rsidRDefault="00592DB3" w:rsidP="009502B8">
            <w:pPr>
              <w:jc w:val="center"/>
              <w:rPr>
                <w:rFonts w:ascii="Arial Narrow"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61D6B58C" w14:textId="77777777" w:rsidR="00592DB3" w:rsidRPr="00C372A6" w:rsidRDefault="00592DB3" w:rsidP="009502B8">
            <w:pPr>
              <w:snapToGrid w:val="0"/>
              <w:jc w:val="center"/>
              <w:rPr>
                <w:rFonts w:ascii="Arial Narrow" w:eastAsia="MS Mincho" w:hAnsi="Arial Narrow" w:cs="Arial Narrow"/>
                <w:b/>
                <w:sz w:val="28"/>
                <w:szCs w:val="28"/>
              </w:rPr>
            </w:pPr>
          </w:p>
        </w:tc>
      </w:tr>
      <w:tr w:rsidR="00592DB3" w:rsidRPr="00C372A6" w14:paraId="68AE5555" w14:textId="77777777" w:rsidTr="009502B8">
        <w:tc>
          <w:tcPr>
            <w:tcW w:w="893" w:type="dxa"/>
            <w:tcBorders>
              <w:top w:val="single" w:sz="4" w:space="0" w:color="000000"/>
              <w:left w:val="single" w:sz="4" w:space="0" w:color="000000"/>
              <w:bottom w:val="single" w:sz="4" w:space="0" w:color="000000"/>
            </w:tcBorders>
          </w:tcPr>
          <w:p w14:paraId="5C04E6DD" w14:textId="77777777" w:rsidR="00592DB3" w:rsidRPr="00C372A6" w:rsidRDefault="00592DB3"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43198467" w14:textId="77777777" w:rsidR="00592DB3" w:rsidRPr="00C372A6" w:rsidRDefault="00592DB3"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44F92E45" w14:textId="77777777" w:rsidR="00592DB3" w:rsidRPr="00C372A6" w:rsidRDefault="00592DB3" w:rsidP="009502B8">
            <w:pPr>
              <w:snapToGrid w:val="0"/>
              <w:jc w:val="center"/>
              <w:rPr>
                <w:rFonts w:ascii="Arial Narrow" w:eastAsia="MS Mincho" w:hAnsi="Arial Narrow" w:cs="Arial Narrow"/>
                <w:b/>
                <w:sz w:val="28"/>
                <w:szCs w:val="28"/>
              </w:rPr>
            </w:pPr>
          </w:p>
          <w:p w14:paraId="2670F884" w14:textId="77777777" w:rsidR="00592DB3" w:rsidRPr="00C372A6" w:rsidRDefault="00592DB3" w:rsidP="009502B8">
            <w:pPr>
              <w:jc w:val="center"/>
              <w:rPr>
                <w:rFonts w:ascii="Arial Narrow"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56FAA58F" w14:textId="77777777" w:rsidR="00592DB3" w:rsidRPr="00C372A6" w:rsidRDefault="00592DB3" w:rsidP="009502B8">
            <w:pPr>
              <w:snapToGrid w:val="0"/>
              <w:jc w:val="center"/>
              <w:rPr>
                <w:rFonts w:ascii="Arial Narrow" w:eastAsia="MS Mincho" w:hAnsi="Arial Narrow" w:cs="Arial Narrow"/>
                <w:b/>
                <w:sz w:val="28"/>
                <w:szCs w:val="28"/>
              </w:rPr>
            </w:pPr>
          </w:p>
        </w:tc>
      </w:tr>
      <w:tr w:rsidR="00592DB3" w:rsidRPr="00C372A6" w14:paraId="583FAB67" w14:textId="77777777" w:rsidTr="009502B8">
        <w:tc>
          <w:tcPr>
            <w:tcW w:w="893" w:type="dxa"/>
            <w:tcBorders>
              <w:top w:val="single" w:sz="4" w:space="0" w:color="000000"/>
              <w:left w:val="single" w:sz="4" w:space="0" w:color="000000"/>
              <w:bottom w:val="single" w:sz="4" w:space="0" w:color="000000"/>
            </w:tcBorders>
          </w:tcPr>
          <w:p w14:paraId="030C9DC9" w14:textId="77777777" w:rsidR="00592DB3" w:rsidRPr="00C372A6" w:rsidRDefault="00592DB3"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160DDDD2" w14:textId="77777777" w:rsidR="00592DB3" w:rsidRPr="00C372A6" w:rsidRDefault="00592DB3"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2D0384CE" w14:textId="77777777" w:rsidR="00592DB3" w:rsidRPr="00C372A6" w:rsidRDefault="00592DB3" w:rsidP="009502B8">
            <w:pPr>
              <w:snapToGrid w:val="0"/>
              <w:jc w:val="center"/>
              <w:rPr>
                <w:rFonts w:ascii="Arial Narrow" w:eastAsia="MS Mincho" w:hAnsi="Arial Narrow" w:cs="Arial Narrow"/>
                <w:b/>
                <w:sz w:val="28"/>
                <w:szCs w:val="28"/>
              </w:rPr>
            </w:pPr>
          </w:p>
          <w:p w14:paraId="7B0A9033" w14:textId="77777777" w:rsidR="00592DB3" w:rsidRPr="00C372A6" w:rsidRDefault="00592DB3" w:rsidP="009502B8">
            <w:pPr>
              <w:jc w:val="center"/>
              <w:rPr>
                <w:rFonts w:ascii="Arial Narrow"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5F4AEBA9" w14:textId="77777777" w:rsidR="00592DB3" w:rsidRPr="00C372A6" w:rsidRDefault="00592DB3" w:rsidP="009502B8">
            <w:pPr>
              <w:snapToGrid w:val="0"/>
              <w:jc w:val="center"/>
              <w:rPr>
                <w:rFonts w:ascii="Arial Narrow" w:eastAsia="MS Mincho" w:hAnsi="Arial Narrow" w:cs="Arial Narrow"/>
                <w:b/>
                <w:sz w:val="28"/>
                <w:szCs w:val="28"/>
              </w:rPr>
            </w:pPr>
          </w:p>
        </w:tc>
      </w:tr>
      <w:tr w:rsidR="00592DB3" w:rsidRPr="00C372A6" w14:paraId="18DF9A3C" w14:textId="77777777" w:rsidTr="009502B8">
        <w:tc>
          <w:tcPr>
            <w:tcW w:w="893" w:type="dxa"/>
            <w:tcBorders>
              <w:top w:val="single" w:sz="4" w:space="0" w:color="000000"/>
              <w:left w:val="single" w:sz="4" w:space="0" w:color="000000"/>
              <w:bottom w:val="single" w:sz="4" w:space="0" w:color="000000"/>
            </w:tcBorders>
          </w:tcPr>
          <w:p w14:paraId="1D9F75AC" w14:textId="77777777" w:rsidR="00592DB3" w:rsidRPr="00C372A6" w:rsidRDefault="00592DB3"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09720681" w14:textId="77777777" w:rsidR="00592DB3" w:rsidRPr="00C372A6" w:rsidRDefault="00592DB3"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76702D1F" w14:textId="77777777" w:rsidR="00592DB3" w:rsidRPr="00C372A6" w:rsidRDefault="00592DB3" w:rsidP="009502B8">
            <w:pPr>
              <w:snapToGrid w:val="0"/>
              <w:jc w:val="center"/>
              <w:rPr>
                <w:rFonts w:ascii="Arial Narrow" w:eastAsia="MS Mincho" w:hAnsi="Arial Narrow" w:cs="Arial Narrow"/>
                <w:b/>
                <w:sz w:val="28"/>
                <w:szCs w:val="28"/>
              </w:rPr>
            </w:pPr>
          </w:p>
          <w:p w14:paraId="487FE92F" w14:textId="77777777" w:rsidR="00592DB3" w:rsidRPr="00C372A6" w:rsidRDefault="00592DB3" w:rsidP="009502B8">
            <w:pPr>
              <w:jc w:val="center"/>
              <w:rPr>
                <w:rFonts w:ascii="Arial Narrow"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6E2191B4" w14:textId="77777777" w:rsidR="00592DB3" w:rsidRPr="00C372A6" w:rsidRDefault="00592DB3" w:rsidP="009502B8">
            <w:pPr>
              <w:snapToGrid w:val="0"/>
              <w:jc w:val="center"/>
              <w:rPr>
                <w:rFonts w:ascii="Arial Narrow" w:eastAsia="MS Mincho" w:hAnsi="Arial Narrow" w:cs="Arial Narrow"/>
                <w:b/>
                <w:sz w:val="28"/>
                <w:szCs w:val="28"/>
              </w:rPr>
            </w:pPr>
          </w:p>
        </w:tc>
      </w:tr>
      <w:tr w:rsidR="00592DB3" w:rsidRPr="00C372A6" w14:paraId="3A6A796B" w14:textId="77777777" w:rsidTr="009502B8">
        <w:tc>
          <w:tcPr>
            <w:tcW w:w="893" w:type="dxa"/>
            <w:tcBorders>
              <w:top w:val="single" w:sz="4" w:space="0" w:color="000000"/>
              <w:left w:val="single" w:sz="4" w:space="0" w:color="000000"/>
              <w:bottom w:val="single" w:sz="4" w:space="0" w:color="000000"/>
            </w:tcBorders>
          </w:tcPr>
          <w:p w14:paraId="552C9C61" w14:textId="77777777" w:rsidR="00592DB3" w:rsidRPr="00C372A6" w:rsidRDefault="00592DB3"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2B781200" w14:textId="77777777" w:rsidR="00592DB3" w:rsidRPr="00C372A6" w:rsidRDefault="00592DB3"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38575EE5" w14:textId="77777777" w:rsidR="00592DB3" w:rsidRPr="00C372A6" w:rsidRDefault="00592DB3" w:rsidP="009502B8">
            <w:pPr>
              <w:snapToGrid w:val="0"/>
              <w:jc w:val="center"/>
              <w:rPr>
                <w:rFonts w:ascii="Arial Narrow" w:eastAsia="MS Mincho" w:hAnsi="Arial Narrow" w:cs="Arial Narrow"/>
                <w:b/>
                <w:sz w:val="28"/>
                <w:szCs w:val="28"/>
              </w:rPr>
            </w:pPr>
          </w:p>
          <w:p w14:paraId="0AE04951" w14:textId="77777777" w:rsidR="00592DB3" w:rsidRPr="00C372A6" w:rsidRDefault="00592DB3" w:rsidP="009502B8">
            <w:pPr>
              <w:jc w:val="center"/>
              <w:rPr>
                <w:rFonts w:ascii="Arial Narrow"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59695EE6" w14:textId="77777777" w:rsidR="00592DB3" w:rsidRPr="00C372A6" w:rsidRDefault="00592DB3" w:rsidP="009502B8">
            <w:pPr>
              <w:snapToGrid w:val="0"/>
              <w:jc w:val="center"/>
              <w:rPr>
                <w:rFonts w:ascii="Arial Narrow" w:eastAsia="MS Mincho" w:hAnsi="Arial Narrow" w:cs="Arial Narrow"/>
                <w:b/>
                <w:sz w:val="28"/>
                <w:szCs w:val="28"/>
              </w:rPr>
            </w:pPr>
          </w:p>
        </w:tc>
      </w:tr>
      <w:tr w:rsidR="00592DB3" w:rsidRPr="00C372A6" w14:paraId="4E2A6F52" w14:textId="77777777" w:rsidTr="009502B8">
        <w:tc>
          <w:tcPr>
            <w:tcW w:w="893" w:type="dxa"/>
            <w:tcBorders>
              <w:top w:val="single" w:sz="4" w:space="0" w:color="000000"/>
              <w:left w:val="single" w:sz="4" w:space="0" w:color="000000"/>
              <w:bottom w:val="single" w:sz="4" w:space="0" w:color="000000"/>
            </w:tcBorders>
          </w:tcPr>
          <w:p w14:paraId="21C0CBE0" w14:textId="77777777" w:rsidR="00592DB3" w:rsidRPr="00C372A6" w:rsidRDefault="00592DB3"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7C5A0738" w14:textId="77777777" w:rsidR="00592DB3" w:rsidRPr="00C372A6" w:rsidRDefault="00592DB3"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24D3EE0D" w14:textId="77777777" w:rsidR="00592DB3" w:rsidRPr="00C372A6" w:rsidRDefault="00592DB3" w:rsidP="009502B8">
            <w:pPr>
              <w:snapToGrid w:val="0"/>
              <w:jc w:val="center"/>
              <w:rPr>
                <w:rFonts w:ascii="Arial Narrow" w:eastAsia="MS Mincho" w:hAnsi="Arial Narrow" w:cs="Arial Narrow"/>
                <w:b/>
                <w:sz w:val="28"/>
                <w:szCs w:val="28"/>
              </w:rPr>
            </w:pPr>
          </w:p>
          <w:p w14:paraId="71602231" w14:textId="77777777" w:rsidR="00592DB3" w:rsidRPr="00C372A6" w:rsidRDefault="00592DB3" w:rsidP="009502B8">
            <w:pPr>
              <w:jc w:val="center"/>
              <w:rPr>
                <w:rFonts w:ascii="Arial Narrow"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100C97DB" w14:textId="77777777" w:rsidR="00592DB3" w:rsidRPr="00C372A6" w:rsidRDefault="00592DB3" w:rsidP="009502B8">
            <w:pPr>
              <w:snapToGrid w:val="0"/>
              <w:jc w:val="center"/>
              <w:rPr>
                <w:rFonts w:ascii="Arial Narrow" w:eastAsia="MS Mincho" w:hAnsi="Arial Narrow" w:cs="Arial Narrow"/>
                <w:b/>
                <w:sz w:val="28"/>
                <w:szCs w:val="28"/>
              </w:rPr>
            </w:pPr>
          </w:p>
        </w:tc>
      </w:tr>
      <w:tr w:rsidR="00592DB3" w:rsidRPr="00C372A6" w14:paraId="6133D8A2" w14:textId="77777777" w:rsidTr="009502B8">
        <w:tc>
          <w:tcPr>
            <w:tcW w:w="893" w:type="dxa"/>
            <w:tcBorders>
              <w:top w:val="single" w:sz="4" w:space="0" w:color="000000"/>
              <w:left w:val="single" w:sz="4" w:space="0" w:color="000000"/>
              <w:bottom w:val="single" w:sz="4" w:space="0" w:color="000000"/>
            </w:tcBorders>
          </w:tcPr>
          <w:p w14:paraId="4CFD708F" w14:textId="77777777" w:rsidR="00592DB3" w:rsidRPr="00C372A6" w:rsidRDefault="00592DB3"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31D3FAA3" w14:textId="77777777" w:rsidR="00592DB3" w:rsidRPr="00C372A6" w:rsidRDefault="00592DB3"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2C430D24" w14:textId="77777777" w:rsidR="00592DB3" w:rsidRPr="00C372A6" w:rsidRDefault="00592DB3" w:rsidP="009502B8">
            <w:pPr>
              <w:snapToGrid w:val="0"/>
              <w:jc w:val="center"/>
              <w:rPr>
                <w:rFonts w:ascii="Arial Narrow" w:eastAsia="MS Mincho" w:hAnsi="Arial Narrow" w:cs="Arial Narrow"/>
                <w:b/>
                <w:sz w:val="28"/>
                <w:szCs w:val="28"/>
              </w:rPr>
            </w:pPr>
          </w:p>
          <w:p w14:paraId="235BF453" w14:textId="77777777" w:rsidR="00592DB3" w:rsidRPr="00C372A6" w:rsidRDefault="00592DB3" w:rsidP="009502B8">
            <w:pPr>
              <w:jc w:val="center"/>
              <w:rPr>
                <w:rFonts w:ascii="Arial Narrow"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19B8CA41" w14:textId="77777777" w:rsidR="00592DB3" w:rsidRPr="00C372A6" w:rsidRDefault="00592DB3" w:rsidP="009502B8">
            <w:pPr>
              <w:snapToGrid w:val="0"/>
              <w:jc w:val="center"/>
              <w:rPr>
                <w:rFonts w:ascii="Arial Narrow" w:eastAsia="MS Mincho" w:hAnsi="Arial Narrow" w:cs="Arial Narrow"/>
                <w:b/>
                <w:sz w:val="28"/>
                <w:szCs w:val="28"/>
              </w:rPr>
            </w:pPr>
          </w:p>
        </w:tc>
      </w:tr>
      <w:tr w:rsidR="00592DB3" w:rsidRPr="00C372A6" w14:paraId="5857E0EC" w14:textId="77777777" w:rsidTr="009502B8">
        <w:tc>
          <w:tcPr>
            <w:tcW w:w="893" w:type="dxa"/>
            <w:tcBorders>
              <w:top w:val="single" w:sz="4" w:space="0" w:color="000000"/>
              <w:left w:val="single" w:sz="4" w:space="0" w:color="000000"/>
              <w:bottom w:val="single" w:sz="4" w:space="0" w:color="000000"/>
            </w:tcBorders>
          </w:tcPr>
          <w:p w14:paraId="1D0AA176" w14:textId="77777777" w:rsidR="00592DB3" w:rsidRPr="00C372A6" w:rsidRDefault="00592DB3"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3BE0E0D8" w14:textId="77777777" w:rsidR="00592DB3" w:rsidRPr="00C372A6" w:rsidRDefault="00592DB3"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3D1E820E" w14:textId="77777777" w:rsidR="00592DB3" w:rsidRPr="00C372A6" w:rsidRDefault="00592DB3" w:rsidP="009502B8">
            <w:pPr>
              <w:snapToGrid w:val="0"/>
              <w:jc w:val="center"/>
              <w:rPr>
                <w:rFonts w:ascii="Arial Narrow" w:eastAsia="MS Mincho" w:hAnsi="Arial Narrow" w:cs="Arial Narrow"/>
                <w:b/>
                <w:sz w:val="28"/>
                <w:szCs w:val="28"/>
              </w:rPr>
            </w:pPr>
          </w:p>
          <w:p w14:paraId="567026C8" w14:textId="77777777" w:rsidR="00592DB3" w:rsidRPr="00C372A6" w:rsidRDefault="00592DB3" w:rsidP="009502B8">
            <w:pPr>
              <w:jc w:val="center"/>
              <w:rPr>
                <w:rFonts w:ascii="Arial Narrow"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278C9C60" w14:textId="77777777" w:rsidR="00592DB3" w:rsidRPr="00C372A6" w:rsidRDefault="00592DB3" w:rsidP="009502B8">
            <w:pPr>
              <w:snapToGrid w:val="0"/>
              <w:jc w:val="center"/>
              <w:rPr>
                <w:rFonts w:ascii="Arial Narrow" w:eastAsia="MS Mincho" w:hAnsi="Arial Narrow" w:cs="Arial Narrow"/>
                <w:b/>
                <w:sz w:val="28"/>
                <w:szCs w:val="28"/>
              </w:rPr>
            </w:pPr>
          </w:p>
        </w:tc>
      </w:tr>
      <w:tr w:rsidR="00592DB3" w:rsidRPr="00C372A6" w14:paraId="75DA2E43" w14:textId="77777777" w:rsidTr="009502B8">
        <w:tc>
          <w:tcPr>
            <w:tcW w:w="893" w:type="dxa"/>
            <w:tcBorders>
              <w:top w:val="single" w:sz="4" w:space="0" w:color="000000"/>
              <w:left w:val="single" w:sz="4" w:space="0" w:color="000000"/>
              <w:bottom w:val="single" w:sz="4" w:space="0" w:color="000000"/>
            </w:tcBorders>
          </w:tcPr>
          <w:p w14:paraId="3E5C939A" w14:textId="77777777" w:rsidR="00592DB3" w:rsidRPr="00C372A6" w:rsidRDefault="00592DB3"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00975AEF" w14:textId="77777777" w:rsidR="00592DB3" w:rsidRPr="00C372A6" w:rsidRDefault="00592DB3"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49882A16" w14:textId="77777777" w:rsidR="00592DB3" w:rsidRPr="00C372A6" w:rsidRDefault="00592DB3" w:rsidP="009502B8">
            <w:pPr>
              <w:snapToGrid w:val="0"/>
              <w:jc w:val="center"/>
              <w:rPr>
                <w:rFonts w:ascii="Arial Narrow" w:eastAsia="MS Mincho" w:hAnsi="Arial Narrow" w:cs="Arial Narrow"/>
                <w:b/>
                <w:sz w:val="28"/>
                <w:szCs w:val="28"/>
              </w:rPr>
            </w:pPr>
          </w:p>
          <w:p w14:paraId="07C36EBB" w14:textId="77777777" w:rsidR="00592DB3" w:rsidRPr="00C372A6" w:rsidRDefault="00592DB3" w:rsidP="009502B8">
            <w:pPr>
              <w:jc w:val="center"/>
              <w:rPr>
                <w:rFonts w:ascii="Arial Narrow"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6F7BA79D" w14:textId="77777777" w:rsidR="00592DB3" w:rsidRPr="00C372A6" w:rsidRDefault="00592DB3" w:rsidP="009502B8">
            <w:pPr>
              <w:snapToGrid w:val="0"/>
              <w:jc w:val="center"/>
              <w:rPr>
                <w:rFonts w:ascii="Arial Narrow" w:eastAsia="MS Mincho" w:hAnsi="Arial Narrow" w:cs="Arial Narrow"/>
                <w:b/>
                <w:sz w:val="28"/>
                <w:szCs w:val="28"/>
              </w:rPr>
            </w:pPr>
          </w:p>
        </w:tc>
      </w:tr>
      <w:tr w:rsidR="00592DB3" w:rsidRPr="00C372A6" w14:paraId="48C61533" w14:textId="77777777" w:rsidTr="009502B8">
        <w:tc>
          <w:tcPr>
            <w:tcW w:w="893" w:type="dxa"/>
            <w:tcBorders>
              <w:top w:val="single" w:sz="4" w:space="0" w:color="000000"/>
              <w:left w:val="single" w:sz="4" w:space="0" w:color="000000"/>
              <w:bottom w:val="single" w:sz="4" w:space="0" w:color="000000"/>
            </w:tcBorders>
          </w:tcPr>
          <w:p w14:paraId="4E2DC6D6" w14:textId="77777777" w:rsidR="00592DB3" w:rsidRPr="00C372A6" w:rsidRDefault="00592DB3"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4D31DB61" w14:textId="77777777" w:rsidR="00592DB3" w:rsidRPr="00C372A6" w:rsidRDefault="00592DB3"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0CB9F7B3" w14:textId="77777777" w:rsidR="00592DB3" w:rsidRPr="00C372A6" w:rsidRDefault="00592DB3" w:rsidP="009502B8">
            <w:pPr>
              <w:snapToGrid w:val="0"/>
              <w:jc w:val="center"/>
              <w:rPr>
                <w:rFonts w:ascii="Arial Narrow" w:eastAsia="MS Mincho" w:hAnsi="Arial Narrow" w:cs="Arial Narrow"/>
                <w:b/>
                <w:sz w:val="28"/>
                <w:szCs w:val="28"/>
              </w:rPr>
            </w:pPr>
          </w:p>
          <w:p w14:paraId="5560513D" w14:textId="77777777" w:rsidR="00592DB3" w:rsidRPr="00C372A6" w:rsidRDefault="00592DB3" w:rsidP="009502B8">
            <w:pPr>
              <w:jc w:val="center"/>
              <w:rPr>
                <w:rFonts w:ascii="Arial Narrow"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6B196860" w14:textId="77777777" w:rsidR="00592DB3" w:rsidRPr="00C372A6" w:rsidRDefault="00592DB3" w:rsidP="009502B8">
            <w:pPr>
              <w:snapToGrid w:val="0"/>
              <w:jc w:val="center"/>
              <w:rPr>
                <w:rFonts w:ascii="Arial Narrow" w:eastAsia="MS Mincho" w:hAnsi="Arial Narrow" w:cs="Arial Narrow"/>
                <w:b/>
                <w:sz w:val="28"/>
                <w:szCs w:val="28"/>
              </w:rPr>
            </w:pPr>
          </w:p>
        </w:tc>
      </w:tr>
      <w:tr w:rsidR="00592DB3" w:rsidRPr="00C372A6" w14:paraId="06E5336A" w14:textId="77777777" w:rsidTr="009502B8">
        <w:tc>
          <w:tcPr>
            <w:tcW w:w="893" w:type="dxa"/>
            <w:tcBorders>
              <w:top w:val="single" w:sz="4" w:space="0" w:color="000000"/>
              <w:left w:val="single" w:sz="4" w:space="0" w:color="000000"/>
              <w:bottom w:val="single" w:sz="4" w:space="0" w:color="000000"/>
            </w:tcBorders>
          </w:tcPr>
          <w:p w14:paraId="722815C6" w14:textId="77777777" w:rsidR="00592DB3" w:rsidRPr="00C372A6" w:rsidRDefault="00592DB3"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06D83B61" w14:textId="77777777" w:rsidR="00592DB3" w:rsidRPr="00C372A6" w:rsidRDefault="00592DB3"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306AA1D3" w14:textId="77777777" w:rsidR="00592DB3" w:rsidRPr="00C372A6" w:rsidRDefault="00592DB3" w:rsidP="009502B8">
            <w:pPr>
              <w:snapToGrid w:val="0"/>
              <w:jc w:val="center"/>
              <w:rPr>
                <w:rFonts w:ascii="Arial Narrow" w:eastAsia="MS Mincho" w:hAnsi="Arial Narrow" w:cs="Arial Narrow"/>
                <w:b/>
                <w:sz w:val="28"/>
                <w:szCs w:val="28"/>
              </w:rPr>
            </w:pPr>
          </w:p>
          <w:p w14:paraId="05CEEE3A" w14:textId="77777777" w:rsidR="00592DB3" w:rsidRPr="00C372A6" w:rsidRDefault="00592DB3" w:rsidP="009502B8">
            <w:pPr>
              <w:jc w:val="center"/>
              <w:rPr>
                <w:rFonts w:ascii="Arial Narrow"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6E95E0FD" w14:textId="77777777" w:rsidR="00592DB3" w:rsidRPr="00C372A6" w:rsidRDefault="00592DB3" w:rsidP="009502B8">
            <w:pPr>
              <w:snapToGrid w:val="0"/>
              <w:jc w:val="center"/>
              <w:rPr>
                <w:rFonts w:ascii="Arial Narrow" w:eastAsia="MS Mincho" w:hAnsi="Arial Narrow" w:cs="Arial Narrow"/>
                <w:b/>
                <w:sz w:val="28"/>
                <w:szCs w:val="28"/>
              </w:rPr>
            </w:pPr>
          </w:p>
        </w:tc>
      </w:tr>
      <w:tr w:rsidR="00592DB3" w:rsidRPr="00C372A6" w14:paraId="13F06648" w14:textId="77777777" w:rsidTr="009502B8">
        <w:tc>
          <w:tcPr>
            <w:tcW w:w="893" w:type="dxa"/>
            <w:tcBorders>
              <w:top w:val="single" w:sz="4" w:space="0" w:color="000000"/>
              <w:left w:val="single" w:sz="4" w:space="0" w:color="000000"/>
              <w:bottom w:val="single" w:sz="4" w:space="0" w:color="000000"/>
            </w:tcBorders>
          </w:tcPr>
          <w:p w14:paraId="21F21365" w14:textId="77777777" w:rsidR="00592DB3" w:rsidRPr="00C372A6" w:rsidRDefault="00592DB3"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5EDED1C5" w14:textId="77777777" w:rsidR="00592DB3" w:rsidRPr="00C372A6" w:rsidRDefault="00592DB3"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252268BB" w14:textId="77777777" w:rsidR="00592DB3" w:rsidRPr="00C372A6" w:rsidRDefault="00592DB3" w:rsidP="009502B8">
            <w:pPr>
              <w:snapToGrid w:val="0"/>
              <w:jc w:val="center"/>
              <w:rPr>
                <w:rFonts w:ascii="Arial Narrow" w:eastAsia="MS Mincho" w:hAnsi="Arial Narrow" w:cs="Arial Narrow"/>
                <w:b/>
                <w:sz w:val="28"/>
                <w:szCs w:val="28"/>
              </w:rPr>
            </w:pPr>
          </w:p>
          <w:p w14:paraId="34189292" w14:textId="77777777" w:rsidR="00592DB3" w:rsidRPr="00C372A6" w:rsidRDefault="00592DB3" w:rsidP="009502B8">
            <w:pPr>
              <w:jc w:val="center"/>
              <w:rPr>
                <w:rFonts w:ascii="Arial Narrow"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2DBBAD34" w14:textId="77777777" w:rsidR="00592DB3" w:rsidRPr="00C372A6" w:rsidRDefault="00592DB3" w:rsidP="009502B8">
            <w:pPr>
              <w:snapToGrid w:val="0"/>
              <w:jc w:val="center"/>
              <w:rPr>
                <w:rFonts w:ascii="Arial Narrow" w:eastAsia="MS Mincho" w:hAnsi="Arial Narrow" w:cs="Arial Narrow"/>
                <w:b/>
                <w:sz w:val="28"/>
                <w:szCs w:val="28"/>
              </w:rPr>
            </w:pPr>
          </w:p>
        </w:tc>
      </w:tr>
      <w:tr w:rsidR="00592DB3" w:rsidRPr="00C372A6" w14:paraId="5E450EE7" w14:textId="77777777" w:rsidTr="009502B8">
        <w:tc>
          <w:tcPr>
            <w:tcW w:w="893" w:type="dxa"/>
            <w:tcBorders>
              <w:top w:val="single" w:sz="4" w:space="0" w:color="000000"/>
              <w:left w:val="single" w:sz="4" w:space="0" w:color="000000"/>
              <w:bottom w:val="single" w:sz="4" w:space="0" w:color="000000"/>
            </w:tcBorders>
          </w:tcPr>
          <w:p w14:paraId="08908917" w14:textId="77777777" w:rsidR="00592DB3" w:rsidRPr="00C372A6" w:rsidRDefault="00592DB3"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2BE7DBEC" w14:textId="77777777" w:rsidR="00592DB3" w:rsidRPr="00C372A6" w:rsidRDefault="00592DB3"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78ECB8C9" w14:textId="77777777" w:rsidR="00592DB3" w:rsidRPr="00C372A6" w:rsidRDefault="00592DB3" w:rsidP="009502B8">
            <w:pPr>
              <w:snapToGrid w:val="0"/>
              <w:jc w:val="center"/>
              <w:rPr>
                <w:rFonts w:ascii="Arial Narrow" w:eastAsia="MS Mincho" w:hAnsi="Arial Narrow" w:cs="Arial Narrow"/>
                <w:b/>
                <w:sz w:val="28"/>
                <w:szCs w:val="28"/>
              </w:rPr>
            </w:pPr>
          </w:p>
          <w:p w14:paraId="2C79DEDF" w14:textId="77777777" w:rsidR="00592DB3" w:rsidRPr="00C372A6" w:rsidRDefault="00592DB3" w:rsidP="009502B8">
            <w:pPr>
              <w:jc w:val="center"/>
              <w:rPr>
                <w:rFonts w:ascii="Arial Narrow"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5A67E18F" w14:textId="77777777" w:rsidR="00592DB3" w:rsidRPr="00C372A6" w:rsidRDefault="00592DB3" w:rsidP="009502B8">
            <w:pPr>
              <w:snapToGrid w:val="0"/>
              <w:jc w:val="center"/>
              <w:rPr>
                <w:rFonts w:ascii="Arial Narrow" w:eastAsia="MS Mincho" w:hAnsi="Arial Narrow" w:cs="Arial Narrow"/>
                <w:b/>
                <w:sz w:val="28"/>
                <w:szCs w:val="28"/>
              </w:rPr>
            </w:pPr>
          </w:p>
        </w:tc>
      </w:tr>
      <w:tr w:rsidR="00592DB3" w:rsidRPr="00C372A6" w14:paraId="3F9E5EB7" w14:textId="77777777" w:rsidTr="009502B8">
        <w:tc>
          <w:tcPr>
            <w:tcW w:w="893" w:type="dxa"/>
            <w:tcBorders>
              <w:top w:val="single" w:sz="4" w:space="0" w:color="000000"/>
              <w:left w:val="single" w:sz="4" w:space="0" w:color="000000"/>
              <w:bottom w:val="single" w:sz="4" w:space="0" w:color="000000"/>
            </w:tcBorders>
          </w:tcPr>
          <w:p w14:paraId="1A599999" w14:textId="77777777" w:rsidR="00592DB3" w:rsidRPr="00C372A6" w:rsidRDefault="00592DB3"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7A6648B6" w14:textId="77777777" w:rsidR="00592DB3" w:rsidRPr="00C372A6" w:rsidRDefault="00592DB3"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41006EEB" w14:textId="77777777" w:rsidR="00592DB3" w:rsidRPr="00C372A6" w:rsidRDefault="00592DB3" w:rsidP="009502B8">
            <w:pPr>
              <w:snapToGrid w:val="0"/>
              <w:jc w:val="center"/>
              <w:rPr>
                <w:rFonts w:ascii="Arial Narrow" w:eastAsia="MS Mincho" w:hAnsi="Arial Narrow" w:cs="Arial Narrow"/>
                <w:b/>
                <w:sz w:val="28"/>
                <w:szCs w:val="28"/>
              </w:rPr>
            </w:pPr>
          </w:p>
          <w:p w14:paraId="48AC1080" w14:textId="77777777" w:rsidR="00592DB3" w:rsidRPr="00C372A6" w:rsidRDefault="00592DB3" w:rsidP="009502B8">
            <w:pPr>
              <w:jc w:val="center"/>
              <w:rPr>
                <w:rFonts w:ascii="Arial Narrow"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0C01E442" w14:textId="77777777" w:rsidR="00592DB3" w:rsidRPr="00C372A6" w:rsidRDefault="00592DB3" w:rsidP="009502B8">
            <w:pPr>
              <w:snapToGrid w:val="0"/>
              <w:jc w:val="center"/>
              <w:rPr>
                <w:rFonts w:ascii="Arial Narrow" w:eastAsia="MS Mincho" w:hAnsi="Arial Narrow" w:cs="Arial Narrow"/>
                <w:b/>
                <w:sz w:val="28"/>
                <w:szCs w:val="28"/>
              </w:rPr>
            </w:pPr>
          </w:p>
        </w:tc>
      </w:tr>
      <w:tr w:rsidR="00592DB3" w:rsidRPr="00C372A6" w14:paraId="7DA3003E" w14:textId="77777777" w:rsidTr="009502B8">
        <w:tc>
          <w:tcPr>
            <w:tcW w:w="893" w:type="dxa"/>
            <w:tcBorders>
              <w:top w:val="single" w:sz="4" w:space="0" w:color="000000"/>
              <w:left w:val="single" w:sz="4" w:space="0" w:color="000000"/>
              <w:bottom w:val="single" w:sz="4" w:space="0" w:color="000000"/>
            </w:tcBorders>
          </w:tcPr>
          <w:p w14:paraId="39A468CC" w14:textId="77777777" w:rsidR="00592DB3" w:rsidRPr="00C372A6" w:rsidRDefault="00592DB3"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73553D89" w14:textId="77777777" w:rsidR="00592DB3" w:rsidRPr="00C372A6" w:rsidRDefault="00592DB3"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2826B266" w14:textId="77777777" w:rsidR="00592DB3" w:rsidRPr="00C372A6" w:rsidRDefault="00592DB3" w:rsidP="009502B8">
            <w:pPr>
              <w:snapToGrid w:val="0"/>
              <w:jc w:val="center"/>
              <w:rPr>
                <w:rFonts w:ascii="Arial Narrow" w:eastAsia="MS Mincho" w:hAnsi="Arial Narrow" w:cs="Arial Narrow"/>
                <w:b/>
                <w:sz w:val="28"/>
                <w:szCs w:val="28"/>
              </w:rPr>
            </w:pPr>
          </w:p>
          <w:p w14:paraId="6F96AFD2" w14:textId="77777777" w:rsidR="00592DB3" w:rsidRPr="00C372A6" w:rsidRDefault="00592DB3" w:rsidP="009502B8">
            <w:pPr>
              <w:jc w:val="center"/>
              <w:rPr>
                <w:rFonts w:ascii="Arial Narrow"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02E3F10C" w14:textId="77777777" w:rsidR="00592DB3" w:rsidRPr="00C372A6" w:rsidRDefault="00592DB3" w:rsidP="009502B8">
            <w:pPr>
              <w:snapToGrid w:val="0"/>
              <w:jc w:val="center"/>
              <w:rPr>
                <w:rFonts w:ascii="Arial Narrow" w:eastAsia="MS Mincho" w:hAnsi="Arial Narrow" w:cs="Arial Narrow"/>
                <w:b/>
                <w:sz w:val="28"/>
                <w:szCs w:val="28"/>
              </w:rPr>
            </w:pPr>
          </w:p>
        </w:tc>
      </w:tr>
      <w:tr w:rsidR="00BA77BD" w:rsidRPr="00C372A6" w14:paraId="5C85A32B" w14:textId="77777777" w:rsidTr="009502B8">
        <w:tc>
          <w:tcPr>
            <w:tcW w:w="893" w:type="dxa"/>
            <w:tcBorders>
              <w:top w:val="single" w:sz="4" w:space="0" w:color="000000"/>
              <w:left w:val="single" w:sz="4" w:space="0" w:color="000000"/>
              <w:bottom w:val="single" w:sz="4" w:space="0" w:color="000000"/>
            </w:tcBorders>
          </w:tcPr>
          <w:p w14:paraId="5C8BE6FC"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4ED572E2" w14:textId="77777777" w:rsidR="00BA77BD" w:rsidRDefault="00BA77BD" w:rsidP="009502B8">
            <w:pPr>
              <w:snapToGrid w:val="0"/>
              <w:jc w:val="center"/>
              <w:rPr>
                <w:rFonts w:ascii="Arial Narrow" w:eastAsia="MS Mincho" w:hAnsi="Arial Narrow" w:cs="Arial Narrow"/>
                <w:b/>
                <w:sz w:val="28"/>
                <w:szCs w:val="28"/>
              </w:rPr>
            </w:pPr>
          </w:p>
          <w:p w14:paraId="7E294588" w14:textId="14E9224C"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105D7981"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6D0B1085"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055C7590" w14:textId="77777777" w:rsidTr="009502B8">
        <w:tc>
          <w:tcPr>
            <w:tcW w:w="893" w:type="dxa"/>
            <w:tcBorders>
              <w:top w:val="single" w:sz="4" w:space="0" w:color="000000"/>
              <w:left w:val="single" w:sz="4" w:space="0" w:color="000000"/>
              <w:bottom w:val="single" w:sz="4" w:space="0" w:color="000000"/>
            </w:tcBorders>
          </w:tcPr>
          <w:p w14:paraId="53F14C05"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73EB8285" w14:textId="77777777" w:rsidR="00BA77BD" w:rsidRDefault="00BA77BD" w:rsidP="009502B8">
            <w:pPr>
              <w:snapToGrid w:val="0"/>
              <w:jc w:val="center"/>
              <w:rPr>
                <w:rFonts w:ascii="Arial Narrow" w:eastAsia="MS Mincho" w:hAnsi="Arial Narrow" w:cs="Arial Narrow"/>
                <w:b/>
                <w:sz w:val="28"/>
                <w:szCs w:val="28"/>
              </w:rPr>
            </w:pPr>
          </w:p>
          <w:p w14:paraId="6AFE40AB" w14:textId="6DA5278F"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3703CCB1"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27D083C9"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26D1D83B" w14:textId="77777777" w:rsidTr="009502B8">
        <w:tc>
          <w:tcPr>
            <w:tcW w:w="893" w:type="dxa"/>
            <w:tcBorders>
              <w:top w:val="single" w:sz="4" w:space="0" w:color="000000"/>
              <w:left w:val="single" w:sz="4" w:space="0" w:color="000000"/>
              <w:bottom w:val="single" w:sz="4" w:space="0" w:color="000000"/>
            </w:tcBorders>
          </w:tcPr>
          <w:p w14:paraId="2D04F784"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39EC8C76" w14:textId="77777777" w:rsidR="00BA77BD" w:rsidRDefault="00BA77BD" w:rsidP="009502B8">
            <w:pPr>
              <w:snapToGrid w:val="0"/>
              <w:jc w:val="center"/>
              <w:rPr>
                <w:rFonts w:ascii="Arial Narrow" w:eastAsia="MS Mincho" w:hAnsi="Arial Narrow" w:cs="Arial Narrow"/>
                <w:b/>
                <w:sz w:val="28"/>
                <w:szCs w:val="28"/>
              </w:rPr>
            </w:pPr>
          </w:p>
          <w:p w14:paraId="32985E84" w14:textId="2CFB25F9"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1A6EC672"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26BFCABF"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6A07B459" w14:textId="77777777" w:rsidTr="009502B8">
        <w:tc>
          <w:tcPr>
            <w:tcW w:w="893" w:type="dxa"/>
            <w:tcBorders>
              <w:top w:val="single" w:sz="4" w:space="0" w:color="000000"/>
              <w:left w:val="single" w:sz="4" w:space="0" w:color="000000"/>
              <w:bottom w:val="single" w:sz="4" w:space="0" w:color="000000"/>
            </w:tcBorders>
          </w:tcPr>
          <w:p w14:paraId="56140D84"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0E7FB133" w14:textId="77777777" w:rsidR="00BA77BD" w:rsidRDefault="00BA77BD" w:rsidP="009502B8">
            <w:pPr>
              <w:snapToGrid w:val="0"/>
              <w:jc w:val="center"/>
              <w:rPr>
                <w:rFonts w:ascii="Arial Narrow" w:eastAsia="MS Mincho" w:hAnsi="Arial Narrow" w:cs="Arial Narrow"/>
                <w:b/>
                <w:sz w:val="28"/>
                <w:szCs w:val="28"/>
              </w:rPr>
            </w:pPr>
          </w:p>
          <w:p w14:paraId="5A576A9A" w14:textId="42D55DE3"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66A17421"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5AF0FC30"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19ACE336" w14:textId="77777777" w:rsidTr="009502B8">
        <w:tc>
          <w:tcPr>
            <w:tcW w:w="893" w:type="dxa"/>
            <w:tcBorders>
              <w:top w:val="single" w:sz="4" w:space="0" w:color="000000"/>
              <w:left w:val="single" w:sz="4" w:space="0" w:color="000000"/>
              <w:bottom w:val="single" w:sz="4" w:space="0" w:color="000000"/>
            </w:tcBorders>
          </w:tcPr>
          <w:p w14:paraId="2DBA8D70"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2C1418AF" w14:textId="77777777" w:rsidR="00BA77BD" w:rsidRDefault="00BA77BD" w:rsidP="009502B8">
            <w:pPr>
              <w:snapToGrid w:val="0"/>
              <w:jc w:val="center"/>
              <w:rPr>
                <w:rFonts w:ascii="Arial Narrow" w:eastAsia="MS Mincho" w:hAnsi="Arial Narrow" w:cs="Arial Narrow"/>
                <w:b/>
                <w:sz w:val="28"/>
                <w:szCs w:val="28"/>
              </w:rPr>
            </w:pPr>
          </w:p>
          <w:p w14:paraId="68D0BA42" w14:textId="53BD9BF0"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2A865523"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7E7CED69"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1B25F104" w14:textId="77777777" w:rsidTr="009502B8">
        <w:tc>
          <w:tcPr>
            <w:tcW w:w="893" w:type="dxa"/>
            <w:tcBorders>
              <w:top w:val="single" w:sz="4" w:space="0" w:color="000000"/>
              <w:left w:val="single" w:sz="4" w:space="0" w:color="000000"/>
              <w:bottom w:val="single" w:sz="4" w:space="0" w:color="000000"/>
            </w:tcBorders>
          </w:tcPr>
          <w:p w14:paraId="7C6F2E16"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1E8B5416" w14:textId="77777777" w:rsidR="00BA77BD" w:rsidRDefault="00BA77BD" w:rsidP="009502B8">
            <w:pPr>
              <w:snapToGrid w:val="0"/>
              <w:jc w:val="center"/>
              <w:rPr>
                <w:rFonts w:ascii="Arial Narrow" w:eastAsia="MS Mincho" w:hAnsi="Arial Narrow" w:cs="Arial Narrow"/>
                <w:b/>
                <w:sz w:val="28"/>
                <w:szCs w:val="28"/>
              </w:rPr>
            </w:pPr>
          </w:p>
          <w:p w14:paraId="50480A83" w14:textId="1A03CAE4"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76C81BA1"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75D8D9BC"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788D1D40" w14:textId="77777777" w:rsidTr="009502B8">
        <w:tc>
          <w:tcPr>
            <w:tcW w:w="893" w:type="dxa"/>
            <w:tcBorders>
              <w:top w:val="single" w:sz="4" w:space="0" w:color="000000"/>
              <w:left w:val="single" w:sz="4" w:space="0" w:color="000000"/>
              <w:bottom w:val="single" w:sz="4" w:space="0" w:color="000000"/>
            </w:tcBorders>
          </w:tcPr>
          <w:p w14:paraId="3C64B075"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5872D340" w14:textId="77777777" w:rsidR="00BA77BD" w:rsidRDefault="00BA77BD" w:rsidP="009502B8">
            <w:pPr>
              <w:snapToGrid w:val="0"/>
              <w:jc w:val="center"/>
              <w:rPr>
                <w:rFonts w:ascii="Arial Narrow" w:eastAsia="MS Mincho" w:hAnsi="Arial Narrow" w:cs="Arial Narrow"/>
                <w:b/>
                <w:sz w:val="28"/>
                <w:szCs w:val="28"/>
              </w:rPr>
            </w:pPr>
          </w:p>
          <w:p w14:paraId="7DD24EAB" w14:textId="62259FDD"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0820F1FB"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72EFE766"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4EE77FE0" w14:textId="77777777" w:rsidTr="009502B8">
        <w:tc>
          <w:tcPr>
            <w:tcW w:w="893" w:type="dxa"/>
            <w:tcBorders>
              <w:top w:val="single" w:sz="4" w:space="0" w:color="000000"/>
              <w:left w:val="single" w:sz="4" w:space="0" w:color="000000"/>
              <w:bottom w:val="single" w:sz="4" w:space="0" w:color="000000"/>
            </w:tcBorders>
          </w:tcPr>
          <w:p w14:paraId="21FBE209"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6D8149CA" w14:textId="77777777" w:rsidR="00BA77BD" w:rsidRDefault="00BA77BD" w:rsidP="009502B8">
            <w:pPr>
              <w:snapToGrid w:val="0"/>
              <w:jc w:val="center"/>
              <w:rPr>
                <w:rFonts w:ascii="Arial Narrow" w:eastAsia="MS Mincho" w:hAnsi="Arial Narrow" w:cs="Arial Narrow"/>
                <w:b/>
                <w:sz w:val="28"/>
                <w:szCs w:val="28"/>
              </w:rPr>
            </w:pPr>
          </w:p>
          <w:p w14:paraId="571B2AA4" w14:textId="481F22A7"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483FB855"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4F8F7E27"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3D883E7A" w14:textId="77777777" w:rsidTr="009502B8">
        <w:tc>
          <w:tcPr>
            <w:tcW w:w="893" w:type="dxa"/>
            <w:tcBorders>
              <w:top w:val="single" w:sz="4" w:space="0" w:color="000000"/>
              <w:left w:val="single" w:sz="4" w:space="0" w:color="000000"/>
              <w:bottom w:val="single" w:sz="4" w:space="0" w:color="000000"/>
            </w:tcBorders>
          </w:tcPr>
          <w:p w14:paraId="2B17D7E8"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4997D8CA" w14:textId="77777777" w:rsidR="00BA77BD" w:rsidRDefault="00BA77BD" w:rsidP="009502B8">
            <w:pPr>
              <w:snapToGrid w:val="0"/>
              <w:jc w:val="center"/>
              <w:rPr>
                <w:rFonts w:ascii="Arial Narrow" w:eastAsia="MS Mincho" w:hAnsi="Arial Narrow" w:cs="Arial Narrow"/>
                <w:b/>
                <w:sz w:val="28"/>
                <w:szCs w:val="28"/>
              </w:rPr>
            </w:pPr>
          </w:p>
          <w:p w14:paraId="4CC29A8D" w14:textId="13F8C485"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60AFE0B2"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564C05D2"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63009D50" w14:textId="77777777" w:rsidTr="009502B8">
        <w:tc>
          <w:tcPr>
            <w:tcW w:w="893" w:type="dxa"/>
            <w:tcBorders>
              <w:top w:val="single" w:sz="4" w:space="0" w:color="000000"/>
              <w:left w:val="single" w:sz="4" w:space="0" w:color="000000"/>
              <w:bottom w:val="single" w:sz="4" w:space="0" w:color="000000"/>
            </w:tcBorders>
          </w:tcPr>
          <w:p w14:paraId="496C1B68"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6B57D3E2" w14:textId="77777777" w:rsidR="00BA77BD" w:rsidRDefault="00BA77BD" w:rsidP="009502B8">
            <w:pPr>
              <w:snapToGrid w:val="0"/>
              <w:jc w:val="center"/>
              <w:rPr>
                <w:rFonts w:ascii="Arial Narrow" w:eastAsia="MS Mincho" w:hAnsi="Arial Narrow" w:cs="Arial Narrow"/>
                <w:b/>
                <w:sz w:val="28"/>
                <w:szCs w:val="28"/>
              </w:rPr>
            </w:pPr>
          </w:p>
          <w:p w14:paraId="53643ED8" w14:textId="6164993E"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47CBCB0C"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70395862"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1BFBEA69" w14:textId="77777777" w:rsidTr="009502B8">
        <w:tc>
          <w:tcPr>
            <w:tcW w:w="893" w:type="dxa"/>
            <w:tcBorders>
              <w:top w:val="single" w:sz="4" w:space="0" w:color="000000"/>
              <w:left w:val="single" w:sz="4" w:space="0" w:color="000000"/>
              <w:bottom w:val="single" w:sz="4" w:space="0" w:color="000000"/>
            </w:tcBorders>
          </w:tcPr>
          <w:p w14:paraId="4AEDB70E"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7C502D2F" w14:textId="77777777" w:rsidR="00BA77BD" w:rsidRDefault="00BA77BD" w:rsidP="009502B8">
            <w:pPr>
              <w:snapToGrid w:val="0"/>
              <w:jc w:val="center"/>
              <w:rPr>
                <w:rFonts w:ascii="Arial Narrow" w:eastAsia="MS Mincho" w:hAnsi="Arial Narrow" w:cs="Arial Narrow"/>
                <w:b/>
                <w:sz w:val="28"/>
                <w:szCs w:val="28"/>
              </w:rPr>
            </w:pPr>
          </w:p>
          <w:p w14:paraId="1C94628A" w14:textId="236888AD"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0395026E"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068AF594"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6030ACC4" w14:textId="77777777" w:rsidTr="009502B8">
        <w:tc>
          <w:tcPr>
            <w:tcW w:w="893" w:type="dxa"/>
            <w:tcBorders>
              <w:top w:val="single" w:sz="4" w:space="0" w:color="000000"/>
              <w:left w:val="single" w:sz="4" w:space="0" w:color="000000"/>
              <w:bottom w:val="single" w:sz="4" w:space="0" w:color="000000"/>
            </w:tcBorders>
          </w:tcPr>
          <w:p w14:paraId="17606D35"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4B10DF66" w14:textId="77777777" w:rsidR="00BA77BD" w:rsidRDefault="00BA77BD" w:rsidP="009502B8">
            <w:pPr>
              <w:snapToGrid w:val="0"/>
              <w:jc w:val="center"/>
              <w:rPr>
                <w:rFonts w:ascii="Arial Narrow" w:eastAsia="MS Mincho" w:hAnsi="Arial Narrow" w:cs="Arial Narrow"/>
                <w:b/>
                <w:sz w:val="28"/>
                <w:szCs w:val="28"/>
              </w:rPr>
            </w:pPr>
          </w:p>
          <w:p w14:paraId="694A5122" w14:textId="2AE26A33"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63177F1C"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17743562"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56BEF997" w14:textId="77777777" w:rsidTr="009502B8">
        <w:tc>
          <w:tcPr>
            <w:tcW w:w="893" w:type="dxa"/>
            <w:tcBorders>
              <w:top w:val="single" w:sz="4" w:space="0" w:color="000000"/>
              <w:left w:val="single" w:sz="4" w:space="0" w:color="000000"/>
              <w:bottom w:val="single" w:sz="4" w:space="0" w:color="000000"/>
            </w:tcBorders>
          </w:tcPr>
          <w:p w14:paraId="0AD0DCAC"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668F3CC9" w14:textId="77777777" w:rsidR="00BA77BD" w:rsidRDefault="00BA77BD" w:rsidP="009502B8">
            <w:pPr>
              <w:snapToGrid w:val="0"/>
              <w:jc w:val="center"/>
              <w:rPr>
                <w:rFonts w:ascii="Arial Narrow" w:eastAsia="MS Mincho" w:hAnsi="Arial Narrow" w:cs="Arial Narrow"/>
                <w:b/>
                <w:sz w:val="28"/>
                <w:szCs w:val="28"/>
              </w:rPr>
            </w:pPr>
          </w:p>
          <w:p w14:paraId="09AE601F" w14:textId="615720B9"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01AA2A21"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781EF58C"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61BB9A2D" w14:textId="77777777" w:rsidTr="009502B8">
        <w:tc>
          <w:tcPr>
            <w:tcW w:w="893" w:type="dxa"/>
            <w:tcBorders>
              <w:top w:val="single" w:sz="4" w:space="0" w:color="000000"/>
              <w:left w:val="single" w:sz="4" w:space="0" w:color="000000"/>
              <w:bottom w:val="single" w:sz="4" w:space="0" w:color="000000"/>
            </w:tcBorders>
          </w:tcPr>
          <w:p w14:paraId="5446D283"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66A94314" w14:textId="77777777" w:rsidR="00BA77BD" w:rsidRDefault="00BA77BD" w:rsidP="009502B8">
            <w:pPr>
              <w:snapToGrid w:val="0"/>
              <w:jc w:val="center"/>
              <w:rPr>
                <w:rFonts w:ascii="Arial Narrow" w:eastAsia="MS Mincho" w:hAnsi="Arial Narrow" w:cs="Arial Narrow"/>
                <w:b/>
                <w:sz w:val="28"/>
                <w:szCs w:val="28"/>
              </w:rPr>
            </w:pPr>
          </w:p>
          <w:p w14:paraId="3C06C0C9" w14:textId="201BD439"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6A1EA6A6"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34EC2105"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68511D1B" w14:textId="77777777" w:rsidTr="009502B8">
        <w:tc>
          <w:tcPr>
            <w:tcW w:w="893" w:type="dxa"/>
            <w:tcBorders>
              <w:top w:val="single" w:sz="4" w:space="0" w:color="000000"/>
              <w:left w:val="single" w:sz="4" w:space="0" w:color="000000"/>
              <w:bottom w:val="single" w:sz="4" w:space="0" w:color="000000"/>
            </w:tcBorders>
          </w:tcPr>
          <w:p w14:paraId="73A2F715"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5DF42D76" w14:textId="77777777" w:rsidR="00BA77BD" w:rsidRDefault="00BA77BD" w:rsidP="009502B8">
            <w:pPr>
              <w:snapToGrid w:val="0"/>
              <w:jc w:val="center"/>
              <w:rPr>
                <w:rFonts w:ascii="Arial Narrow" w:eastAsia="MS Mincho" w:hAnsi="Arial Narrow" w:cs="Arial Narrow"/>
                <w:b/>
                <w:sz w:val="28"/>
                <w:szCs w:val="28"/>
              </w:rPr>
            </w:pPr>
          </w:p>
          <w:p w14:paraId="4DEDCFAC" w14:textId="067F5533"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3744DAD1"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678B5BE4"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132A1B14" w14:textId="77777777" w:rsidTr="009502B8">
        <w:tc>
          <w:tcPr>
            <w:tcW w:w="893" w:type="dxa"/>
            <w:tcBorders>
              <w:top w:val="single" w:sz="4" w:space="0" w:color="000000"/>
              <w:left w:val="single" w:sz="4" w:space="0" w:color="000000"/>
              <w:bottom w:val="single" w:sz="4" w:space="0" w:color="000000"/>
            </w:tcBorders>
          </w:tcPr>
          <w:p w14:paraId="666BAC86"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1F0E5880" w14:textId="77777777" w:rsidR="00BA77BD" w:rsidRDefault="00BA77BD" w:rsidP="009502B8">
            <w:pPr>
              <w:snapToGrid w:val="0"/>
              <w:jc w:val="center"/>
              <w:rPr>
                <w:rFonts w:ascii="Arial Narrow" w:eastAsia="MS Mincho" w:hAnsi="Arial Narrow" w:cs="Arial Narrow"/>
                <w:b/>
                <w:sz w:val="28"/>
                <w:szCs w:val="28"/>
              </w:rPr>
            </w:pPr>
          </w:p>
          <w:p w14:paraId="4BC67768" w14:textId="7B8100F3"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17DFABBF"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7ACC857E"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01111948" w14:textId="77777777" w:rsidTr="009502B8">
        <w:tc>
          <w:tcPr>
            <w:tcW w:w="893" w:type="dxa"/>
            <w:tcBorders>
              <w:top w:val="single" w:sz="4" w:space="0" w:color="000000"/>
              <w:left w:val="single" w:sz="4" w:space="0" w:color="000000"/>
              <w:bottom w:val="single" w:sz="4" w:space="0" w:color="000000"/>
            </w:tcBorders>
          </w:tcPr>
          <w:p w14:paraId="015B5F4D"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5387908F" w14:textId="77777777" w:rsidR="00BA77BD" w:rsidRDefault="00BA77BD" w:rsidP="009502B8">
            <w:pPr>
              <w:snapToGrid w:val="0"/>
              <w:jc w:val="center"/>
              <w:rPr>
                <w:rFonts w:ascii="Arial Narrow" w:eastAsia="MS Mincho" w:hAnsi="Arial Narrow" w:cs="Arial Narrow"/>
                <w:b/>
                <w:sz w:val="28"/>
                <w:szCs w:val="28"/>
              </w:rPr>
            </w:pPr>
          </w:p>
          <w:p w14:paraId="2963B164" w14:textId="0465E179"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70990771"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39BF75A5"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18CAA19F" w14:textId="77777777" w:rsidTr="009502B8">
        <w:tc>
          <w:tcPr>
            <w:tcW w:w="893" w:type="dxa"/>
            <w:tcBorders>
              <w:top w:val="single" w:sz="4" w:space="0" w:color="000000"/>
              <w:left w:val="single" w:sz="4" w:space="0" w:color="000000"/>
              <w:bottom w:val="single" w:sz="4" w:space="0" w:color="000000"/>
            </w:tcBorders>
          </w:tcPr>
          <w:p w14:paraId="648F3EE0"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295321C3" w14:textId="77777777" w:rsidR="00BA77BD" w:rsidRDefault="00BA77BD" w:rsidP="009502B8">
            <w:pPr>
              <w:snapToGrid w:val="0"/>
              <w:jc w:val="center"/>
              <w:rPr>
                <w:rFonts w:ascii="Arial Narrow" w:eastAsia="MS Mincho" w:hAnsi="Arial Narrow" w:cs="Arial Narrow"/>
                <w:b/>
                <w:sz w:val="28"/>
                <w:szCs w:val="28"/>
              </w:rPr>
            </w:pPr>
          </w:p>
          <w:p w14:paraId="666BFFF9" w14:textId="12C1A13B"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5847E32D"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58E30884"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0CD523FB" w14:textId="77777777" w:rsidTr="009502B8">
        <w:tc>
          <w:tcPr>
            <w:tcW w:w="893" w:type="dxa"/>
            <w:tcBorders>
              <w:top w:val="single" w:sz="4" w:space="0" w:color="000000"/>
              <w:left w:val="single" w:sz="4" w:space="0" w:color="000000"/>
              <w:bottom w:val="single" w:sz="4" w:space="0" w:color="000000"/>
            </w:tcBorders>
          </w:tcPr>
          <w:p w14:paraId="300FB630"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25987C19" w14:textId="77777777" w:rsidR="00BA77BD" w:rsidRDefault="00BA77BD" w:rsidP="009502B8">
            <w:pPr>
              <w:snapToGrid w:val="0"/>
              <w:jc w:val="center"/>
              <w:rPr>
                <w:rFonts w:ascii="Arial Narrow" w:eastAsia="MS Mincho" w:hAnsi="Arial Narrow" w:cs="Arial Narrow"/>
                <w:b/>
                <w:sz w:val="28"/>
                <w:szCs w:val="28"/>
              </w:rPr>
            </w:pPr>
          </w:p>
          <w:p w14:paraId="65CD1E2F" w14:textId="7542FAB2"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090BED9C"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29A728CE" w14:textId="77777777" w:rsidR="00BA77BD" w:rsidRPr="00C372A6" w:rsidRDefault="00BA77BD" w:rsidP="009502B8">
            <w:pPr>
              <w:snapToGrid w:val="0"/>
              <w:jc w:val="center"/>
              <w:rPr>
                <w:rFonts w:ascii="Arial Narrow" w:eastAsia="MS Mincho" w:hAnsi="Arial Narrow" w:cs="Arial Narrow"/>
                <w:b/>
                <w:sz w:val="28"/>
                <w:szCs w:val="28"/>
              </w:rPr>
            </w:pPr>
          </w:p>
        </w:tc>
      </w:tr>
      <w:tr w:rsidR="00BA77BD" w:rsidRPr="00C372A6" w14:paraId="69920F26" w14:textId="77777777" w:rsidTr="009502B8">
        <w:tc>
          <w:tcPr>
            <w:tcW w:w="893" w:type="dxa"/>
            <w:tcBorders>
              <w:top w:val="single" w:sz="4" w:space="0" w:color="000000"/>
              <w:left w:val="single" w:sz="4" w:space="0" w:color="000000"/>
              <w:bottom w:val="single" w:sz="4" w:space="0" w:color="000000"/>
            </w:tcBorders>
          </w:tcPr>
          <w:p w14:paraId="6BDFD37F" w14:textId="77777777" w:rsidR="00BA77BD" w:rsidRPr="00C372A6" w:rsidRDefault="00BA77BD" w:rsidP="009502B8">
            <w:pPr>
              <w:snapToGrid w:val="0"/>
              <w:jc w:val="center"/>
              <w:rPr>
                <w:rFonts w:ascii="Arial Narrow" w:eastAsia="MS Mincho" w:hAnsi="Arial Narrow" w:cs="Arial Narrow"/>
                <w:b/>
                <w:sz w:val="28"/>
                <w:szCs w:val="28"/>
              </w:rPr>
            </w:pPr>
          </w:p>
        </w:tc>
        <w:tc>
          <w:tcPr>
            <w:tcW w:w="4270" w:type="dxa"/>
            <w:tcBorders>
              <w:top w:val="single" w:sz="4" w:space="0" w:color="000000"/>
              <w:left w:val="single" w:sz="4" w:space="0" w:color="000000"/>
              <w:bottom w:val="single" w:sz="4" w:space="0" w:color="000000"/>
            </w:tcBorders>
          </w:tcPr>
          <w:p w14:paraId="7DB480F6" w14:textId="77777777" w:rsidR="00BA77BD" w:rsidRDefault="00BA77BD" w:rsidP="009502B8">
            <w:pPr>
              <w:snapToGrid w:val="0"/>
              <w:jc w:val="center"/>
              <w:rPr>
                <w:rFonts w:ascii="Arial Narrow" w:eastAsia="MS Mincho" w:hAnsi="Arial Narrow" w:cs="Arial Narrow"/>
                <w:b/>
                <w:sz w:val="28"/>
                <w:szCs w:val="28"/>
              </w:rPr>
            </w:pPr>
          </w:p>
          <w:p w14:paraId="04C1AA23" w14:textId="65DD8141" w:rsidR="00BA77BD" w:rsidRPr="00C372A6" w:rsidRDefault="00BA77BD" w:rsidP="009502B8">
            <w:pPr>
              <w:snapToGrid w:val="0"/>
              <w:jc w:val="center"/>
              <w:rPr>
                <w:rFonts w:ascii="Arial Narrow" w:eastAsia="MS Mincho" w:hAnsi="Arial Narrow" w:cs="Arial Narrow"/>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14A8A74E" w14:textId="77777777" w:rsidR="00BA77BD" w:rsidRPr="00C372A6" w:rsidRDefault="00BA77BD" w:rsidP="009502B8">
            <w:pPr>
              <w:snapToGrid w:val="0"/>
              <w:jc w:val="center"/>
              <w:rPr>
                <w:rFonts w:ascii="Arial Narrow" w:eastAsia="MS Mincho" w:hAnsi="Arial Narrow" w:cs="Arial Narrow"/>
                <w:b/>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252723B8" w14:textId="77777777" w:rsidR="00BA77BD" w:rsidRPr="00C372A6" w:rsidRDefault="00BA77BD" w:rsidP="009502B8">
            <w:pPr>
              <w:snapToGrid w:val="0"/>
              <w:jc w:val="center"/>
              <w:rPr>
                <w:rFonts w:ascii="Arial Narrow" w:eastAsia="MS Mincho" w:hAnsi="Arial Narrow" w:cs="Arial Narrow"/>
                <w:b/>
                <w:sz w:val="28"/>
                <w:szCs w:val="28"/>
              </w:rPr>
            </w:pPr>
          </w:p>
        </w:tc>
      </w:tr>
    </w:tbl>
    <w:p w14:paraId="714D5524" w14:textId="77777777" w:rsidR="00FC7E0F" w:rsidRPr="00C372A6" w:rsidRDefault="00FC7E0F" w:rsidP="005514EF">
      <w:pPr>
        <w:spacing w:line="276" w:lineRule="auto"/>
      </w:pPr>
    </w:p>
    <w:sectPr w:rsidR="00FC7E0F" w:rsidRPr="00C372A6" w:rsidSect="00FA7DBD">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34F"/>
    <w:multiLevelType w:val="multilevel"/>
    <w:tmpl w:val="2DB8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243FA"/>
    <w:multiLevelType w:val="hybridMultilevel"/>
    <w:tmpl w:val="0C42B552"/>
    <w:lvl w:ilvl="0" w:tplc="37D200A4">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261651C9"/>
    <w:multiLevelType w:val="multilevel"/>
    <w:tmpl w:val="F0D6FA06"/>
    <w:lvl w:ilvl="0">
      <w:start w:val="1"/>
      <w:numFmt w:val="decimal"/>
      <w:lvlText w:val="%1"/>
      <w:lvlJc w:val="left"/>
      <w:pPr>
        <w:ind w:left="360" w:hanging="360"/>
      </w:pPr>
      <w:rPr>
        <w:rFonts w:hint="default"/>
        <w:b/>
      </w:rPr>
    </w:lvl>
    <w:lvl w:ilvl="1">
      <w:start w:val="1"/>
      <w:numFmt w:val="decimal"/>
      <w:lvlText w:val="%1)%2"/>
      <w:lvlJc w:val="left"/>
      <w:pPr>
        <w:ind w:left="862" w:hanging="720"/>
      </w:pPr>
      <w:rPr>
        <w:rFonts w:hint="default"/>
        <w:b/>
        <w:vertAlign w:val="superscrip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28AC0685"/>
    <w:multiLevelType w:val="hybridMultilevel"/>
    <w:tmpl w:val="54BC3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86E4F"/>
    <w:multiLevelType w:val="hybridMultilevel"/>
    <w:tmpl w:val="E4902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704EB"/>
    <w:multiLevelType w:val="multilevel"/>
    <w:tmpl w:val="9DB8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C6A10"/>
    <w:multiLevelType w:val="hybridMultilevel"/>
    <w:tmpl w:val="0704617C"/>
    <w:lvl w:ilvl="0" w:tplc="C156986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25F90"/>
    <w:multiLevelType w:val="hybridMultilevel"/>
    <w:tmpl w:val="D430C47C"/>
    <w:lvl w:ilvl="0" w:tplc="FC388326">
      <w:start w:val="3"/>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44FE02BF"/>
    <w:multiLevelType w:val="hybridMultilevel"/>
    <w:tmpl w:val="86A60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907A01"/>
    <w:multiLevelType w:val="hybridMultilevel"/>
    <w:tmpl w:val="87F2D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5B7602"/>
    <w:multiLevelType w:val="hybridMultilevel"/>
    <w:tmpl w:val="936AC0C6"/>
    <w:lvl w:ilvl="0" w:tplc="6D4ED3D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727E2917"/>
    <w:multiLevelType w:val="hybridMultilevel"/>
    <w:tmpl w:val="442A8DDE"/>
    <w:lvl w:ilvl="0" w:tplc="656652D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74D84F8B"/>
    <w:multiLevelType w:val="multilevel"/>
    <w:tmpl w:val="87485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106AAF"/>
    <w:multiLevelType w:val="hybridMultilevel"/>
    <w:tmpl w:val="C4269C08"/>
    <w:lvl w:ilvl="0" w:tplc="97AE7E6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567810663">
    <w:abstractNumId w:val="9"/>
  </w:num>
  <w:num w:numId="2" w16cid:durableId="74595889">
    <w:abstractNumId w:val="10"/>
  </w:num>
  <w:num w:numId="3" w16cid:durableId="1014654717">
    <w:abstractNumId w:val="13"/>
  </w:num>
  <w:num w:numId="4" w16cid:durableId="234166782">
    <w:abstractNumId w:val="7"/>
  </w:num>
  <w:num w:numId="5" w16cid:durableId="735670730">
    <w:abstractNumId w:val="4"/>
  </w:num>
  <w:num w:numId="6" w16cid:durableId="1890143397">
    <w:abstractNumId w:val="3"/>
  </w:num>
  <w:num w:numId="7" w16cid:durableId="39671699">
    <w:abstractNumId w:val="11"/>
  </w:num>
  <w:num w:numId="8" w16cid:durableId="1930652593">
    <w:abstractNumId w:val="1"/>
  </w:num>
  <w:num w:numId="9" w16cid:durableId="1618561053">
    <w:abstractNumId w:val="2"/>
  </w:num>
  <w:num w:numId="10" w16cid:durableId="2071804932">
    <w:abstractNumId w:val="6"/>
  </w:num>
  <w:num w:numId="11" w16cid:durableId="1398168556">
    <w:abstractNumId w:val="12"/>
  </w:num>
  <w:num w:numId="12" w16cid:durableId="1847749541">
    <w:abstractNumId w:val="5"/>
  </w:num>
  <w:num w:numId="13" w16cid:durableId="2030132142">
    <w:abstractNumId w:val="0"/>
  </w:num>
  <w:num w:numId="14" w16cid:durableId="51512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1F3"/>
    <w:rsid w:val="00005F5E"/>
    <w:rsid w:val="00013AAA"/>
    <w:rsid w:val="000237D3"/>
    <w:rsid w:val="000261A0"/>
    <w:rsid w:val="0003218F"/>
    <w:rsid w:val="00043AF0"/>
    <w:rsid w:val="000817A2"/>
    <w:rsid w:val="000B4FC8"/>
    <w:rsid w:val="000E1AB5"/>
    <w:rsid w:val="000E6E37"/>
    <w:rsid w:val="00104D6A"/>
    <w:rsid w:val="00104F9E"/>
    <w:rsid w:val="00121963"/>
    <w:rsid w:val="0014750A"/>
    <w:rsid w:val="001631E5"/>
    <w:rsid w:val="001766CD"/>
    <w:rsid w:val="00176B52"/>
    <w:rsid w:val="00184635"/>
    <w:rsid w:val="00192172"/>
    <w:rsid w:val="001B1477"/>
    <w:rsid w:val="00213DF0"/>
    <w:rsid w:val="0023385C"/>
    <w:rsid w:val="00260D82"/>
    <w:rsid w:val="002C257E"/>
    <w:rsid w:val="002D5DDC"/>
    <w:rsid w:val="002E7CFE"/>
    <w:rsid w:val="003055EA"/>
    <w:rsid w:val="00314EA9"/>
    <w:rsid w:val="00327AE1"/>
    <w:rsid w:val="00344988"/>
    <w:rsid w:val="003608B7"/>
    <w:rsid w:val="00363079"/>
    <w:rsid w:val="00365F7F"/>
    <w:rsid w:val="0037186A"/>
    <w:rsid w:val="0038121B"/>
    <w:rsid w:val="003853E9"/>
    <w:rsid w:val="00393181"/>
    <w:rsid w:val="00396F7C"/>
    <w:rsid w:val="003E7246"/>
    <w:rsid w:val="003F1616"/>
    <w:rsid w:val="004233DD"/>
    <w:rsid w:val="004377FD"/>
    <w:rsid w:val="0045085A"/>
    <w:rsid w:val="00485E87"/>
    <w:rsid w:val="0049456F"/>
    <w:rsid w:val="004E57C5"/>
    <w:rsid w:val="004F039A"/>
    <w:rsid w:val="004F6BB7"/>
    <w:rsid w:val="00501826"/>
    <w:rsid w:val="00521295"/>
    <w:rsid w:val="0052317B"/>
    <w:rsid w:val="005431A0"/>
    <w:rsid w:val="005514EF"/>
    <w:rsid w:val="00554DB9"/>
    <w:rsid w:val="005553AA"/>
    <w:rsid w:val="00562E06"/>
    <w:rsid w:val="00574B25"/>
    <w:rsid w:val="00576264"/>
    <w:rsid w:val="00592DB3"/>
    <w:rsid w:val="005D05B3"/>
    <w:rsid w:val="005E0744"/>
    <w:rsid w:val="005E343B"/>
    <w:rsid w:val="005F3DB5"/>
    <w:rsid w:val="006011AD"/>
    <w:rsid w:val="0060616F"/>
    <w:rsid w:val="00623BC1"/>
    <w:rsid w:val="0063581D"/>
    <w:rsid w:val="00645872"/>
    <w:rsid w:val="00674D18"/>
    <w:rsid w:val="00674DD0"/>
    <w:rsid w:val="006B0221"/>
    <w:rsid w:val="006B38F3"/>
    <w:rsid w:val="006B570C"/>
    <w:rsid w:val="006C6547"/>
    <w:rsid w:val="006E1A14"/>
    <w:rsid w:val="00713807"/>
    <w:rsid w:val="007140D0"/>
    <w:rsid w:val="007434FF"/>
    <w:rsid w:val="00756AA3"/>
    <w:rsid w:val="0076162F"/>
    <w:rsid w:val="0077509B"/>
    <w:rsid w:val="007879D0"/>
    <w:rsid w:val="007A3DC3"/>
    <w:rsid w:val="007C5680"/>
    <w:rsid w:val="007D5DF6"/>
    <w:rsid w:val="007E24C3"/>
    <w:rsid w:val="007E46D3"/>
    <w:rsid w:val="00812638"/>
    <w:rsid w:val="00860036"/>
    <w:rsid w:val="00860244"/>
    <w:rsid w:val="008A0667"/>
    <w:rsid w:val="008A5C0F"/>
    <w:rsid w:val="008B08F0"/>
    <w:rsid w:val="008B5A93"/>
    <w:rsid w:val="008B7A65"/>
    <w:rsid w:val="008C7C3A"/>
    <w:rsid w:val="008D28E9"/>
    <w:rsid w:val="008E183B"/>
    <w:rsid w:val="0092250B"/>
    <w:rsid w:val="00927F60"/>
    <w:rsid w:val="00945830"/>
    <w:rsid w:val="00955E9D"/>
    <w:rsid w:val="009832F6"/>
    <w:rsid w:val="009B4A13"/>
    <w:rsid w:val="009C3CEE"/>
    <w:rsid w:val="009C401D"/>
    <w:rsid w:val="009C586F"/>
    <w:rsid w:val="009D0353"/>
    <w:rsid w:val="009F1742"/>
    <w:rsid w:val="00A16C66"/>
    <w:rsid w:val="00A20D6E"/>
    <w:rsid w:val="00A46281"/>
    <w:rsid w:val="00A520C1"/>
    <w:rsid w:val="00A52C3F"/>
    <w:rsid w:val="00A95898"/>
    <w:rsid w:val="00AC4EC4"/>
    <w:rsid w:val="00AE47E9"/>
    <w:rsid w:val="00B0216A"/>
    <w:rsid w:val="00B116C1"/>
    <w:rsid w:val="00B175D5"/>
    <w:rsid w:val="00B31393"/>
    <w:rsid w:val="00B64825"/>
    <w:rsid w:val="00B6786E"/>
    <w:rsid w:val="00B732D6"/>
    <w:rsid w:val="00B75BA1"/>
    <w:rsid w:val="00B81A04"/>
    <w:rsid w:val="00B871C2"/>
    <w:rsid w:val="00B958CE"/>
    <w:rsid w:val="00BA5D2E"/>
    <w:rsid w:val="00BA77BD"/>
    <w:rsid w:val="00BC799C"/>
    <w:rsid w:val="00BD3B6D"/>
    <w:rsid w:val="00BD4390"/>
    <w:rsid w:val="00BE11F1"/>
    <w:rsid w:val="00BE6222"/>
    <w:rsid w:val="00BF67D8"/>
    <w:rsid w:val="00C00AD0"/>
    <w:rsid w:val="00C06C5B"/>
    <w:rsid w:val="00C132A2"/>
    <w:rsid w:val="00C20EE8"/>
    <w:rsid w:val="00C2358B"/>
    <w:rsid w:val="00C3518B"/>
    <w:rsid w:val="00C372A6"/>
    <w:rsid w:val="00C566A8"/>
    <w:rsid w:val="00C66707"/>
    <w:rsid w:val="00C751F3"/>
    <w:rsid w:val="00CB084D"/>
    <w:rsid w:val="00CC1BC0"/>
    <w:rsid w:val="00CC4463"/>
    <w:rsid w:val="00CC4F6A"/>
    <w:rsid w:val="00CC687F"/>
    <w:rsid w:val="00CE66A3"/>
    <w:rsid w:val="00D0200D"/>
    <w:rsid w:val="00D03373"/>
    <w:rsid w:val="00D0738F"/>
    <w:rsid w:val="00D075D8"/>
    <w:rsid w:val="00D273A7"/>
    <w:rsid w:val="00D45E5D"/>
    <w:rsid w:val="00D50739"/>
    <w:rsid w:val="00D553B0"/>
    <w:rsid w:val="00D712EF"/>
    <w:rsid w:val="00D91166"/>
    <w:rsid w:val="00D96D50"/>
    <w:rsid w:val="00DA6460"/>
    <w:rsid w:val="00DB738F"/>
    <w:rsid w:val="00DD5D82"/>
    <w:rsid w:val="00E10589"/>
    <w:rsid w:val="00E33232"/>
    <w:rsid w:val="00E33E4B"/>
    <w:rsid w:val="00E43580"/>
    <w:rsid w:val="00E752B2"/>
    <w:rsid w:val="00E75377"/>
    <w:rsid w:val="00E9512C"/>
    <w:rsid w:val="00EB661A"/>
    <w:rsid w:val="00EC404A"/>
    <w:rsid w:val="00EE41D9"/>
    <w:rsid w:val="00EE48F0"/>
    <w:rsid w:val="00EF1AA6"/>
    <w:rsid w:val="00F249EF"/>
    <w:rsid w:val="00F251F5"/>
    <w:rsid w:val="00F372F8"/>
    <w:rsid w:val="00F42DC0"/>
    <w:rsid w:val="00F52189"/>
    <w:rsid w:val="00F542D3"/>
    <w:rsid w:val="00F57C13"/>
    <w:rsid w:val="00F7207E"/>
    <w:rsid w:val="00F72FD2"/>
    <w:rsid w:val="00F83F56"/>
    <w:rsid w:val="00FA7DBD"/>
    <w:rsid w:val="00FB2BDA"/>
    <w:rsid w:val="00FC7E0F"/>
    <w:rsid w:val="00FE6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45C4"/>
  <w15:docId w15:val="{00EED78C-0594-4A8B-B70B-AA026494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1F3"/>
    <w:pPr>
      <w:spacing w:after="0" w:line="240" w:lineRule="auto"/>
    </w:pPr>
    <w:rPr>
      <w:rFonts w:ascii="Times New Roman" w:eastAsia="Times New Roman" w:hAnsi="Times New Roman" w:cs="Times New Roman"/>
      <w:sz w:val="24"/>
      <w:szCs w:val="24"/>
      <w:lang w:val="ro-RO"/>
    </w:rPr>
  </w:style>
  <w:style w:type="paragraph" w:styleId="Heading3">
    <w:name w:val="heading 3"/>
    <w:basedOn w:val="Normal"/>
    <w:link w:val="Heading3Char"/>
    <w:uiPriority w:val="9"/>
    <w:unhideWhenUsed/>
    <w:qFormat/>
    <w:rsid w:val="00C2358B"/>
    <w:pPr>
      <w:widowControl w:val="0"/>
      <w:ind w:left="1922" w:firstLine="561"/>
      <w:outlineLvl w:val="2"/>
    </w:pPr>
    <w:rPr>
      <w:rFonts w:cstheme="minorBidi"/>
      <w:sz w:val="26"/>
      <w:szCs w:val="26"/>
      <w:lang w:val="en-US"/>
    </w:rPr>
  </w:style>
  <w:style w:type="paragraph" w:styleId="Heading4">
    <w:name w:val="heading 4"/>
    <w:basedOn w:val="Normal"/>
    <w:next w:val="Normal"/>
    <w:link w:val="Heading4Char"/>
    <w:uiPriority w:val="9"/>
    <w:semiHidden/>
    <w:unhideWhenUsed/>
    <w:qFormat/>
    <w:rsid w:val="0038121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2B2"/>
    <w:pPr>
      <w:ind w:left="720"/>
      <w:contextualSpacing/>
    </w:pPr>
  </w:style>
  <w:style w:type="paragraph" w:customStyle="1" w:styleId="spar">
    <w:name w:val="s_par"/>
    <w:basedOn w:val="Normal"/>
    <w:rsid w:val="00562E06"/>
    <w:pPr>
      <w:shd w:val="clear" w:color="auto" w:fill="FFFFFF"/>
      <w:ind w:left="180"/>
      <w:jc w:val="both"/>
    </w:pPr>
    <w:rPr>
      <w:rFonts w:ascii="Verdana" w:hAnsi="Verdana"/>
      <w:color w:val="000000"/>
      <w:sz w:val="16"/>
      <w:szCs w:val="16"/>
      <w:lang w:val="en-US"/>
    </w:rPr>
  </w:style>
  <w:style w:type="character" w:customStyle="1" w:styleId="slitttl1">
    <w:name w:val="s_lit_ttl1"/>
    <w:basedOn w:val="DefaultParagraphFont"/>
    <w:rsid w:val="00562E06"/>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DefaultParagraphFont"/>
    <w:rsid w:val="00562E06"/>
    <w:rPr>
      <w:rFonts w:ascii="Verdana" w:hAnsi="Verdana" w:hint="default"/>
      <w:b w:val="0"/>
      <w:bCs w:val="0"/>
      <w:color w:val="000000"/>
      <w:sz w:val="16"/>
      <w:szCs w:val="16"/>
      <w:shd w:val="clear" w:color="auto" w:fill="FFFFFF"/>
    </w:rPr>
  </w:style>
  <w:style w:type="character" w:styleId="Hyperlink">
    <w:name w:val="Hyperlink"/>
    <w:basedOn w:val="DefaultParagraphFont"/>
    <w:uiPriority w:val="99"/>
    <w:unhideWhenUsed/>
    <w:rsid w:val="00562E06"/>
    <w:rPr>
      <w:color w:val="0000FF"/>
      <w:u w:val="single"/>
    </w:rPr>
  </w:style>
  <w:style w:type="paragraph" w:styleId="BodyTextIndent">
    <w:name w:val="Body Text Indent"/>
    <w:basedOn w:val="Normal"/>
    <w:link w:val="BodyTextIndentChar"/>
    <w:rsid w:val="000E6E37"/>
    <w:pPr>
      <w:widowControl w:val="0"/>
      <w:spacing w:line="360" w:lineRule="auto"/>
      <w:ind w:left="720"/>
      <w:jc w:val="both"/>
    </w:pPr>
    <w:rPr>
      <w:b/>
      <w:sz w:val="26"/>
      <w:szCs w:val="20"/>
    </w:rPr>
  </w:style>
  <w:style w:type="character" w:customStyle="1" w:styleId="BodyTextIndentChar">
    <w:name w:val="Body Text Indent Char"/>
    <w:basedOn w:val="DefaultParagraphFont"/>
    <w:link w:val="BodyTextIndent"/>
    <w:rsid w:val="000E6E37"/>
    <w:rPr>
      <w:rFonts w:ascii="Times New Roman" w:eastAsia="Times New Roman" w:hAnsi="Times New Roman" w:cs="Times New Roman"/>
      <w:b/>
      <w:sz w:val="26"/>
      <w:szCs w:val="20"/>
      <w:lang w:val="ro-RO"/>
    </w:rPr>
  </w:style>
  <w:style w:type="paragraph" w:styleId="NormalWeb">
    <w:name w:val="Normal (Web)"/>
    <w:basedOn w:val="Normal"/>
    <w:uiPriority w:val="99"/>
    <w:semiHidden/>
    <w:unhideWhenUsed/>
    <w:rsid w:val="0092250B"/>
    <w:pPr>
      <w:shd w:val="clear" w:color="auto" w:fill="FFFFFF"/>
      <w:jc w:val="both"/>
    </w:pPr>
    <w:rPr>
      <w:rFonts w:ascii="Verdana" w:hAnsi="Verdana"/>
      <w:color w:val="000000"/>
      <w:sz w:val="16"/>
      <w:szCs w:val="16"/>
      <w:lang w:val="en-US"/>
    </w:rPr>
  </w:style>
  <w:style w:type="character" w:customStyle="1" w:styleId="UnresolvedMention1">
    <w:name w:val="Unresolved Mention1"/>
    <w:basedOn w:val="DefaultParagraphFont"/>
    <w:uiPriority w:val="99"/>
    <w:semiHidden/>
    <w:unhideWhenUsed/>
    <w:rsid w:val="00B175D5"/>
    <w:rPr>
      <w:color w:val="605E5C"/>
      <w:shd w:val="clear" w:color="auto" w:fill="E1DFDD"/>
    </w:rPr>
  </w:style>
  <w:style w:type="paragraph" w:styleId="BodyText">
    <w:name w:val="Body Text"/>
    <w:basedOn w:val="Normal"/>
    <w:link w:val="BodyTextChar"/>
    <w:uiPriority w:val="99"/>
    <w:semiHidden/>
    <w:unhideWhenUsed/>
    <w:rsid w:val="00C2358B"/>
    <w:pPr>
      <w:spacing w:after="120"/>
    </w:pPr>
  </w:style>
  <w:style w:type="character" w:customStyle="1" w:styleId="BodyTextChar">
    <w:name w:val="Body Text Char"/>
    <w:basedOn w:val="DefaultParagraphFont"/>
    <w:link w:val="BodyText"/>
    <w:uiPriority w:val="99"/>
    <w:semiHidden/>
    <w:rsid w:val="00C2358B"/>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
    <w:rsid w:val="00C2358B"/>
    <w:rPr>
      <w:rFonts w:ascii="Times New Roman" w:eastAsia="Times New Roman" w:hAnsi="Times New Roman"/>
      <w:sz w:val="26"/>
      <w:szCs w:val="26"/>
    </w:rPr>
  </w:style>
  <w:style w:type="character" w:customStyle="1" w:styleId="ar">
    <w:name w:val="ar"/>
    <w:basedOn w:val="DefaultParagraphFont"/>
    <w:rsid w:val="00C2358B"/>
  </w:style>
  <w:style w:type="character" w:customStyle="1" w:styleId="tpa">
    <w:name w:val="tpa"/>
    <w:basedOn w:val="DefaultParagraphFont"/>
    <w:rsid w:val="00C2358B"/>
  </w:style>
  <w:style w:type="character" w:customStyle="1" w:styleId="li">
    <w:name w:val="li"/>
    <w:basedOn w:val="DefaultParagraphFont"/>
    <w:rsid w:val="00C2358B"/>
  </w:style>
  <w:style w:type="character" w:customStyle="1" w:styleId="tli">
    <w:name w:val="tli"/>
    <w:basedOn w:val="DefaultParagraphFont"/>
    <w:rsid w:val="00C2358B"/>
  </w:style>
  <w:style w:type="character" w:customStyle="1" w:styleId="Heading4Char">
    <w:name w:val="Heading 4 Char"/>
    <w:basedOn w:val="DefaultParagraphFont"/>
    <w:link w:val="Heading4"/>
    <w:uiPriority w:val="9"/>
    <w:semiHidden/>
    <w:rsid w:val="0038121B"/>
    <w:rPr>
      <w:rFonts w:asciiTheme="majorHAnsi" w:eastAsiaTheme="majorEastAsia" w:hAnsiTheme="majorHAnsi" w:cstheme="majorBidi"/>
      <w:i/>
      <w:iCs/>
      <w:color w:val="365F91" w:themeColor="accent1" w:themeShade="BF"/>
      <w:sz w:val="24"/>
      <w:szCs w:val="24"/>
      <w:lang w:val="ro-RO"/>
    </w:rPr>
  </w:style>
  <w:style w:type="paragraph" w:customStyle="1" w:styleId="al">
    <w:name w:val="a_l"/>
    <w:basedOn w:val="Normal"/>
    <w:rsid w:val="0038121B"/>
    <w:pPr>
      <w:spacing w:before="100" w:beforeAutospacing="1" w:after="100" w:afterAutospacing="1"/>
    </w:pPr>
    <w:rPr>
      <w:lang w:val="en-GB" w:eastAsia="en-GB"/>
    </w:rPr>
  </w:style>
  <w:style w:type="character" w:customStyle="1" w:styleId="cmg">
    <w:name w:val="cmg"/>
    <w:basedOn w:val="DefaultParagraphFont"/>
    <w:rsid w:val="0038121B"/>
  </w:style>
  <w:style w:type="paragraph" w:styleId="Footer">
    <w:name w:val="footer"/>
    <w:basedOn w:val="Normal"/>
    <w:link w:val="FooterChar1"/>
    <w:rsid w:val="00C372A6"/>
    <w:pPr>
      <w:suppressLineNumbers/>
      <w:tabs>
        <w:tab w:val="center" w:pos="4536"/>
        <w:tab w:val="right" w:pos="9072"/>
      </w:tabs>
      <w:suppressAutoHyphens/>
      <w:spacing w:line="100" w:lineRule="atLeast"/>
    </w:pPr>
    <w:rPr>
      <w:rFonts w:ascii="Calibri" w:eastAsia="Calibri" w:hAnsi="Calibri" w:cs="Calibri"/>
      <w:kern w:val="1"/>
      <w:sz w:val="22"/>
      <w:szCs w:val="22"/>
      <w:lang w:eastAsia="ar-SA"/>
    </w:rPr>
  </w:style>
  <w:style w:type="character" w:customStyle="1" w:styleId="FooterChar">
    <w:name w:val="Footer Char"/>
    <w:basedOn w:val="DefaultParagraphFont"/>
    <w:uiPriority w:val="99"/>
    <w:semiHidden/>
    <w:rsid w:val="00C372A6"/>
    <w:rPr>
      <w:rFonts w:ascii="Times New Roman" w:eastAsia="Times New Roman" w:hAnsi="Times New Roman" w:cs="Times New Roman"/>
      <w:sz w:val="24"/>
      <w:szCs w:val="24"/>
      <w:lang w:val="ro-RO"/>
    </w:rPr>
  </w:style>
  <w:style w:type="character" w:customStyle="1" w:styleId="FooterChar1">
    <w:name w:val="Footer Char1"/>
    <w:basedOn w:val="DefaultParagraphFont"/>
    <w:link w:val="Footer"/>
    <w:rsid w:val="00C372A6"/>
    <w:rPr>
      <w:rFonts w:ascii="Calibri" w:eastAsia="Calibri" w:hAnsi="Calibri" w:cs="Calibri"/>
      <w:kern w:val="1"/>
      <w:lang w:val="ro-RO" w:eastAsia="ar-SA"/>
    </w:rPr>
  </w:style>
  <w:style w:type="character" w:customStyle="1" w:styleId="apple-style-span">
    <w:name w:val="apple-style-span"/>
    <w:basedOn w:val="DefaultParagraphFont"/>
    <w:rsid w:val="00485E87"/>
  </w:style>
  <w:style w:type="character" w:styleId="Emphasis">
    <w:name w:val="Emphasis"/>
    <w:basedOn w:val="DefaultParagraphFont"/>
    <w:uiPriority w:val="20"/>
    <w:qFormat/>
    <w:rsid w:val="006E1A14"/>
    <w:rPr>
      <w:i/>
      <w:iCs/>
    </w:rPr>
  </w:style>
  <w:style w:type="paragraph" w:styleId="BalloonText">
    <w:name w:val="Balloon Text"/>
    <w:basedOn w:val="Normal"/>
    <w:link w:val="BalloonTextChar"/>
    <w:uiPriority w:val="99"/>
    <w:semiHidden/>
    <w:unhideWhenUsed/>
    <w:rsid w:val="006B0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221"/>
    <w:rPr>
      <w:rFonts w:ascii="Segoe UI" w:eastAsia="Times New Roman" w:hAnsi="Segoe UI" w:cs="Segoe UI"/>
      <w:sz w:val="18"/>
      <w:szCs w:val="18"/>
      <w:lang w:val="ro-RO"/>
    </w:rPr>
  </w:style>
  <w:style w:type="character" w:customStyle="1" w:styleId="al0">
    <w:name w:val="al"/>
    <w:basedOn w:val="DefaultParagraphFont"/>
    <w:rsid w:val="00D50739"/>
  </w:style>
  <w:style w:type="character" w:customStyle="1" w:styleId="tal">
    <w:name w:val="tal"/>
    <w:basedOn w:val="DefaultParagraphFont"/>
    <w:rsid w:val="00D50739"/>
  </w:style>
  <w:style w:type="table" w:styleId="TableGrid">
    <w:name w:val="Table Grid"/>
    <w:basedOn w:val="TableNormal"/>
    <w:uiPriority w:val="39"/>
    <w:rsid w:val="0060616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5185">
      <w:bodyDiv w:val="1"/>
      <w:marLeft w:val="0"/>
      <w:marRight w:val="0"/>
      <w:marTop w:val="0"/>
      <w:marBottom w:val="0"/>
      <w:divBdr>
        <w:top w:val="none" w:sz="0" w:space="0" w:color="auto"/>
        <w:left w:val="none" w:sz="0" w:space="0" w:color="auto"/>
        <w:bottom w:val="none" w:sz="0" w:space="0" w:color="auto"/>
        <w:right w:val="none" w:sz="0" w:space="0" w:color="auto"/>
      </w:divBdr>
    </w:div>
    <w:div w:id="370807619">
      <w:bodyDiv w:val="1"/>
      <w:marLeft w:val="0"/>
      <w:marRight w:val="0"/>
      <w:marTop w:val="0"/>
      <w:marBottom w:val="0"/>
      <w:divBdr>
        <w:top w:val="none" w:sz="0" w:space="0" w:color="auto"/>
        <w:left w:val="none" w:sz="0" w:space="0" w:color="auto"/>
        <w:bottom w:val="none" w:sz="0" w:space="0" w:color="auto"/>
        <w:right w:val="none" w:sz="0" w:space="0" w:color="auto"/>
      </w:divBdr>
    </w:div>
    <w:div w:id="450822861">
      <w:bodyDiv w:val="1"/>
      <w:marLeft w:val="0"/>
      <w:marRight w:val="0"/>
      <w:marTop w:val="0"/>
      <w:marBottom w:val="0"/>
      <w:divBdr>
        <w:top w:val="none" w:sz="0" w:space="0" w:color="auto"/>
        <w:left w:val="none" w:sz="0" w:space="0" w:color="auto"/>
        <w:bottom w:val="none" w:sz="0" w:space="0" w:color="auto"/>
        <w:right w:val="none" w:sz="0" w:space="0" w:color="auto"/>
      </w:divBdr>
    </w:div>
    <w:div w:id="820584148">
      <w:bodyDiv w:val="1"/>
      <w:marLeft w:val="0"/>
      <w:marRight w:val="0"/>
      <w:marTop w:val="0"/>
      <w:marBottom w:val="0"/>
      <w:divBdr>
        <w:top w:val="none" w:sz="0" w:space="0" w:color="auto"/>
        <w:left w:val="none" w:sz="0" w:space="0" w:color="auto"/>
        <w:bottom w:val="none" w:sz="0" w:space="0" w:color="auto"/>
        <w:right w:val="none" w:sz="0" w:space="0" w:color="auto"/>
      </w:divBdr>
    </w:div>
    <w:div w:id="854265275">
      <w:bodyDiv w:val="1"/>
      <w:marLeft w:val="0"/>
      <w:marRight w:val="0"/>
      <w:marTop w:val="0"/>
      <w:marBottom w:val="0"/>
      <w:divBdr>
        <w:top w:val="none" w:sz="0" w:space="0" w:color="auto"/>
        <w:left w:val="none" w:sz="0" w:space="0" w:color="auto"/>
        <w:bottom w:val="none" w:sz="0" w:space="0" w:color="auto"/>
        <w:right w:val="none" w:sz="0" w:space="0" w:color="auto"/>
      </w:divBdr>
    </w:div>
    <w:div w:id="961231171">
      <w:bodyDiv w:val="1"/>
      <w:marLeft w:val="0"/>
      <w:marRight w:val="0"/>
      <w:marTop w:val="0"/>
      <w:marBottom w:val="0"/>
      <w:divBdr>
        <w:top w:val="none" w:sz="0" w:space="0" w:color="auto"/>
        <w:left w:val="none" w:sz="0" w:space="0" w:color="auto"/>
        <w:bottom w:val="none" w:sz="0" w:space="0" w:color="auto"/>
        <w:right w:val="none" w:sz="0" w:space="0" w:color="auto"/>
      </w:divBdr>
    </w:div>
    <w:div w:id="1089275753">
      <w:bodyDiv w:val="1"/>
      <w:marLeft w:val="0"/>
      <w:marRight w:val="0"/>
      <w:marTop w:val="0"/>
      <w:marBottom w:val="0"/>
      <w:divBdr>
        <w:top w:val="none" w:sz="0" w:space="0" w:color="auto"/>
        <w:left w:val="none" w:sz="0" w:space="0" w:color="auto"/>
        <w:bottom w:val="none" w:sz="0" w:space="0" w:color="auto"/>
        <w:right w:val="none" w:sz="0" w:space="0" w:color="auto"/>
      </w:divBdr>
    </w:div>
    <w:div w:id="1197238942">
      <w:bodyDiv w:val="1"/>
      <w:marLeft w:val="0"/>
      <w:marRight w:val="0"/>
      <w:marTop w:val="0"/>
      <w:marBottom w:val="0"/>
      <w:divBdr>
        <w:top w:val="none" w:sz="0" w:space="0" w:color="auto"/>
        <w:left w:val="none" w:sz="0" w:space="0" w:color="auto"/>
        <w:bottom w:val="none" w:sz="0" w:space="0" w:color="auto"/>
        <w:right w:val="none" w:sz="0" w:space="0" w:color="auto"/>
      </w:divBdr>
    </w:div>
    <w:div w:id="1255359825">
      <w:bodyDiv w:val="1"/>
      <w:marLeft w:val="0"/>
      <w:marRight w:val="0"/>
      <w:marTop w:val="0"/>
      <w:marBottom w:val="0"/>
      <w:divBdr>
        <w:top w:val="none" w:sz="0" w:space="0" w:color="auto"/>
        <w:left w:val="none" w:sz="0" w:space="0" w:color="auto"/>
        <w:bottom w:val="none" w:sz="0" w:space="0" w:color="auto"/>
        <w:right w:val="none" w:sz="0" w:space="0" w:color="auto"/>
      </w:divBdr>
      <w:divsChild>
        <w:div w:id="1338919476">
          <w:marLeft w:val="0"/>
          <w:marRight w:val="0"/>
          <w:marTop w:val="120"/>
          <w:marBottom w:val="0"/>
          <w:divBdr>
            <w:top w:val="none" w:sz="0" w:space="0" w:color="auto"/>
            <w:left w:val="none" w:sz="0" w:space="0" w:color="auto"/>
            <w:bottom w:val="none" w:sz="0" w:space="0" w:color="auto"/>
            <w:right w:val="none" w:sz="0" w:space="0" w:color="auto"/>
          </w:divBdr>
          <w:divsChild>
            <w:div w:id="54364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875">
      <w:bodyDiv w:val="1"/>
      <w:marLeft w:val="0"/>
      <w:marRight w:val="0"/>
      <w:marTop w:val="0"/>
      <w:marBottom w:val="0"/>
      <w:divBdr>
        <w:top w:val="none" w:sz="0" w:space="0" w:color="auto"/>
        <w:left w:val="none" w:sz="0" w:space="0" w:color="auto"/>
        <w:bottom w:val="none" w:sz="0" w:space="0" w:color="auto"/>
        <w:right w:val="none" w:sz="0" w:space="0" w:color="auto"/>
      </w:divBdr>
    </w:div>
    <w:div w:id="1834686102">
      <w:bodyDiv w:val="1"/>
      <w:marLeft w:val="0"/>
      <w:marRight w:val="0"/>
      <w:marTop w:val="0"/>
      <w:marBottom w:val="0"/>
      <w:divBdr>
        <w:top w:val="none" w:sz="0" w:space="0" w:color="auto"/>
        <w:left w:val="none" w:sz="0" w:space="0" w:color="auto"/>
        <w:bottom w:val="none" w:sz="0" w:space="0" w:color="auto"/>
        <w:right w:val="none" w:sz="0" w:space="0" w:color="auto"/>
      </w:divBdr>
    </w:div>
    <w:div w:id="2133940870">
      <w:bodyDiv w:val="1"/>
      <w:marLeft w:val="0"/>
      <w:marRight w:val="0"/>
      <w:marTop w:val="0"/>
      <w:marBottom w:val="0"/>
      <w:divBdr>
        <w:top w:val="none" w:sz="0" w:space="0" w:color="auto"/>
        <w:left w:val="none" w:sz="0" w:space="0" w:color="auto"/>
        <w:bottom w:val="none" w:sz="0" w:space="0" w:color="auto"/>
        <w:right w:val="none" w:sz="0" w:space="0" w:color="auto"/>
      </w:divBdr>
      <w:divsChild>
        <w:div w:id="187063791">
          <w:marLeft w:val="0"/>
          <w:marRight w:val="0"/>
          <w:marTop w:val="0"/>
          <w:marBottom w:val="0"/>
          <w:divBdr>
            <w:top w:val="dashed" w:sz="2" w:space="0" w:color="FFFFFF"/>
            <w:left w:val="dashed" w:sz="2" w:space="0" w:color="FFFFFF"/>
            <w:bottom w:val="dashed" w:sz="2" w:space="0" w:color="FFFFFF"/>
            <w:right w:val="dashed" w:sz="2" w:space="0" w:color="FFFFFF"/>
          </w:divBdr>
        </w:div>
        <w:div w:id="75564726">
          <w:marLeft w:val="0"/>
          <w:marRight w:val="0"/>
          <w:marTop w:val="0"/>
          <w:marBottom w:val="0"/>
          <w:divBdr>
            <w:top w:val="dashed" w:sz="2" w:space="0" w:color="FFFFFF"/>
            <w:left w:val="dashed" w:sz="2" w:space="0" w:color="FFFFFF"/>
            <w:bottom w:val="dashed" w:sz="2" w:space="0" w:color="FFFFFF"/>
            <w:right w:val="dashed" w:sz="2" w:space="0" w:color="FFFFFF"/>
          </w:divBdr>
          <w:divsChild>
            <w:div w:id="1061490234">
              <w:marLeft w:val="0"/>
              <w:marRight w:val="0"/>
              <w:marTop w:val="0"/>
              <w:marBottom w:val="0"/>
              <w:divBdr>
                <w:top w:val="dashed" w:sz="2" w:space="0" w:color="FFFFFF"/>
                <w:left w:val="dashed" w:sz="2" w:space="0" w:color="FFFFFF"/>
                <w:bottom w:val="dashed" w:sz="2" w:space="0" w:color="FFFFFF"/>
                <w:right w:val="dashed" w:sz="2" w:space="0" w:color="FFFFFF"/>
              </w:divBdr>
            </w:div>
            <w:div w:id="1675035413">
              <w:marLeft w:val="0"/>
              <w:marRight w:val="0"/>
              <w:marTop w:val="0"/>
              <w:marBottom w:val="0"/>
              <w:divBdr>
                <w:top w:val="dashed" w:sz="2" w:space="0" w:color="FFFFFF"/>
                <w:left w:val="dashed" w:sz="2" w:space="0" w:color="FFFFFF"/>
                <w:bottom w:val="dashed" w:sz="2" w:space="0" w:color="FFFFFF"/>
                <w:right w:val="dashed" w:sz="2" w:space="0" w:color="FFFFFF"/>
              </w:divBdr>
            </w:div>
            <w:div w:id="981153890">
              <w:marLeft w:val="0"/>
              <w:marRight w:val="0"/>
              <w:marTop w:val="0"/>
              <w:marBottom w:val="0"/>
              <w:divBdr>
                <w:top w:val="dashed" w:sz="2" w:space="0" w:color="FFFFFF"/>
                <w:left w:val="dashed" w:sz="2" w:space="0" w:color="FFFFFF"/>
                <w:bottom w:val="dashed" w:sz="2" w:space="0" w:color="FFFFFF"/>
                <w:right w:val="dashed" w:sz="2" w:space="0" w:color="FFFFFF"/>
              </w:divBdr>
            </w:div>
            <w:div w:id="268586619">
              <w:marLeft w:val="0"/>
              <w:marRight w:val="0"/>
              <w:marTop w:val="0"/>
              <w:marBottom w:val="0"/>
              <w:divBdr>
                <w:top w:val="dashed" w:sz="2" w:space="0" w:color="FFFFFF"/>
                <w:left w:val="dashed" w:sz="2" w:space="0" w:color="FFFFFF"/>
                <w:bottom w:val="dashed" w:sz="2" w:space="0" w:color="FFFFFF"/>
                <w:right w:val="dashed" w:sz="2" w:space="0" w:color="FFFFFF"/>
              </w:divBdr>
            </w:div>
            <w:div w:id="19388303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4E2AB-832E-479C-B2F2-14966A6E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2441</Words>
  <Characters>13916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dan.kalber</dc:creator>
  <cp:lastModifiedBy>Mircea Fechet</cp:lastModifiedBy>
  <cp:revision>2</cp:revision>
  <cp:lastPrinted>2025-10-22T07:08:00Z</cp:lastPrinted>
  <dcterms:created xsi:type="dcterms:W3CDTF">2025-10-27T09:57:00Z</dcterms:created>
  <dcterms:modified xsi:type="dcterms:W3CDTF">2025-10-27T09:57:00Z</dcterms:modified>
</cp:coreProperties>
</file>