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CF65E" w14:textId="0E05742C" w:rsidR="00350DBA" w:rsidRPr="00EF6BEB" w:rsidRDefault="00350DBA" w:rsidP="00FD62F1">
      <w:pPr>
        <w:rPr>
          <w:rFonts w:ascii="ING Me" w:hAnsi="ING Me"/>
          <w:b/>
          <w:bCs/>
          <w:i/>
          <w:iCs/>
          <w:noProof/>
          <w:lang w:val="ro-RO"/>
        </w:rPr>
      </w:pPr>
      <w:r w:rsidRPr="00EF6BEB">
        <w:rPr>
          <w:rFonts w:ascii="ING Me" w:hAnsi="ING Me"/>
          <w:i/>
          <w:iCs/>
          <w:lang w:val="ro-RO"/>
        </w:rPr>
        <w:t>Opiniile și analizele prezentate în acest articol reflectă exclusiv punctul de vedere al autorului, în calitate de economist, și nu reprezintă poziția oficială a ING Bank sau a oricărei entități afiliate. Conținutul are scop informativ și nu constituie recomandare financiară, juridică sau de investiții.</w:t>
      </w:r>
    </w:p>
    <w:p w14:paraId="1A7739F7" w14:textId="577081B6" w:rsidR="00FD62F1" w:rsidRPr="00EF6BEB" w:rsidRDefault="00A564D3" w:rsidP="00FD62F1">
      <w:pPr>
        <w:rPr>
          <w:rFonts w:ascii="ING Me" w:hAnsi="ING Me"/>
          <w:b/>
          <w:bCs/>
          <w:noProof/>
          <w:lang w:val="ro-RO"/>
        </w:rPr>
      </w:pPr>
      <w:r w:rsidRPr="00EF6BEB">
        <w:rPr>
          <w:rFonts w:ascii="ING Me" w:hAnsi="ING Me"/>
          <w:b/>
          <w:bCs/>
          <w:noProof/>
          <w:lang w:val="ro-RO"/>
        </w:rPr>
        <w:t xml:space="preserve">Romania și </w:t>
      </w:r>
      <w:r w:rsidR="00892F32" w:rsidRPr="00EF6BEB">
        <w:rPr>
          <w:rFonts w:ascii="ING Me" w:hAnsi="ING Me"/>
          <w:b/>
          <w:bCs/>
          <w:noProof/>
          <w:lang w:val="ro-RO"/>
        </w:rPr>
        <w:t>revoluția IA: provocări și oportunități</w:t>
      </w:r>
    </w:p>
    <w:p w14:paraId="6AF76B01" w14:textId="19C6EA21" w:rsidR="00FD62F1" w:rsidRPr="00EF6BEB" w:rsidRDefault="00FD62F1" w:rsidP="00FD62F1">
      <w:pPr>
        <w:rPr>
          <w:rFonts w:ascii="ING Me" w:hAnsi="ING Me"/>
          <w:noProof/>
          <w:color w:val="FF0000"/>
          <w:lang w:val="ro-RO"/>
        </w:rPr>
      </w:pPr>
      <w:r w:rsidRPr="00EF6BEB">
        <w:rPr>
          <w:rFonts w:ascii="ING Me" w:hAnsi="ING Me"/>
          <w:noProof/>
          <w:lang w:val="ro-RO"/>
        </w:rPr>
        <w:t xml:space="preserve">Inteligența artificială (IA) devine rapid o tehnologie transformatoare, reconfigurând modul în care producem, creăm valoare și organizăm economia. La nivel global, adoptarea sa avansează într-un ritm mai alert decât revoluțiile tehnologice anterioare, precum internetul sau calculatoarele personale. </w:t>
      </w:r>
    </w:p>
    <w:p w14:paraId="5D200563" w14:textId="48FD608D" w:rsidR="00FD62F1" w:rsidRPr="00EF6BEB" w:rsidRDefault="00FD62F1" w:rsidP="00FD62F1">
      <w:pPr>
        <w:rPr>
          <w:rFonts w:ascii="ING Me" w:hAnsi="ING Me"/>
          <w:noProof/>
          <w:lang w:val="ro-RO"/>
        </w:rPr>
      </w:pPr>
      <w:r w:rsidRPr="00EF6BEB">
        <w:rPr>
          <w:rFonts w:ascii="ING Me" w:hAnsi="ING Me"/>
          <w:noProof/>
          <w:lang w:val="ro-RO"/>
        </w:rPr>
        <w:t xml:space="preserve">Deși IA promite să fie un motor puternic pentru producție și productivitate, ea amenință simultan să perturbe piața muncii cu o viteză fără precedent. </w:t>
      </w:r>
      <w:r w:rsidR="002D6B93" w:rsidRPr="00EF6BEB">
        <w:rPr>
          <w:rFonts w:ascii="ING Me" w:hAnsi="ING Me"/>
          <w:noProof/>
          <w:lang w:val="ro-RO"/>
        </w:rPr>
        <w:t xml:space="preserve">Prin urmare, </w:t>
      </w:r>
      <w:r w:rsidR="00BE400F" w:rsidRPr="00EF6BEB">
        <w:rPr>
          <w:rFonts w:ascii="ING Me" w:hAnsi="ING Me"/>
          <w:noProof/>
          <w:lang w:val="ro-RO"/>
        </w:rPr>
        <w:t>deși este posibil ca scenariul prezentat mai jos să</w:t>
      </w:r>
      <w:r w:rsidR="00B2774C" w:rsidRPr="00EF6BEB">
        <w:rPr>
          <w:rFonts w:ascii="ING Me" w:hAnsi="ING Me"/>
          <w:noProof/>
          <w:lang w:val="ro-RO"/>
        </w:rPr>
        <w:t xml:space="preserve">  nu fie neapărat </w:t>
      </w:r>
      <w:r w:rsidR="008C6672" w:rsidRPr="00EF6BEB">
        <w:rPr>
          <w:rFonts w:ascii="ING Me" w:hAnsi="ING Me"/>
          <w:noProof/>
          <w:lang w:val="ro-RO"/>
        </w:rPr>
        <w:t>cel mai probabil</w:t>
      </w:r>
      <w:r w:rsidR="000F1EAD" w:rsidRPr="00EF6BEB">
        <w:rPr>
          <w:rFonts w:ascii="ING Me" w:hAnsi="ING Me"/>
          <w:noProof/>
          <w:lang w:val="ro-RO"/>
        </w:rPr>
        <w:t xml:space="preserve">, considerăm că </w:t>
      </w:r>
      <w:r w:rsidR="002D6B93" w:rsidRPr="00EF6BEB">
        <w:rPr>
          <w:rFonts w:ascii="ING Me" w:hAnsi="ING Me"/>
          <w:noProof/>
          <w:lang w:val="ro-RO"/>
        </w:rPr>
        <w:t xml:space="preserve">este important să analizăm </w:t>
      </w:r>
      <w:r w:rsidR="00807F1D" w:rsidRPr="00EF6BEB">
        <w:rPr>
          <w:rFonts w:ascii="ING Me" w:hAnsi="ING Me"/>
          <w:noProof/>
          <w:lang w:val="ro-RO"/>
        </w:rPr>
        <w:t xml:space="preserve">o astfel de </w:t>
      </w:r>
      <w:r w:rsidR="00663C1C" w:rsidRPr="00EF6BEB">
        <w:rPr>
          <w:rFonts w:ascii="ING Me" w:hAnsi="ING Me"/>
          <w:noProof/>
          <w:lang w:val="ro-RO"/>
        </w:rPr>
        <w:t>situație</w:t>
      </w:r>
      <w:r w:rsidR="002D6B93" w:rsidRPr="00EF6BEB">
        <w:rPr>
          <w:rFonts w:ascii="ING Me" w:hAnsi="ING Me"/>
          <w:noProof/>
          <w:lang w:val="ro-RO"/>
        </w:rPr>
        <w:t xml:space="preserve"> în care automatizarea susține performanțe macroeconomice solide, dar în paralel șomaj</w:t>
      </w:r>
      <w:r w:rsidR="000F1EAD" w:rsidRPr="00EF6BEB">
        <w:rPr>
          <w:rFonts w:ascii="ING Me" w:hAnsi="ING Me"/>
          <w:noProof/>
          <w:lang w:val="ro-RO"/>
        </w:rPr>
        <w:t>ul devine</w:t>
      </w:r>
      <w:r w:rsidR="002D6B93" w:rsidRPr="00EF6BEB">
        <w:rPr>
          <w:rFonts w:ascii="ING Me" w:hAnsi="ING Me"/>
          <w:noProof/>
          <w:lang w:val="ro-RO"/>
        </w:rPr>
        <w:t xml:space="preserve"> structural, pe măsură ce segmente întregi ale forței de muncă sunt înlocuite mai rapid decât pot dobândi competențe noi.</w:t>
      </w:r>
      <w:r w:rsidR="00A6275F" w:rsidRPr="00EF6BEB">
        <w:rPr>
          <w:rFonts w:ascii="ING Me" w:hAnsi="ING Me"/>
          <w:noProof/>
          <w:lang w:val="ro-RO"/>
        </w:rPr>
        <w:t xml:space="preserve"> </w:t>
      </w:r>
      <w:r w:rsidRPr="00EF6BEB">
        <w:rPr>
          <w:rFonts w:ascii="ING Me" w:hAnsi="ING Me"/>
          <w:noProof/>
          <w:lang w:val="ro-RO"/>
        </w:rPr>
        <w:t xml:space="preserve">Acest articol explorează </w:t>
      </w:r>
      <w:r w:rsidR="00A6275F" w:rsidRPr="00EF6BEB">
        <w:rPr>
          <w:rFonts w:ascii="ING Me" w:hAnsi="ING Me"/>
          <w:noProof/>
          <w:lang w:val="ro-RO"/>
        </w:rPr>
        <w:t xml:space="preserve">exact </w:t>
      </w:r>
      <w:r w:rsidRPr="00EF6BEB">
        <w:rPr>
          <w:rFonts w:ascii="ING Me" w:hAnsi="ING Me"/>
          <w:noProof/>
          <w:lang w:val="ro-RO"/>
        </w:rPr>
        <w:t xml:space="preserve">această tensiune: cum ar putea IA să îmbunătățească cifrele macroeconomice ale României, lăsând în urmă o parte a forței sale de muncă. </w:t>
      </w:r>
      <w:r w:rsidR="00CA23BB" w:rsidRPr="00EF6BEB">
        <w:rPr>
          <w:rFonts w:ascii="ING Me" w:hAnsi="ING Me"/>
          <w:noProof/>
          <w:lang w:val="ro-RO"/>
        </w:rPr>
        <w:t xml:space="preserve">În cadrul articolului </w:t>
      </w:r>
      <w:r w:rsidRPr="00EF6BEB">
        <w:rPr>
          <w:rFonts w:ascii="ING Me" w:hAnsi="ING Me"/>
          <w:noProof/>
          <w:lang w:val="ro-RO"/>
        </w:rPr>
        <w:t xml:space="preserve">folosim termenul </w:t>
      </w:r>
      <w:r w:rsidR="00CA23BB" w:rsidRPr="00EF6BEB">
        <w:rPr>
          <w:rFonts w:ascii="ING Me" w:hAnsi="ING Me"/>
          <w:noProof/>
          <w:lang w:val="ro-RO"/>
        </w:rPr>
        <w:t xml:space="preserve">de IA </w:t>
      </w:r>
      <w:r w:rsidRPr="00EF6BEB">
        <w:rPr>
          <w:rFonts w:ascii="ING Me" w:hAnsi="ING Me"/>
          <w:noProof/>
          <w:lang w:val="ro-RO"/>
        </w:rPr>
        <w:t>în sens larg, incluzând tehnologii conexe precum automatizarea și robotica.</w:t>
      </w:r>
    </w:p>
    <w:p w14:paraId="307B7D22" w14:textId="77777777" w:rsidR="00FD62F1" w:rsidRPr="00EF6BEB" w:rsidRDefault="00FD62F1" w:rsidP="00FD62F1">
      <w:pPr>
        <w:rPr>
          <w:rFonts w:ascii="ING Me" w:hAnsi="ING Me"/>
          <w:b/>
          <w:bCs/>
          <w:noProof/>
          <w:lang w:val="ro-RO"/>
        </w:rPr>
      </w:pPr>
      <w:r w:rsidRPr="00EF6BEB">
        <w:rPr>
          <w:rFonts w:ascii="ING Me" w:hAnsi="ING Me"/>
          <w:b/>
          <w:bCs/>
          <w:noProof/>
          <w:lang w:val="ro-RO"/>
        </w:rPr>
        <w:t>Peisajul digital și educațional al României</w:t>
      </w:r>
    </w:p>
    <w:p w14:paraId="1E8ADE4A" w14:textId="643A1B34" w:rsidR="00B32B0E" w:rsidRPr="00EF6BEB" w:rsidRDefault="00FD62F1" w:rsidP="00B32B0E">
      <w:pPr>
        <w:rPr>
          <w:rFonts w:ascii="ING Me" w:hAnsi="ING Me"/>
          <w:noProof/>
          <w:lang w:val="ro-RO"/>
        </w:rPr>
      </w:pPr>
      <w:r w:rsidRPr="00EF6BEB">
        <w:rPr>
          <w:rFonts w:ascii="ING Me" w:hAnsi="ING Me"/>
          <w:noProof/>
          <w:lang w:val="ro-RO"/>
        </w:rPr>
        <w:t>Înainte de a vorbi despre viitor, trebuie să privim realitatea din teren, care dezvăluie o fundație fragilă.</w:t>
      </w:r>
      <w:r w:rsidR="00B32B0E" w:rsidRPr="00EF6BEB">
        <w:rPr>
          <w:rFonts w:ascii="ING Me" w:hAnsi="ING Me"/>
          <w:noProof/>
          <w:lang w:val="ro-RO"/>
        </w:rPr>
        <w:t xml:space="preserve"> Deși România se mândrește cu unele dintre cele mai mari viteze de internet din Europa, utilizarea acestei infrastructuri pentru activități economice complexe (dincolo de divertisment și comunicare de bază) rămâne scăzută.</w:t>
      </w:r>
      <w:r w:rsidR="00033A4A" w:rsidRPr="00EF6BEB">
        <w:rPr>
          <w:rFonts w:ascii="ING Me" w:hAnsi="ING Me"/>
          <w:noProof/>
          <w:lang w:val="ro-RO"/>
        </w:rPr>
        <w:t xml:space="preserve"> Printre multe altele, putem enumera:</w:t>
      </w:r>
    </w:p>
    <w:p w14:paraId="2C55FDC7" w14:textId="77777777" w:rsidR="0027063A" w:rsidRPr="00EF6BEB" w:rsidRDefault="00FD62F1" w:rsidP="00FD62F1">
      <w:pPr>
        <w:pStyle w:val="ListParagraph"/>
        <w:numPr>
          <w:ilvl w:val="0"/>
          <w:numId w:val="1"/>
        </w:numPr>
        <w:rPr>
          <w:rFonts w:ascii="ING Me" w:hAnsi="ING Me"/>
          <w:noProof/>
          <w:lang w:val="ro-RO"/>
        </w:rPr>
      </w:pPr>
      <w:r w:rsidRPr="00EF6BEB">
        <w:rPr>
          <w:rFonts w:ascii="ING Me" w:hAnsi="ING Me"/>
          <w:noProof/>
          <w:lang w:val="ro-RO"/>
        </w:rPr>
        <w:t xml:space="preserve">Decalajul DESI: România ocupă ultimul loc în UE în Indicele Economiei și Societății Digitale (DESI). Deși viteza internetului este </w:t>
      </w:r>
      <w:r w:rsidR="0027063A" w:rsidRPr="00EF6BEB">
        <w:rPr>
          <w:rFonts w:ascii="ING Me" w:hAnsi="ING Me"/>
          <w:noProof/>
          <w:lang w:val="ro-RO"/>
        </w:rPr>
        <w:t>de</w:t>
      </w:r>
      <w:r w:rsidRPr="00EF6BEB">
        <w:rPr>
          <w:rFonts w:ascii="ING Me" w:hAnsi="ING Me"/>
          <w:noProof/>
          <w:lang w:val="ro-RO"/>
        </w:rPr>
        <w:t xml:space="preserve"> nivel mondial, digitalizarea afacerilor și a serviciilor publice rămâne mult în urmă</w:t>
      </w:r>
    </w:p>
    <w:p w14:paraId="025D60BF" w14:textId="4D194EEF" w:rsidR="0027063A" w:rsidRPr="00EF6BEB" w:rsidRDefault="00FD62F1" w:rsidP="00FD62F1">
      <w:pPr>
        <w:pStyle w:val="ListParagraph"/>
        <w:numPr>
          <w:ilvl w:val="0"/>
          <w:numId w:val="1"/>
        </w:numPr>
        <w:rPr>
          <w:rFonts w:ascii="ING Me" w:hAnsi="ING Me"/>
          <w:noProof/>
          <w:lang w:val="ro-RO"/>
        </w:rPr>
      </w:pPr>
      <w:r w:rsidRPr="00EF6BEB">
        <w:rPr>
          <w:rFonts w:ascii="ING Me" w:hAnsi="ING Me"/>
          <w:noProof/>
          <w:lang w:val="ro-RO"/>
        </w:rPr>
        <w:t xml:space="preserve">Decalajul competențelor: </w:t>
      </w:r>
      <w:r w:rsidR="00FE551A" w:rsidRPr="00EF6BEB">
        <w:rPr>
          <w:rFonts w:ascii="ING Me" w:hAnsi="ING Me"/>
          <w:noProof/>
          <w:lang w:val="ro-RO"/>
        </w:rPr>
        <w:t>î</w:t>
      </w:r>
      <w:r w:rsidRPr="00EF6BEB">
        <w:rPr>
          <w:rFonts w:ascii="ING Me" w:hAnsi="ING Me"/>
          <w:noProof/>
          <w:lang w:val="ro-RO"/>
        </w:rPr>
        <w:t xml:space="preserve">n ciuda faptului că România are una dintre cele mai mari ponderi de absolvenți </w:t>
      </w:r>
      <w:r w:rsidR="00FE551A" w:rsidRPr="00EF6BEB">
        <w:rPr>
          <w:rFonts w:ascii="ING Me" w:hAnsi="ING Me"/>
          <w:noProof/>
          <w:lang w:val="ro-RO"/>
        </w:rPr>
        <w:t>IT&amp;</w:t>
      </w:r>
      <w:r w:rsidRPr="00EF6BEB">
        <w:rPr>
          <w:rFonts w:ascii="ING Me" w:hAnsi="ING Me"/>
          <w:noProof/>
          <w:lang w:val="ro-RO"/>
        </w:rPr>
        <w:t>C din totalul absolvenților din Europa, doar 28% din populație deține competențe digitale de bază (față de o medie UE de peste 55%)</w:t>
      </w:r>
    </w:p>
    <w:p w14:paraId="69026D1A" w14:textId="6BCE731C" w:rsidR="00EB213D" w:rsidRPr="00EF6BEB" w:rsidRDefault="00FD62F1" w:rsidP="00FD62F1">
      <w:pPr>
        <w:pStyle w:val="ListParagraph"/>
        <w:numPr>
          <w:ilvl w:val="0"/>
          <w:numId w:val="1"/>
        </w:numPr>
        <w:rPr>
          <w:rFonts w:ascii="ING Me" w:hAnsi="ING Me"/>
          <w:noProof/>
          <w:lang w:val="ro-RO"/>
        </w:rPr>
      </w:pPr>
      <w:r w:rsidRPr="00EF6BEB">
        <w:rPr>
          <w:rFonts w:ascii="ING Me" w:hAnsi="ING Me"/>
          <w:noProof/>
          <w:lang w:val="ro-RO"/>
        </w:rPr>
        <w:t xml:space="preserve">Avertismentul PISA: </w:t>
      </w:r>
      <w:r w:rsidR="00483879" w:rsidRPr="00EF6BEB">
        <w:rPr>
          <w:rFonts w:ascii="ING Me" w:hAnsi="ING Me"/>
          <w:noProof/>
          <w:lang w:val="ro-RO"/>
        </w:rPr>
        <w:t>r</w:t>
      </w:r>
      <w:r w:rsidRPr="00EF6BEB">
        <w:rPr>
          <w:rFonts w:ascii="ING Me" w:hAnsi="ING Me"/>
          <w:noProof/>
          <w:lang w:val="ro-RO"/>
        </w:rPr>
        <w:t xml:space="preserve">ezultatele </w:t>
      </w:r>
      <w:r w:rsidR="00505B62" w:rsidRPr="00EF6BEB">
        <w:rPr>
          <w:rFonts w:ascii="ING Me" w:hAnsi="ING Me"/>
          <w:noProof/>
          <w:lang w:val="ro-RO"/>
        </w:rPr>
        <w:t xml:space="preserve">testelor PISA </w:t>
      </w:r>
      <w:r w:rsidRPr="00EF6BEB">
        <w:rPr>
          <w:rFonts w:ascii="ING Me" w:hAnsi="ING Me"/>
          <w:noProof/>
          <w:lang w:val="ro-RO"/>
        </w:rPr>
        <w:t>arată că elevii români performează mult sub media OE</w:t>
      </w:r>
      <w:r w:rsidR="00483879" w:rsidRPr="00EF6BEB">
        <w:rPr>
          <w:rFonts w:ascii="ING Me" w:hAnsi="ING Me"/>
          <w:noProof/>
          <w:lang w:val="ro-RO"/>
        </w:rPr>
        <w:t>CD</w:t>
      </w:r>
      <w:r w:rsidRPr="00EF6BEB">
        <w:rPr>
          <w:rFonts w:ascii="ING Me" w:hAnsi="ING Me"/>
          <w:noProof/>
          <w:lang w:val="ro-RO"/>
        </w:rPr>
        <w:t xml:space="preserve"> la matematică, citire și științe. Îngrijorător este faptul că o proporție mare de elevi sunt analfabeți funcțional, semnalând </w:t>
      </w:r>
      <w:r w:rsidR="00505B62" w:rsidRPr="00EF6BEB">
        <w:rPr>
          <w:rFonts w:ascii="ING Me" w:hAnsi="ING Me"/>
          <w:noProof/>
          <w:lang w:val="ro-RO"/>
        </w:rPr>
        <w:t xml:space="preserve">viitoare </w:t>
      </w:r>
      <w:r w:rsidRPr="00EF6BEB">
        <w:rPr>
          <w:rFonts w:ascii="ING Me" w:hAnsi="ING Me"/>
          <w:noProof/>
          <w:lang w:val="ro-RO"/>
        </w:rPr>
        <w:t>dificultăți majore în adaptarea, învățarea și rezolvarea problemelor noi</w:t>
      </w:r>
    </w:p>
    <w:p w14:paraId="70BAAD72" w14:textId="7F4C37A9" w:rsidR="00FD62F1" w:rsidRPr="00EF6BEB" w:rsidRDefault="00FD62F1" w:rsidP="00FD62F1">
      <w:pPr>
        <w:pStyle w:val="ListParagraph"/>
        <w:numPr>
          <w:ilvl w:val="0"/>
          <w:numId w:val="1"/>
        </w:numPr>
        <w:rPr>
          <w:rFonts w:ascii="ING Me" w:hAnsi="ING Me"/>
          <w:noProof/>
          <w:lang w:val="ro-RO"/>
        </w:rPr>
      </w:pPr>
      <w:r w:rsidRPr="00EF6BEB">
        <w:rPr>
          <w:rFonts w:ascii="ING Me" w:hAnsi="ING Me"/>
          <w:noProof/>
          <w:lang w:val="ro-RO"/>
        </w:rPr>
        <w:t xml:space="preserve">Decalajul demografic: România se confruntă cu o populație în scădere și îmbătrânire, precum și cu un exod semnificativ al creierelor. </w:t>
      </w:r>
      <w:r w:rsidR="00EB213D" w:rsidRPr="00EF6BEB">
        <w:rPr>
          <w:rFonts w:ascii="ING Me" w:hAnsi="ING Me"/>
          <w:noProof/>
          <w:lang w:val="ro-RO"/>
        </w:rPr>
        <w:t>În această privință</w:t>
      </w:r>
      <w:r w:rsidRPr="00EF6BEB">
        <w:rPr>
          <w:rFonts w:ascii="ING Me" w:hAnsi="ING Me"/>
          <w:noProof/>
          <w:lang w:val="ro-RO"/>
        </w:rPr>
        <w:t xml:space="preserve">, impactul inițial al IA ar putea fi chiar </w:t>
      </w:r>
      <w:r w:rsidR="00043AE7" w:rsidRPr="00EF6BEB">
        <w:rPr>
          <w:rFonts w:ascii="ING Me" w:hAnsi="ING Me"/>
          <w:noProof/>
          <w:lang w:val="ro-RO"/>
        </w:rPr>
        <w:t xml:space="preserve">pozitiv, prin </w:t>
      </w:r>
      <w:r w:rsidRPr="00EF6BEB">
        <w:rPr>
          <w:rFonts w:ascii="ING Me" w:hAnsi="ING Me"/>
          <w:noProof/>
          <w:lang w:val="ro-RO"/>
        </w:rPr>
        <w:t>acoperi</w:t>
      </w:r>
      <w:r w:rsidR="00043AE7" w:rsidRPr="00EF6BEB">
        <w:rPr>
          <w:rFonts w:ascii="ING Me" w:hAnsi="ING Me"/>
          <w:noProof/>
          <w:lang w:val="ro-RO"/>
        </w:rPr>
        <w:t>rea</w:t>
      </w:r>
      <w:r w:rsidRPr="00EF6BEB">
        <w:rPr>
          <w:rFonts w:ascii="ING Me" w:hAnsi="ING Me"/>
          <w:noProof/>
          <w:lang w:val="ro-RO"/>
        </w:rPr>
        <w:t xml:space="preserve"> un</w:t>
      </w:r>
      <w:r w:rsidR="002477B1" w:rsidRPr="00EF6BEB">
        <w:rPr>
          <w:rFonts w:ascii="ING Me" w:hAnsi="ING Me"/>
          <w:noProof/>
          <w:lang w:val="ro-RO"/>
        </w:rPr>
        <w:t>or</w:t>
      </w:r>
      <w:r w:rsidRPr="00EF6BEB">
        <w:rPr>
          <w:rFonts w:ascii="ING Me" w:hAnsi="ING Me"/>
          <w:noProof/>
          <w:lang w:val="ro-RO"/>
        </w:rPr>
        <w:t xml:space="preserve"> goluri din piața muncii, înainte de a deveni un concurent pentru locurile de muncă</w:t>
      </w:r>
    </w:p>
    <w:p w14:paraId="0E43AC3F" w14:textId="77777777" w:rsidR="004900FE" w:rsidRPr="00EF6BEB" w:rsidRDefault="004900FE" w:rsidP="004900FE">
      <w:pPr>
        <w:ind w:left="360"/>
        <w:rPr>
          <w:rFonts w:ascii="ING Me" w:hAnsi="ING Me"/>
          <w:noProof/>
          <w:lang w:val="ro-RO"/>
        </w:rPr>
      </w:pPr>
    </w:p>
    <w:p w14:paraId="68AB782D" w14:textId="77777777" w:rsidR="004900FE" w:rsidRPr="00EF6BEB" w:rsidRDefault="004900FE" w:rsidP="004900FE">
      <w:pPr>
        <w:ind w:left="360"/>
        <w:rPr>
          <w:rFonts w:ascii="ING Me" w:hAnsi="ING Me"/>
          <w:noProof/>
          <w:lang w:val="ro-RO"/>
        </w:rPr>
      </w:pPr>
    </w:p>
    <w:p w14:paraId="2AA4B476" w14:textId="77777777" w:rsidR="004900FE" w:rsidRPr="00EF6BEB" w:rsidRDefault="004900FE" w:rsidP="004900FE">
      <w:pPr>
        <w:ind w:left="360"/>
        <w:rPr>
          <w:rFonts w:ascii="ING Me" w:hAnsi="ING Me"/>
          <w:noProof/>
          <w:lang w:val="ro-RO"/>
        </w:rPr>
      </w:pPr>
    </w:p>
    <w:p w14:paraId="5AEFEC98" w14:textId="77777777" w:rsidR="004900FE" w:rsidRPr="00EF6BEB" w:rsidRDefault="004900FE" w:rsidP="004900FE">
      <w:pPr>
        <w:ind w:left="360"/>
        <w:rPr>
          <w:rFonts w:ascii="ING Me" w:hAnsi="ING Me"/>
          <w:noProof/>
          <w:lang w:val="ro-RO"/>
        </w:rPr>
      </w:pPr>
    </w:p>
    <w:p w14:paraId="5BCDC244" w14:textId="77777777" w:rsidR="004900FE" w:rsidRPr="00EF6BEB" w:rsidRDefault="004900FE" w:rsidP="004900FE">
      <w:pPr>
        <w:ind w:left="360"/>
        <w:rPr>
          <w:rFonts w:ascii="ING Me" w:hAnsi="ING Me"/>
          <w:noProof/>
          <w:lang w:val="ro-RO"/>
        </w:rPr>
      </w:pPr>
    </w:p>
    <w:p w14:paraId="1D1C081F" w14:textId="77777777" w:rsidR="004900FE" w:rsidRPr="00EF6BEB" w:rsidRDefault="004900FE" w:rsidP="004900FE">
      <w:pPr>
        <w:ind w:left="360"/>
        <w:rPr>
          <w:rFonts w:ascii="ING Me" w:hAnsi="ING Me"/>
          <w:noProof/>
          <w:lang w:val="ro-RO"/>
        </w:rPr>
      </w:pPr>
    </w:p>
    <w:p w14:paraId="0AD788A9" w14:textId="77777777" w:rsidR="004900FE" w:rsidRPr="00EF6BEB" w:rsidRDefault="004900FE" w:rsidP="004900FE">
      <w:pPr>
        <w:ind w:left="360"/>
        <w:rPr>
          <w:rFonts w:ascii="ING Me" w:hAnsi="ING Me"/>
          <w:noProof/>
          <w:lang w:val="ro-RO"/>
        </w:rPr>
      </w:pPr>
    </w:p>
    <w:p w14:paraId="378432AF" w14:textId="7E8AB9A5" w:rsidR="004900FE" w:rsidRPr="00EF6BEB" w:rsidRDefault="004900FE" w:rsidP="004900FE">
      <w:pPr>
        <w:ind w:left="360"/>
        <w:rPr>
          <w:rFonts w:ascii="ING Me" w:hAnsi="ING Me"/>
          <w:noProof/>
          <w:lang w:val="ro-RO"/>
        </w:rPr>
      </w:pPr>
      <w:r w:rsidRPr="00EF6BEB">
        <w:rPr>
          <w:rFonts w:ascii="ING Me" w:hAnsi="ING Me"/>
          <w:noProof/>
          <w:lang w:val="ro-RO"/>
        </w:rPr>
        <w:t>Pr</w:t>
      </w:r>
      <w:r w:rsidR="000A2FB1" w:rsidRPr="00EF6BEB">
        <w:rPr>
          <w:rFonts w:ascii="ING Me" w:hAnsi="ING Me"/>
          <w:noProof/>
          <w:lang w:val="ro-RO"/>
        </w:rPr>
        <w:t>o</w:t>
      </w:r>
      <w:r w:rsidRPr="00EF6BEB">
        <w:rPr>
          <w:rFonts w:ascii="ING Me" w:hAnsi="ING Me"/>
          <w:noProof/>
          <w:lang w:val="ro-RO"/>
        </w:rPr>
        <w:t>centul de companii care utilizeaza tehnologii AI:</w:t>
      </w:r>
    </w:p>
    <w:p w14:paraId="3F43D4CE" w14:textId="0B3C3B59" w:rsidR="004900FE" w:rsidRPr="00EF6BEB" w:rsidRDefault="004900FE" w:rsidP="004900FE">
      <w:pPr>
        <w:rPr>
          <w:rFonts w:ascii="ING Me" w:hAnsi="ING Me"/>
          <w:noProof/>
          <w:lang w:val="ro-RO"/>
        </w:rPr>
      </w:pPr>
      <w:r w:rsidRPr="00EF6BEB">
        <w:rPr>
          <w:rFonts w:ascii="ING Me" w:hAnsi="ING Me"/>
          <w:noProof/>
          <w:lang w:val="ro-RO"/>
        </w:rPr>
        <w:drawing>
          <wp:inline distT="0" distB="0" distL="0" distR="0" wp14:anchorId="20BD877F" wp14:editId="2203D586">
            <wp:extent cx="6390640" cy="2261235"/>
            <wp:effectExtent l="0" t="0" r="0" b="5715"/>
            <wp:docPr id="1100952006" name="Chart 1">
              <a:extLst xmlns:a="http://schemas.openxmlformats.org/drawingml/2006/main">
                <a:ext uri="{FF2B5EF4-FFF2-40B4-BE49-F238E27FC236}">
                  <a16:creationId xmlns:a16="http://schemas.microsoft.com/office/drawing/2014/main" id="{4D0AD0A4-BA0D-5E7D-8CAD-FF41B99E18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44E59E" w14:textId="55A29F17" w:rsidR="004900FE" w:rsidRPr="00EF6BEB" w:rsidRDefault="004900FE" w:rsidP="00FD62F1">
      <w:pPr>
        <w:rPr>
          <w:rFonts w:ascii="ING Me" w:hAnsi="ING Me"/>
          <w:noProof/>
          <w:sz w:val="16"/>
          <w:szCs w:val="16"/>
          <w:lang w:val="ro-RO"/>
        </w:rPr>
      </w:pPr>
      <w:r w:rsidRPr="00EF6BEB">
        <w:rPr>
          <w:rFonts w:ascii="ING Me" w:hAnsi="ING Me"/>
          <w:noProof/>
          <w:sz w:val="16"/>
          <w:szCs w:val="16"/>
          <w:lang w:val="ro-RO"/>
        </w:rPr>
        <w:t>Sursa: Eurostat</w:t>
      </w:r>
    </w:p>
    <w:p w14:paraId="1C250D0C" w14:textId="3FD52E60" w:rsidR="00BE5E88" w:rsidRPr="00EF6BEB" w:rsidRDefault="00FD62F1" w:rsidP="00FD62F1">
      <w:pPr>
        <w:rPr>
          <w:rFonts w:ascii="ING Me" w:hAnsi="ING Me"/>
          <w:noProof/>
          <w:lang w:val="ro-RO"/>
        </w:rPr>
      </w:pPr>
      <w:r w:rsidRPr="00EF6BEB">
        <w:rPr>
          <w:rFonts w:ascii="ING Me" w:hAnsi="ING Me"/>
          <w:noProof/>
          <w:lang w:val="ro-RO"/>
        </w:rPr>
        <w:t>Această combinație de competențe digitale slabe și rezultate educaționale modeste reprezintă o provocare serioasă. Într-o economie bazată pe IA, adaptabilitatea</w:t>
      </w:r>
      <w:r w:rsidR="00170F7D" w:rsidRPr="00EF6BEB">
        <w:rPr>
          <w:rFonts w:ascii="ING Me" w:hAnsi="ING Me"/>
          <w:noProof/>
          <w:lang w:val="ro-RO"/>
        </w:rPr>
        <w:t xml:space="preserve"> cognitivă</w:t>
      </w:r>
      <w:r w:rsidRPr="00EF6BEB">
        <w:rPr>
          <w:rFonts w:ascii="ING Me" w:hAnsi="ING Me"/>
          <w:noProof/>
          <w:lang w:val="ro-RO"/>
        </w:rPr>
        <w:t xml:space="preserve"> devine </w:t>
      </w:r>
      <w:r w:rsidR="002644F1" w:rsidRPr="00EF6BEB">
        <w:rPr>
          <w:rFonts w:ascii="ING Me" w:hAnsi="ING Me"/>
          <w:noProof/>
          <w:lang w:val="ro-RO"/>
        </w:rPr>
        <w:t>esențială</w:t>
      </w:r>
      <w:r w:rsidRPr="00EF6BEB">
        <w:rPr>
          <w:rFonts w:ascii="ING Me" w:hAnsi="ING Me"/>
          <w:noProof/>
          <w:lang w:val="ro-RO"/>
        </w:rPr>
        <w:t xml:space="preserve">. Lipsa pregătirii digitale nu este doar un obstacol pentru afaceri, ci o potențială capcană </w:t>
      </w:r>
      <w:r w:rsidR="00215EC6" w:rsidRPr="00EF6BEB">
        <w:rPr>
          <w:rFonts w:ascii="ING Me" w:hAnsi="ING Me"/>
          <w:noProof/>
          <w:lang w:val="ro-RO"/>
        </w:rPr>
        <w:t>pentru</w:t>
      </w:r>
      <w:r w:rsidRPr="00EF6BEB">
        <w:rPr>
          <w:rFonts w:ascii="ING Me" w:hAnsi="ING Me"/>
          <w:noProof/>
          <w:lang w:val="ro-RO"/>
        </w:rPr>
        <w:t xml:space="preserve"> pi</w:t>
      </w:r>
      <w:r w:rsidR="00215EC6" w:rsidRPr="00EF6BEB">
        <w:rPr>
          <w:rFonts w:ascii="ING Me" w:hAnsi="ING Me"/>
          <w:noProof/>
          <w:lang w:val="ro-RO"/>
        </w:rPr>
        <w:t>a</w:t>
      </w:r>
      <w:r w:rsidRPr="00EF6BEB">
        <w:rPr>
          <w:rFonts w:ascii="ING Me" w:hAnsi="ING Me"/>
          <w:noProof/>
          <w:lang w:val="ro-RO"/>
        </w:rPr>
        <w:t>ț</w:t>
      </w:r>
      <w:r w:rsidR="00215EC6" w:rsidRPr="00EF6BEB">
        <w:rPr>
          <w:rFonts w:ascii="ING Me" w:hAnsi="ING Me"/>
          <w:noProof/>
          <w:lang w:val="ro-RO"/>
        </w:rPr>
        <w:t>a</w:t>
      </w:r>
      <w:r w:rsidRPr="00EF6BEB">
        <w:rPr>
          <w:rFonts w:ascii="ING Me" w:hAnsi="ING Me"/>
          <w:noProof/>
          <w:lang w:val="ro-RO"/>
        </w:rPr>
        <w:t xml:space="preserve"> muncii. Dacă forța de muncă se luptă cu alfabetizarea și logica de bază (așa cum indică scorurile PISA), mulți vor fi incapabili să se recalifice și să tranziteze către noile roluri pe care </w:t>
      </w:r>
      <w:r w:rsidR="00E43F31" w:rsidRPr="00EF6BEB">
        <w:rPr>
          <w:rFonts w:ascii="ING Me" w:hAnsi="ING Me"/>
          <w:noProof/>
          <w:lang w:val="ro-RO"/>
        </w:rPr>
        <w:t xml:space="preserve">IA </w:t>
      </w:r>
      <w:r w:rsidRPr="00EF6BEB">
        <w:rPr>
          <w:rFonts w:ascii="ING Me" w:hAnsi="ING Me"/>
          <w:noProof/>
          <w:lang w:val="ro-RO"/>
        </w:rPr>
        <w:t>le poate crea.</w:t>
      </w:r>
    </w:p>
    <w:p w14:paraId="251C840E" w14:textId="07C38FC1" w:rsidR="00FD62F1" w:rsidRPr="00EF6BEB" w:rsidRDefault="00FD62F1" w:rsidP="00FD62F1">
      <w:pPr>
        <w:rPr>
          <w:rFonts w:ascii="ING Me" w:hAnsi="ING Me"/>
          <w:b/>
          <w:bCs/>
          <w:noProof/>
          <w:lang w:val="ro-RO"/>
        </w:rPr>
      </w:pPr>
      <w:r w:rsidRPr="00EF6BEB">
        <w:rPr>
          <w:rFonts w:ascii="ING Me" w:hAnsi="ING Me"/>
          <w:b/>
          <w:bCs/>
          <w:noProof/>
          <w:lang w:val="ro-RO"/>
        </w:rPr>
        <w:t>Impactul IA la nivel sectorial</w:t>
      </w:r>
    </w:p>
    <w:p w14:paraId="5202CECC" w14:textId="77777777" w:rsidR="00FD62F1" w:rsidRPr="00EF6BEB" w:rsidRDefault="00FD62F1" w:rsidP="00FD62F1">
      <w:pPr>
        <w:rPr>
          <w:rFonts w:ascii="ING Me" w:hAnsi="ING Me"/>
          <w:noProof/>
          <w:lang w:val="ro-RO"/>
        </w:rPr>
      </w:pPr>
      <w:r w:rsidRPr="00EF6BEB">
        <w:rPr>
          <w:rFonts w:ascii="ING Me" w:hAnsi="ING Me"/>
          <w:noProof/>
          <w:lang w:val="ro-RO"/>
        </w:rPr>
        <w:t>IA nu va afecta fiecare parte a economiei în același mod. În timp ce automatizează multe sarcini cognitive și fizice de rutină, ar putea crește valoarea experiențelor distinct umane și a activităților "cu amprentă umană" – domenii în care România ar putea avea un potențial neexploatat.</w:t>
      </w:r>
    </w:p>
    <w:p w14:paraId="50C44D69" w14:textId="77777777" w:rsidR="00FD62F1" w:rsidRPr="00EF6BEB" w:rsidRDefault="00FD62F1" w:rsidP="00FD62F1">
      <w:pPr>
        <w:rPr>
          <w:rFonts w:ascii="ING Me" w:hAnsi="ING Me"/>
          <w:b/>
          <w:bCs/>
          <w:noProof/>
          <w:lang w:val="ro-RO"/>
        </w:rPr>
      </w:pPr>
      <w:r w:rsidRPr="00EF6BEB">
        <w:rPr>
          <w:rFonts w:ascii="ING Me" w:hAnsi="ING Me"/>
          <w:b/>
          <w:bCs/>
          <w:noProof/>
          <w:lang w:val="ro-RO"/>
        </w:rPr>
        <w:t>Industrie</w:t>
      </w:r>
    </w:p>
    <w:p w14:paraId="15DAA52A" w14:textId="35053B6A" w:rsidR="00FD62F1" w:rsidRPr="00EF6BEB" w:rsidRDefault="00FD62F1" w:rsidP="005D717B">
      <w:pPr>
        <w:pStyle w:val="ListParagraph"/>
        <w:numPr>
          <w:ilvl w:val="0"/>
          <w:numId w:val="2"/>
        </w:numPr>
        <w:rPr>
          <w:rFonts w:ascii="ING Me" w:hAnsi="ING Me"/>
          <w:noProof/>
          <w:lang w:val="ro-RO"/>
        </w:rPr>
      </w:pPr>
      <w:r w:rsidRPr="00EF6BEB">
        <w:rPr>
          <w:rFonts w:ascii="ING Me" w:hAnsi="ING Me"/>
          <w:noProof/>
          <w:lang w:val="ro-RO"/>
        </w:rPr>
        <w:t xml:space="preserve">Riscul: </w:t>
      </w:r>
      <w:r w:rsidR="0002212C" w:rsidRPr="00EF6BEB">
        <w:rPr>
          <w:rFonts w:ascii="ING Me" w:hAnsi="ING Me"/>
          <w:noProof/>
          <w:lang w:val="ro-RO"/>
        </w:rPr>
        <w:t>e</w:t>
      </w:r>
      <w:r w:rsidRPr="00EF6BEB">
        <w:rPr>
          <w:rFonts w:ascii="ING Me" w:hAnsi="ING Me"/>
          <w:noProof/>
          <w:lang w:val="ro-RO"/>
        </w:rPr>
        <w:t xml:space="preserve">rodarea avantajului "low-cost". Dinamica industrială a României s-a bazat mult timp pe un echilibru între </w:t>
      </w:r>
      <w:r w:rsidR="00794ACC" w:rsidRPr="00EF6BEB">
        <w:rPr>
          <w:rFonts w:ascii="ING Me" w:hAnsi="ING Me"/>
          <w:noProof/>
          <w:lang w:val="ro-RO"/>
        </w:rPr>
        <w:t xml:space="preserve">o </w:t>
      </w:r>
      <w:r w:rsidRPr="00EF6BEB">
        <w:rPr>
          <w:rFonts w:ascii="ING Me" w:hAnsi="ING Me"/>
          <w:noProof/>
          <w:lang w:val="ro-RO"/>
        </w:rPr>
        <w:t xml:space="preserve">forță de muncă </w:t>
      </w:r>
      <w:r w:rsidR="00794ACC" w:rsidRPr="00EF6BEB">
        <w:rPr>
          <w:rFonts w:ascii="ING Me" w:hAnsi="ING Me"/>
          <w:noProof/>
          <w:lang w:val="ro-RO"/>
        </w:rPr>
        <w:t xml:space="preserve">relativ </w:t>
      </w:r>
      <w:r w:rsidRPr="00EF6BEB">
        <w:rPr>
          <w:rFonts w:ascii="ING Me" w:hAnsi="ING Me"/>
          <w:noProof/>
          <w:lang w:val="ro-RO"/>
        </w:rPr>
        <w:t>calificată și costuri competitive. IA și robotica ar putea face acest avantaj irelevant. Dacă o fabrică poate funcționa 24/7 cu o supraveghere umană minimă</w:t>
      </w:r>
      <w:r w:rsidR="008261AD" w:rsidRPr="00EF6BEB">
        <w:rPr>
          <w:rFonts w:ascii="ING Me" w:hAnsi="ING Me"/>
          <w:noProof/>
          <w:lang w:val="ro-RO"/>
        </w:rPr>
        <w:t xml:space="preserve"> atât în România cât și în Germania sau Franța</w:t>
      </w:r>
      <w:r w:rsidRPr="00EF6BEB">
        <w:rPr>
          <w:rFonts w:ascii="ING Me" w:hAnsi="ING Me"/>
          <w:noProof/>
          <w:lang w:val="ro-RO"/>
        </w:rPr>
        <w:t xml:space="preserve">, stimulentul de a delocaliza (sau menține) producția în România scade – cu excepția cazului în care România urcă în lanțul valoric (ceea ce va necesita o forță de muncă capabilă să întrețină roboți, nu doar să asambleze piese) și/sau demonstrează avantaje comparative distincte (un mediu fiscal mai </w:t>
      </w:r>
      <w:r w:rsidR="0063799A" w:rsidRPr="00EF6BEB">
        <w:rPr>
          <w:rFonts w:ascii="ING Me" w:hAnsi="ING Me"/>
          <w:noProof/>
          <w:lang w:val="ro-RO"/>
        </w:rPr>
        <w:t>competitiv</w:t>
      </w:r>
      <w:r w:rsidRPr="00EF6BEB">
        <w:rPr>
          <w:rFonts w:ascii="ING Me" w:hAnsi="ING Me"/>
          <w:noProof/>
          <w:lang w:val="ro-RO"/>
        </w:rPr>
        <w:t>, locație strategică, legături de transport etc.)</w:t>
      </w:r>
    </w:p>
    <w:p w14:paraId="162A910B" w14:textId="4E130E93" w:rsidR="00653B2F" w:rsidRPr="00EF6BEB" w:rsidRDefault="00FD62F1" w:rsidP="00FD62F1">
      <w:pPr>
        <w:pStyle w:val="ListParagraph"/>
        <w:numPr>
          <w:ilvl w:val="0"/>
          <w:numId w:val="2"/>
        </w:numPr>
        <w:rPr>
          <w:rFonts w:ascii="ING Me" w:hAnsi="ING Me"/>
          <w:noProof/>
          <w:lang w:val="ro-RO"/>
        </w:rPr>
      </w:pPr>
      <w:r w:rsidRPr="00EF6BEB">
        <w:rPr>
          <w:rFonts w:ascii="ING Me" w:hAnsi="ING Me"/>
          <w:noProof/>
          <w:lang w:val="ro-RO"/>
        </w:rPr>
        <w:t xml:space="preserve">Perspectiva forței de muncă: </w:t>
      </w:r>
      <w:r w:rsidR="0002212C" w:rsidRPr="00EF6BEB">
        <w:rPr>
          <w:rFonts w:ascii="ING Me" w:hAnsi="ING Me"/>
          <w:noProof/>
          <w:lang w:val="ro-RO"/>
        </w:rPr>
        <w:t>p</w:t>
      </w:r>
      <w:r w:rsidRPr="00EF6BEB">
        <w:rPr>
          <w:rFonts w:ascii="ING Me" w:hAnsi="ING Me"/>
          <w:noProof/>
          <w:lang w:val="ro-RO"/>
        </w:rPr>
        <w:t>e măsură ce fabricile integrează IA și robotica pentru a rămâne competitive, producția poate crește, dar ocuparea forței de muncă ar putea scădea. Forța de muncă trebuie să urce în lanțul valoric</w:t>
      </w:r>
      <w:r w:rsidR="00A617FC" w:rsidRPr="00EF6BEB">
        <w:rPr>
          <w:rFonts w:ascii="ING Me" w:hAnsi="ING Me"/>
          <w:noProof/>
          <w:lang w:val="ro-RO"/>
        </w:rPr>
        <w:t xml:space="preserve"> (</w:t>
      </w:r>
      <w:r w:rsidR="00653B2F" w:rsidRPr="00EF6BEB">
        <w:rPr>
          <w:rFonts w:ascii="ING Me" w:hAnsi="ING Me"/>
          <w:noProof/>
          <w:lang w:val="ro-RO"/>
        </w:rPr>
        <w:t>către activități mai comple</w:t>
      </w:r>
      <w:r w:rsidR="0068101F" w:rsidRPr="00EF6BEB">
        <w:rPr>
          <w:rFonts w:ascii="ING Me" w:hAnsi="ING Me"/>
          <w:noProof/>
          <w:lang w:val="ro-RO"/>
        </w:rPr>
        <w:t>x</w:t>
      </w:r>
      <w:r w:rsidR="00653B2F" w:rsidRPr="00EF6BEB">
        <w:rPr>
          <w:rFonts w:ascii="ING Me" w:hAnsi="ING Me"/>
          <w:noProof/>
          <w:lang w:val="ro-RO"/>
        </w:rPr>
        <w:t>e)</w:t>
      </w:r>
      <w:r w:rsidRPr="00EF6BEB">
        <w:rPr>
          <w:rFonts w:ascii="ING Me" w:hAnsi="ING Me"/>
          <w:noProof/>
          <w:lang w:val="ro-RO"/>
        </w:rPr>
        <w:t xml:space="preserve"> sau să se confrunte cu dislocarea</w:t>
      </w:r>
    </w:p>
    <w:p w14:paraId="756D4C5E" w14:textId="73CCCF6B" w:rsidR="00FD62F1" w:rsidRPr="00EF6BEB" w:rsidRDefault="00FD62F1" w:rsidP="00FD62F1">
      <w:pPr>
        <w:pStyle w:val="ListParagraph"/>
        <w:numPr>
          <w:ilvl w:val="0"/>
          <w:numId w:val="2"/>
        </w:numPr>
        <w:rPr>
          <w:rFonts w:ascii="ING Me" w:hAnsi="ING Me"/>
          <w:noProof/>
          <w:lang w:val="ro-RO"/>
        </w:rPr>
      </w:pPr>
      <w:r w:rsidRPr="00EF6BEB">
        <w:rPr>
          <w:rFonts w:ascii="ING Me" w:hAnsi="ING Me"/>
          <w:noProof/>
          <w:lang w:val="ro-RO"/>
        </w:rPr>
        <w:t xml:space="preserve">O posibilă oportunitate: </w:t>
      </w:r>
      <w:r w:rsidR="00653B2F" w:rsidRPr="00EF6BEB">
        <w:rPr>
          <w:rFonts w:ascii="ING Me" w:hAnsi="ING Me"/>
          <w:noProof/>
          <w:lang w:val="ro-RO"/>
        </w:rPr>
        <w:t>e</w:t>
      </w:r>
      <w:r w:rsidRPr="00EF6BEB">
        <w:rPr>
          <w:rFonts w:ascii="ING Me" w:hAnsi="ING Me"/>
          <w:noProof/>
          <w:lang w:val="ro-RO"/>
        </w:rPr>
        <w:t xml:space="preserve">nergia. România este un lider regional în energie, cu un mix de producție divers și în expansiune (nuclear, hidro, gaz, regenerabile). Gestionarea acestei rețele complexe va necesita o </w:t>
      </w:r>
      <w:r w:rsidR="00653B2F" w:rsidRPr="00EF6BEB">
        <w:rPr>
          <w:rFonts w:ascii="ING Me" w:hAnsi="ING Me"/>
          <w:noProof/>
          <w:lang w:val="ro-RO"/>
        </w:rPr>
        <w:t xml:space="preserve">capacitate de </w:t>
      </w:r>
      <w:r w:rsidRPr="00EF6BEB">
        <w:rPr>
          <w:rFonts w:ascii="ING Me" w:hAnsi="ING Me"/>
          <w:noProof/>
          <w:lang w:val="ro-RO"/>
        </w:rPr>
        <w:t>procesare masivă a datelor</w:t>
      </w:r>
      <w:r w:rsidR="001A6981" w:rsidRPr="00EF6BEB">
        <w:rPr>
          <w:rFonts w:ascii="ING Me" w:hAnsi="ING Me"/>
          <w:noProof/>
          <w:lang w:val="ro-RO"/>
        </w:rPr>
        <w:t xml:space="preserve"> – </w:t>
      </w:r>
      <w:r w:rsidR="00A775A2" w:rsidRPr="00EF6BEB">
        <w:rPr>
          <w:rFonts w:ascii="ING Me" w:hAnsi="ING Me"/>
          <w:noProof/>
          <w:lang w:val="ro-RO"/>
        </w:rPr>
        <w:t>un caz</w:t>
      </w:r>
      <w:r w:rsidR="001A6981" w:rsidRPr="00EF6BEB">
        <w:rPr>
          <w:rFonts w:ascii="ING Me" w:hAnsi="ING Me"/>
          <w:noProof/>
          <w:lang w:val="ro-RO"/>
        </w:rPr>
        <w:t xml:space="preserve"> </w:t>
      </w:r>
      <w:r w:rsidRPr="00EF6BEB">
        <w:rPr>
          <w:rFonts w:ascii="ING Me" w:hAnsi="ING Me"/>
          <w:noProof/>
          <w:lang w:val="ro-RO"/>
        </w:rPr>
        <w:t xml:space="preserve">perfect pentru </w:t>
      </w:r>
      <w:r w:rsidR="001A6981" w:rsidRPr="00EF6BEB">
        <w:rPr>
          <w:rFonts w:ascii="ING Me" w:hAnsi="ING Me"/>
          <w:noProof/>
          <w:lang w:val="ro-RO"/>
        </w:rPr>
        <w:t xml:space="preserve">utilizarea </w:t>
      </w:r>
      <w:r w:rsidRPr="00EF6BEB">
        <w:rPr>
          <w:rFonts w:ascii="ING Me" w:hAnsi="ING Me"/>
          <w:noProof/>
          <w:lang w:val="ro-RO"/>
        </w:rPr>
        <w:t xml:space="preserve">IA. Implementarea IA pentru echilibrarea "rețelelor inteligente" (smart grids) ar putea permite României să integreze mai bine energia solară și eoliană, surse care </w:t>
      </w:r>
      <w:r w:rsidR="004872A1" w:rsidRPr="00EF6BEB">
        <w:rPr>
          <w:rFonts w:ascii="ING Me" w:hAnsi="ING Me"/>
          <w:noProof/>
          <w:lang w:val="ro-RO"/>
        </w:rPr>
        <w:t xml:space="preserve">pot </w:t>
      </w:r>
      <w:r w:rsidRPr="00EF6BEB">
        <w:rPr>
          <w:rFonts w:ascii="ING Me" w:hAnsi="ING Me"/>
          <w:noProof/>
          <w:lang w:val="ro-RO"/>
        </w:rPr>
        <w:t xml:space="preserve"> genereaz</w:t>
      </w:r>
      <w:r w:rsidR="004872A1" w:rsidRPr="00EF6BEB">
        <w:rPr>
          <w:rFonts w:ascii="ING Me" w:hAnsi="ING Me"/>
          <w:noProof/>
          <w:lang w:val="ro-RO"/>
        </w:rPr>
        <w:t>a</w:t>
      </w:r>
      <w:r w:rsidRPr="00EF6BEB">
        <w:rPr>
          <w:rFonts w:ascii="ING Me" w:hAnsi="ING Me"/>
          <w:noProof/>
          <w:lang w:val="ro-RO"/>
        </w:rPr>
        <w:t xml:space="preserve"> numeroase bătăi de cap administratorilor de sistem</w:t>
      </w:r>
      <w:r w:rsidR="004872A1" w:rsidRPr="00EF6BEB">
        <w:rPr>
          <w:rFonts w:ascii="ING Me" w:hAnsi="ING Me"/>
          <w:noProof/>
          <w:lang w:val="ro-RO"/>
        </w:rPr>
        <w:t xml:space="preserve"> datorită fluctuațiilor inerente de producție.</w:t>
      </w:r>
    </w:p>
    <w:p w14:paraId="7D17A29D" w14:textId="77777777" w:rsidR="00FD62F1" w:rsidRPr="00EF6BEB" w:rsidRDefault="00FD62F1" w:rsidP="00FD62F1">
      <w:pPr>
        <w:rPr>
          <w:rFonts w:ascii="ING Me" w:hAnsi="ING Me"/>
          <w:b/>
          <w:bCs/>
          <w:noProof/>
          <w:lang w:val="ro-RO"/>
        </w:rPr>
      </w:pPr>
      <w:r w:rsidRPr="00EF6BEB">
        <w:rPr>
          <w:rFonts w:ascii="ING Me" w:hAnsi="ING Me"/>
          <w:b/>
          <w:bCs/>
          <w:noProof/>
          <w:lang w:val="ro-RO"/>
        </w:rPr>
        <w:t>Agricultură</w:t>
      </w:r>
    </w:p>
    <w:p w14:paraId="0EC6539B" w14:textId="21B5C184" w:rsidR="00FD62F1" w:rsidRPr="00EF6BEB" w:rsidRDefault="00D77C85" w:rsidP="00923C42">
      <w:pPr>
        <w:pStyle w:val="ListParagraph"/>
        <w:numPr>
          <w:ilvl w:val="0"/>
          <w:numId w:val="3"/>
        </w:numPr>
        <w:rPr>
          <w:rFonts w:ascii="ING Me" w:hAnsi="ING Me"/>
          <w:noProof/>
          <w:lang w:val="ro-RO"/>
        </w:rPr>
      </w:pPr>
      <w:r w:rsidRPr="00EF6BEB">
        <w:rPr>
          <w:rFonts w:ascii="ING Me" w:hAnsi="ING Me"/>
          <w:noProof/>
          <w:lang w:val="ro-RO"/>
        </w:rPr>
        <w:t>Inevitabila eficientizare</w:t>
      </w:r>
      <w:r w:rsidR="00FD62F1" w:rsidRPr="00EF6BEB">
        <w:rPr>
          <w:rFonts w:ascii="ING Me" w:hAnsi="ING Me"/>
          <w:noProof/>
          <w:lang w:val="ro-RO"/>
        </w:rPr>
        <w:t xml:space="preserve">: </w:t>
      </w:r>
      <w:r w:rsidRPr="00EF6BEB">
        <w:rPr>
          <w:rFonts w:ascii="ING Me" w:hAnsi="ING Me"/>
          <w:noProof/>
          <w:lang w:val="ro-RO"/>
        </w:rPr>
        <w:t>a</w:t>
      </w:r>
      <w:r w:rsidR="00FD62F1" w:rsidRPr="00EF6BEB">
        <w:rPr>
          <w:rFonts w:ascii="ING Me" w:hAnsi="ING Me"/>
          <w:noProof/>
          <w:lang w:val="ro-RO"/>
        </w:rPr>
        <w:t xml:space="preserve">gricultura reprezintă </w:t>
      </w:r>
      <w:r w:rsidR="00020827" w:rsidRPr="00EF6BEB">
        <w:rPr>
          <w:rFonts w:ascii="ING Me" w:hAnsi="ING Me"/>
          <w:noProof/>
          <w:lang w:val="ro-RO"/>
        </w:rPr>
        <w:t>sub</w:t>
      </w:r>
      <w:r w:rsidR="00FD62F1" w:rsidRPr="00EF6BEB">
        <w:rPr>
          <w:rFonts w:ascii="ING Me" w:hAnsi="ING Me"/>
          <w:noProof/>
          <w:lang w:val="ro-RO"/>
        </w:rPr>
        <w:t xml:space="preserve"> </w:t>
      </w:r>
      <w:r w:rsidR="00020827" w:rsidRPr="00EF6BEB">
        <w:rPr>
          <w:rFonts w:ascii="ING Me" w:hAnsi="ING Me"/>
          <w:noProof/>
          <w:lang w:val="ro-RO"/>
        </w:rPr>
        <w:t>5</w:t>
      </w:r>
      <w:r w:rsidR="00FD62F1" w:rsidRPr="00EF6BEB">
        <w:rPr>
          <w:rFonts w:ascii="ING Me" w:hAnsi="ING Me"/>
          <w:noProof/>
          <w:lang w:val="ro-RO"/>
        </w:rPr>
        <w:t xml:space="preserve">% din PIB-ul României, dar angajează circa 20% din forța de muncă. Acest dezechilibru masiv </w:t>
      </w:r>
      <w:r w:rsidR="00020827" w:rsidRPr="00EF6BEB">
        <w:rPr>
          <w:rFonts w:ascii="ING Me" w:hAnsi="ING Me"/>
          <w:noProof/>
          <w:lang w:val="ro-RO"/>
        </w:rPr>
        <w:t>indică</w:t>
      </w:r>
      <w:r w:rsidR="00FD62F1" w:rsidRPr="00EF6BEB">
        <w:rPr>
          <w:rFonts w:ascii="ING Me" w:hAnsi="ING Me"/>
          <w:noProof/>
          <w:lang w:val="ro-RO"/>
        </w:rPr>
        <w:t xml:space="preserve"> o productivitate scăzută. Agricultura de precizie bazată pe IA (drone, tractoare autonome, senzori inteligenți</w:t>
      </w:r>
      <w:r w:rsidR="007E251F" w:rsidRPr="00EF6BEB">
        <w:rPr>
          <w:rFonts w:ascii="ING Me" w:hAnsi="ING Me"/>
          <w:noProof/>
          <w:lang w:val="ro-RO"/>
        </w:rPr>
        <w:t xml:space="preserve">, </w:t>
      </w:r>
      <w:r w:rsidR="007C1C04" w:rsidRPr="00EF6BEB">
        <w:rPr>
          <w:rFonts w:ascii="ING Me" w:hAnsi="ING Me"/>
          <w:noProof/>
          <w:lang w:val="ro-RO"/>
        </w:rPr>
        <w:t xml:space="preserve">imagini satelitare și </w:t>
      </w:r>
      <w:r w:rsidR="007E251F" w:rsidRPr="00EF6BEB">
        <w:rPr>
          <w:rFonts w:ascii="ING Me" w:hAnsi="ING Me"/>
          <w:noProof/>
          <w:lang w:val="ro-RO"/>
        </w:rPr>
        <w:t>irigații automatizate</w:t>
      </w:r>
      <w:r w:rsidR="00886078" w:rsidRPr="00EF6BEB">
        <w:rPr>
          <w:rFonts w:ascii="ING Me" w:hAnsi="ING Me"/>
          <w:noProof/>
          <w:lang w:val="ro-RO"/>
        </w:rPr>
        <w:t xml:space="preserve"> etc.</w:t>
      </w:r>
      <w:r w:rsidR="00FD62F1" w:rsidRPr="00EF6BEB">
        <w:rPr>
          <w:rFonts w:ascii="ING Me" w:hAnsi="ING Me"/>
          <w:noProof/>
          <w:lang w:val="ro-RO"/>
        </w:rPr>
        <w:t xml:space="preserve">) oferă o cale de a crește randamentele în fermele mari, angajând în același timp foarte puțini oameni </w:t>
      </w:r>
    </w:p>
    <w:p w14:paraId="69820A71" w14:textId="52FDDE6B" w:rsidR="00FD62F1" w:rsidRPr="00EF6BEB" w:rsidRDefault="00FD62F1" w:rsidP="00D77C85">
      <w:pPr>
        <w:pStyle w:val="ListParagraph"/>
        <w:numPr>
          <w:ilvl w:val="0"/>
          <w:numId w:val="3"/>
        </w:numPr>
        <w:rPr>
          <w:rFonts w:ascii="ING Me" w:hAnsi="ING Me"/>
          <w:noProof/>
          <w:lang w:val="ro-RO"/>
        </w:rPr>
      </w:pPr>
      <w:r w:rsidRPr="00EF6BEB">
        <w:rPr>
          <w:rFonts w:ascii="ING Me" w:hAnsi="ING Me"/>
          <w:noProof/>
          <w:lang w:val="ro-RO"/>
        </w:rPr>
        <w:t xml:space="preserve">Perspectiva forței de muncă: </w:t>
      </w:r>
      <w:r w:rsidR="002A1AC5" w:rsidRPr="00EF6BEB">
        <w:rPr>
          <w:rFonts w:ascii="ING Me" w:hAnsi="ING Me"/>
          <w:noProof/>
          <w:lang w:val="ro-RO"/>
        </w:rPr>
        <w:t>u</w:t>
      </w:r>
      <w:r w:rsidRPr="00EF6BEB">
        <w:rPr>
          <w:rFonts w:ascii="ING Me" w:hAnsi="ING Me"/>
          <w:noProof/>
          <w:lang w:val="ro-RO"/>
        </w:rPr>
        <w:t xml:space="preserve">n boom de productivitate în agricultură este dezirabil economic, dar problematic social. Implică potențiala dislocare a mii de fermieri de subzistență și muncitori cu calificare redusă. În trecut, acești lucrători s-ar fi putut muta în fabrici, dar pe măsură ce și </w:t>
      </w:r>
      <w:r w:rsidR="00783319" w:rsidRPr="00EF6BEB">
        <w:rPr>
          <w:rFonts w:ascii="ING Me" w:hAnsi="ING Me"/>
          <w:noProof/>
          <w:lang w:val="ro-RO"/>
        </w:rPr>
        <w:t>fabricile</w:t>
      </w:r>
      <w:r w:rsidRPr="00EF6BEB">
        <w:rPr>
          <w:rFonts w:ascii="ING Me" w:hAnsi="ING Me"/>
          <w:noProof/>
          <w:lang w:val="ro-RO"/>
        </w:rPr>
        <w:t xml:space="preserve"> automatizează</w:t>
      </w:r>
      <w:r w:rsidR="00783319" w:rsidRPr="00EF6BEB">
        <w:rPr>
          <w:rFonts w:ascii="ING Me" w:hAnsi="ING Me"/>
          <w:noProof/>
          <w:lang w:val="ro-RO"/>
        </w:rPr>
        <w:t xml:space="preserve"> producția</w:t>
      </w:r>
      <w:r w:rsidRPr="00EF6BEB">
        <w:rPr>
          <w:rFonts w:ascii="ING Me" w:hAnsi="ING Me"/>
          <w:noProof/>
          <w:lang w:val="ro-RO"/>
        </w:rPr>
        <w:t>, capacitatea de absorbție scade. Acest lucru creează riscul unui șomaj structural pe termen lung în zonele rurale</w:t>
      </w:r>
    </w:p>
    <w:p w14:paraId="3CD7868A" w14:textId="310FF622" w:rsidR="00FD62F1" w:rsidRPr="00EF6BEB" w:rsidRDefault="00FD62F1" w:rsidP="00D77C85">
      <w:pPr>
        <w:pStyle w:val="ListParagraph"/>
        <w:numPr>
          <w:ilvl w:val="0"/>
          <w:numId w:val="3"/>
        </w:numPr>
        <w:rPr>
          <w:rFonts w:ascii="ING Me" w:hAnsi="ING Me"/>
          <w:noProof/>
          <w:lang w:val="ro-RO"/>
        </w:rPr>
      </w:pPr>
      <w:r w:rsidRPr="00EF6BEB">
        <w:rPr>
          <w:rFonts w:ascii="ING Me" w:hAnsi="ING Me"/>
          <w:noProof/>
          <w:lang w:val="ro-RO"/>
        </w:rPr>
        <w:t xml:space="preserve">Oportunitatea "organică": </w:t>
      </w:r>
      <w:r w:rsidR="00783319" w:rsidRPr="00EF6BEB">
        <w:rPr>
          <w:rFonts w:ascii="ING Me" w:hAnsi="ING Me"/>
          <w:noProof/>
          <w:lang w:val="ro-RO"/>
        </w:rPr>
        <w:t>p</w:t>
      </w:r>
      <w:r w:rsidRPr="00EF6BEB">
        <w:rPr>
          <w:rFonts w:ascii="ING Me" w:hAnsi="ING Me"/>
          <w:noProof/>
          <w:lang w:val="ro-RO"/>
        </w:rPr>
        <w:t xml:space="preserve">e măsură ce IA pătrunde în viața de zi cu zi făcând mâncarea industrială mai ieftină, cererea va crește probabil pentru produse "slow", organice și artizanale – lucruri care se simt autentice și "finisate de mână". </w:t>
      </w:r>
      <w:r w:rsidR="00DC4BAC" w:rsidRPr="00EF6BEB">
        <w:rPr>
          <w:rFonts w:ascii="ING Me" w:hAnsi="ING Me"/>
          <w:noProof/>
        </w:rPr>
        <w:t>România păstrează încă, în ansamblu, soluri agricole relativ curate, cu excepția unor zone localizate afectate de poluare industrială. În același timp, structura agricolă este dominată de ferme mici și familiale, ceea ce reflectă o tradiție solidă a agriculturii la scară mică, specifică mediului rural românesc.</w:t>
      </w:r>
      <w:r w:rsidRPr="00EF6BEB">
        <w:rPr>
          <w:rFonts w:ascii="ING Me" w:hAnsi="ING Me"/>
          <w:noProof/>
          <w:lang w:val="ro-RO"/>
        </w:rPr>
        <w:t xml:space="preserve"> În loc să concureze doar pe </w:t>
      </w:r>
      <w:r w:rsidR="00586D96" w:rsidRPr="00EF6BEB">
        <w:rPr>
          <w:rFonts w:ascii="ING Me" w:hAnsi="ING Me"/>
          <w:noProof/>
          <w:lang w:val="ro-RO"/>
        </w:rPr>
        <w:t xml:space="preserve">zona de </w:t>
      </w:r>
      <w:r w:rsidRPr="00EF6BEB">
        <w:rPr>
          <w:rFonts w:ascii="ING Me" w:hAnsi="ING Me"/>
          <w:noProof/>
          <w:lang w:val="ro-RO"/>
        </w:rPr>
        <w:t>eficienț</w:t>
      </w:r>
      <w:r w:rsidR="00DC4BAC" w:rsidRPr="00EF6BEB">
        <w:rPr>
          <w:rFonts w:ascii="ING Me" w:hAnsi="ING Me"/>
          <w:noProof/>
          <w:lang w:val="ro-RO"/>
        </w:rPr>
        <w:t>a</w:t>
      </w:r>
      <w:r w:rsidRPr="00EF6BEB">
        <w:rPr>
          <w:rFonts w:ascii="ING Me" w:hAnsi="ING Me"/>
          <w:noProof/>
          <w:lang w:val="ro-RO"/>
        </w:rPr>
        <w:t xml:space="preserve"> industrială, România ar putea absorbi forța de muncă rurală pivotând</w:t>
      </w:r>
      <w:r w:rsidR="001641A2" w:rsidRPr="00EF6BEB">
        <w:rPr>
          <w:rFonts w:ascii="ING Me" w:hAnsi="ING Me"/>
          <w:noProof/>
          <w:lang w:val="ro-RO"/>
        </w:rPr>
        <w:t xml:space="preserve"> în mod organizat</w:t>
      </w:r>
      <w:r w:rsidRPr="00EF6BEB">
        <w:rPr>
          <w:rFonts w:ascii="ING Me" w:hAnsi="ING Me"/>
          <w:noProof/>
          <w:lang w:val="ro-RO"/>
        </w:rPr>
        <w:t xml:space="preserve"> către agricultura ecologică premium, bazându-se mai mult pe munca manuală "pură". De obicei, acest lucru </w:t>
      </w:r>
      <w:r w:rsidR="009C1412" w:rsidRPr="00EF6BEB">
        <w:rPr>
          <w:rFonts w:ascii="ING Me" w:hAnsi="ING Me"/>
          <w:noProof/>
          <w:lang w:val="ro-RO"/>
        </w:rPr>
        <w:t>generează un preț mai mare pentru respectivele produse</w:t>
      </w:r>
    </w:p>
    <w:p w14:paraId="0722DFDB" w14:textId="254B6CED" w:rsidR="00CD2C83" w:rsidRPr="00EF6BEB" w:rsidRDefault="00CD2C83" w:rsidP="00CD2C83">
      <w:pPr>
        <w:rPr>
          <w:rFonts w:ascii="ING Me" w:hAnsi="ING Me"/>
          <w:noProof/>
          <w:lang w:val="ro-RO"/>
        </w:rPr>
      </w:pPr>
      <w:r w:rsidRPr="00EF6BEB">
        <w:rPr>
          <w:rFonts w:ascii="ING Me" w:hAnsi="ING Me"/>
          <w:noProof/>
          <w:lang w:val="ro-RO"/>
        </w:rPr>
        <w:drawing>
          <wp:inline distT="0" distB="0" distL="0" distR="0" wp14:anchorId="71B16AA8" wp14:editId="3E55ACE9">
            <wp:extent cx="3295650" cy="2314575"/>
            <wp:effectExtent l="0" t="0" r="0" b="9525"/>
            <wp:docPr id="1095574969" name="Chart 1">
              <a:extLst xmlns:a="http://schemas.openxmlformats.org/drawingml/2006/main">
                <a:ext uri="{FF2B5EF4-FFF2-40B4-BE49-F238E27FC236}">
                  <a16:creationId xmlns:a16="http://schemas.microsoft.com/office/drawing/2014/main" id="{9BF341B4-1D4A-3C36-D7A0-02697FC4F5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2A0A05" w:rsidRPr="00EF6BEB">
        <w:rPr>
          <w:rFonts w:ascii="ING Me" w:hAnsi="ING Me"/>
          <w:noProof/>
          <w:lang w:val="ro-RO"/>
        </w:rPr>
        <w:drawing>
          <wp:inline distT="0" distB="0" distL="0" distR="0" wp14:anchorId="599E8D93" wp14:editId="32AA1333">
            <wp:extent cx="3209925" cy="2317222"/>
            <wp:effectExtent l="0" t="0" r="9525" b="6985"/>
            <wp:docPr id="660100296" name="Chart 1">
              <a:extLst xmlns:a="http://schemas.openxmlformats.org/drawingml/2006/main">
                <a:ext uri="{FF2B5EF4-FFF2-40B4-BE49-F238E27FC236}">
                  <a16:creationId xmlns:a16="http://schemas.microsoft.com/office/drawing/2014/main" id="{D73379B5-A9B7-8167-F91C-3B63A189B7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AF9A78" w14:textId="77777777" w:rsidR="000A2FB1" w:rsidRPr="00EF6BEB" w:rsidRDefault="000A2FB1" w:rsidP="000A2FB1">
      <w:pPr>
        <w:rPr>
          <w:rFonts w:ascii="ING Me" w:hAnsi="ING Me"/>
          <w:noProof/>
          <w:sz w:val="16"/>
          <w:szCs w:val="16"/>
          <w:lang w:val="ro-RO"/>
        </w:rPr>
      </w:pPr>
      <w:r w:rsidRPr="00EF6BEB">
        <w:rPr>
          <w:rFonts w:ascii="ING Me" w:hAnsi="ING Me"/>
          <w:noProof/>
          <w:sz w:val="16"/>
          <w:szCs w:val="16"/>
          <w:lang w:val="ro-RO"/>
        </w:rPr>
        <w:t>Sursa: Eurostat</w:t>
      </w:r>
    </w:p>
    <w:p w14:paraId="3D2EF916" w14:textId="77777777" w:rsidR="00BE5E88" w:rsidRPr="00EF6BEB" w:rsidRDefault="00BE5E88" w:rsidP="00BE5E88">
      <w:pPr>
        <w:rPr>
          <w:rFonts w:ascii="ING Me" w:hAnsi="ING Me"/>
          <w:noProof/>
          <w:lang w:val="ro-RO"/>
        </w:rPr>
      </w:pPr>
    </w:p>
    <w:p w14:paraId="33512EC8" w14:textId="20B8ACBC" w:rsidR="00FD62F1" w:rsidRPr="00EF6BEB" w:rsidRDefault="004D26FD" w:rsidP="00FD62F1">
      <w:pPr>
        <w:rPr>
          <w:rFonts w:ascii="ING Me" w:hAnsi="ING Me"/>
          <w:b/>
          <w:bCs/>
          <w:noProof/>
          <w:lang w:val="ro-RO"/>
        </w:rPr>
      </w:pPr>
      <w:r w:rsidRPr="00EF6BEB">
        <w:rPr>
          <w:rFonts w:ascii="ING Me" w:hAnsi="ING Me"/>
          <w:b/>
          <w:bCs/>
          <w:noProof/>
          <w:lang w:val="ro-RO"/>
        </w:rPr>
        <w:t xml:space="preserve">HORECA - </w:t>
      </w:r>
      <w:r w:rsidR="00FD62F1" w:rsidRPr="00EF6BEB">
        <w:rPr>
          <w:rFonts w:ascii="ING Me" w:hAnsi="ING Me"/>
          <w:b/>
          <w:bCs/>
          <w:noProof/>
          <w:lang w:val="ro-RO"/>
        </w:rPr>
        <w:t>"Economia experiențelor"</w:t>
      </w:r>
    </w:p>
    <w:p w14:paraId="4C3B5414" w14:textId="534A1491" w:rsidR="000E6CE7" w:rsidRPr="00EF6BEB" w:rsidRDefault="00FD62F1" w:rsidP="00FD62F1">
      <w:pPr>
        <w:pStyle w:val="ListParagraph"/>
        <w:numPr>
          <w:ilvl w:val="0"/>
          <w:numId w:val="4"/>
        </w:numPr>
        <w:rPr>
          <w:rFonts w:ascii="ING Me" w:hAnsi="ING Me"/>
          <w:noProof/>
          <w:lang w:val="ro-RO"/>
        </w:rPr>
      </w:pPr>
      <w:r w:rsidRPr="00EF6BEB">
        <w:rPr>
          <w:rFonts w:ascii="ING Me" w:hAnsi="ING Me"/>
          <w:noProof/>
          <w:lang w:val="ro-RO"/>
        </w:rPr>
        <w:t xml:space="preserve">Valoarea conexiunii umane: </w:t>
      </w:r>
      <w:r w:rsidR="0013494E" w:rsidRPr="00EF6BEB">
        <w:rPr>
          <w:rFonts w:ascii="ING Me" w:hAnsi="ING Me"/>
          <w:noProof/>
          <w:lang w:val="ro-RO"/>
        </w:rPr>
        <w:t>p</w:t>
      </w:r>
      <w:r w:rsidRPr="00EF6BEB">
        <w:rPr>
          <w:rFonts w:ascii="ING Me" w:hAnsi="ING Me"/>
          <w:noProof/>
          <w:lang w:val="ro-RO"/>
        </w:rPr>
        <w:t xml:space="preserve">e măsură ce IA preia </w:t>
      </w:r>
      <w:r w:rsidR="00AC2766" w:rsidRPr="00EF6BEB">
        <w:rPr>
          <w:rFonts w:ascii="ING Me" w:hAnsi="ING Me"/>
          <w:noProof/>
          <w:lang w:val="ro-RO"/>
        </w:rPr>
        <w:t>tot mai multe sarcini</w:t>
      </w:r>
      <w:r w:rsidRPr="00EF6BEB">
        <w:rPr>
          <w:rFonts w:ascii="ING Me" w:hAnsi="ING Me"/>
          <w:noProof/>
          <w:lang w:val="ro-RO"/>
        </w:rPr>
        <w:t xml:space="preserve">, experiențele de viață </w:t>
      </w:r>
      <w:r w:rsidR="00B64C52" w:rsidRPr="00EF6BEB">
        <w:rPr>
          <w:rFonts w:ascii="ING Me" w:hAnsi="ING Me"/>
          <w:noProof/>
          <w:lang w:val="ro-RO"/>
        </w:rPr>
        <w:t>”adevărate”</w:t>
      </w:r>
      <w:r w:rsidRPr="00EF6BEB">
        <w:rPr>
          <w:rFonts w:ascii="ING Me" w:hAnsi="ING Me"/>
          <w:noProof/>
          <w:lang w:val="ro-RO"/>
        </w:rPr>
        <w:t xml:space="preserve"> devin mai valoroase. Oamenii ar putea căuta interacțiuni și medii care se simt autentice – ceva ce tehnologia nu poate replica ușor</w:t>
      </w:r>
    </w:p>
    <w:p w14:paraId="5CD00CDF" w14:textId="03F263F5" w:rsidR="00FD62F1" w:rsidRPr="00EF6BEB" w:rsidRDefault="00FD62F1" w:rsidP="00FD62F1">
      <w:pPr>
        <w:pStyle w:val="ListParagraph"/>
        <w:numPr>
          <w:ilvl w:val="0"/>
          <w:numId w:val="4"/>
        </w:numPr>
        <w:rPr>
          <w:rFonts w:ascii="ING Me" w:hAnsi="ING Me"/>
          <w:noProof/>
          <w:lang w:val="ro-RO"/>
        </w:rPr>
      </w:pPr>
      <w:r w:rsidRPr="00EF6BEB">
        <w:rPr>
          <w:rFonts w:ascii="ING Me" w:hAnsi="ING Me"/>
          <w:noProof/>
          <w:lang w:val="ro-RO"/>
        </w:rPr>
        <w:t xml:space="preserve">Potențialul: </w:t>
      </w:r>
      <w:r w:rsidR="000E6CE7" w:rsidRPr="00EF6BEB">
        <w:rPr>
          <w:rFonts w:ascii="ING Me" w:hAnsi="ING Me"/>
          <w:noProof/>
          <w:lang w:val="ro-RO"/>
        </w:rPr>
        <w:t>s</w:t>
      </w:r>
      <w:r w:rsidRPr="00EF6BEB">
        <w:rPr>
          <w:rFonts w:ascii="ING Me" w:hAnsi="ING Me"/>
          <w:noProof/>
          <w:lang w:val="ro-RO"/>
        </w:rPr>
        <w:t>ectorul turistic al României contribuie cu aproximativ 5% la PIB, dar rămâne subdezvoltat raportat la atuurile naturale și culturale</w:t>
      </w:r>
      <w:r w:rsidR="001010D8" w:rsidRPr="00EF6BEB">
        <w:rPr>
          <w:rFonts w:ascii="ING Me" w:hAnsi="ING Me"/>
          <w:noProof/>
          <w:lang w:val="ro-RO"/>
        </w:rPr>
        <w:t xml:space="preserve"> pe care România le are</w:t>
      </w:r>
      <w:r w:rsidRPr="00EF6BEB">
        <w:rPr>
          <w:rFonts w:ascii="ING Me" w:hAnsi="ING Me"/>
          <w:noProof/>
          <w:lang w:val="ro-RO"/>
        </w:rPr>
        <w:t>. Acest sector poate fi în mare parte "rezistent la IA" deoarece se bazează pe empatie, servicii și prezență fizică. Extinderea eco-turismului și a ofertelor bazate pe experiențe ar putea crea locuri de muncă bune care valorifică abilitățile sociale și interpersonale</w:t>
      </w:r>
      <w:r w:rsidR="0079425B" w:rsidRPr="00EF6BEB">
        <w:rPr>
          <w:rFonts w:ascii="ING Me" w:hAnsi="ING Me"/>
          <w:noProof/>
          <w:lang w:val="ro-RO"/>
        </w:rPr>
        <w:t>. S</w:t>
      </w:r>
      <w:r w:rsidRPr="00EF6BEB">
        <w:rPr>
          <w:rFonts w:ascii="ING Me" w:hAnsi="ING Me"/>
          <w:noProof/>
          <w:lang w:val="ro-RO"/>
        </w:rPr>
        <w:t xml:space="preserve">uccesul </w:t>
      </w:r>
      <w:r w:rsidR="0079425B" w:rsidRPr="00EF6BEB">
        <w:rPr>
          <w:rFonts w:ascii="ING Me" w:hAnsi="ING Me"/>
          <w:noProof/>
          <w:lang w:val="ro-RO"/>
        </w:rPr>
        <w:t>va</w:t>
      </w:r>
      <w:r w:rsidRPr="00EF6BEB">
        <w:rPr>
          <w:rFonts w:ascii="ING Me" w:hAnsi="ING Me"/>
          <w:noProof/>
          <w:lang w:val="ro-RO"/>
        </w:rPr>
        <w:t xml:space="preserve"> depinde </w:t>
      </w:r>
      <w:r w:rsidR="0079425B" w:rsidRPr="00EF6BEB">
        <w:rPr>
          <w:rFonts w:ascii="ING Me" w:hAnsi="ING Me"/>
          <w:noProof/>
          <w:lang w:val="ro-RO"/>
        </w:rPr>
        <w:t xml:space="preserve">însă </w:t>
      </w:r>
      <w:r w:rsidRPr="00EF6BEB">
        <w:rPr>
          <w:rFonts w:ascii="ING Me" w:hAnsi="ING Me"/>
          <w:noProof/>
          <w:lang w:val="ro-RO"/>
        </w:rPr>
        <w:t>și de îmbunătățiri în sistemul educațional pentru a consolida capacitățile de comunicare</w:t>
      </w:r>
      <w:r w:rsidR="00860EE4" w:rsidRPr="00EF6BEB">
        <w:rPr>
          <w:rFonts w:ascii="ING Me" w:hAnsi="ING Me"/>
          <w:noProof/>
          <w:lang w:val="ro-RO"/>
        </w:rPr>
        <w:t xml:space="preserve">, </w:t>
      </w:r>
      <w:r w:rsidRPr="00EF6BEB">
        <w:rPr>
          <w:rFonts w:ascii="ING Me" w:hAnsi="ING Me"/>
          <w:noProof/>
          <w:lang w:val="ro-RO"/>
        </w:rPr>
        <w:t>servire</w:t>
      </w:r>
      <w:r w:rsidR="00860EE4" w:rsidRPr="00EF6BEB">
        <w:rPr>
          <w:rFonts w:ascii="ING Me" w:hAnsi="ING Me"/>
          <w:noProof/>
          <w:lang w:val="ro-RO"/>
        </w:rPr>
        <w:t xml:space="preserve"> și orientare asupra clientului</w:t>
      </w:r>
    </w:p>
    <w:p w14:paraId="348ABE00" w14:textId="5FDF6893" w:rsidR="00FD62F1" w:rsidRPr="00EF6BEB" w:rsidRDefault="00FD62F1" w:rsidP="00FD62F1">
      <w:pPr>
        <w:rPr>
          <w:rFonts w:ascii="ING Me" w:hAnsi="ING Me"/>
          <w:b/>
          <w:bCs/>
          <w:noProof/>
          <w:lang w:val="ro-RO"/>
        </w:rPr>
      </w:pPr>
      <w:r w:rsidRPr="00EF6BEB">
        <w:rPr>
          <w:rFonts w:ascii="ING Me" w:hAnsi="ING Me"/>
          <w:b/>
          <w:bCs/>
          <w:noProof/>
          <w:lang w:val="ro-RO"/>
        </w:rPr>
        <w:t xml:space="preserve">IT și </w:t>
      </w:r>
      <w:r w:rsidR="00860EE4" w:rsidRPr="00EF6BEB">
        <w:rPr>
          <w:rFonts w:ascii="ING Me" w:hAnsi="ING Me"/>
          <w:b/>
          <w:bCs/>
          <w:noProof/>
          <w:lang w:val="ro-RO"/>
        </w:rPr>
        <w:t>o</w:t>
      </w:r>
      <w:r w:rsidRPr="00EF6BEB">
        <w:rPr>
          <w:rFonts w:ascii="ING Me" w:hAnsi="ING Me"/>
          <w:b/>
          <w:bCs/>
          <w:noProof/>
          <w:lang w:val="ro-RO"/>
        </w:rPr>
        <w:t>utsourcing</w:t>
      </w:r>
    </w:p>
    <w:p w14:paraId="21A3EF1F" w14:textId="6E9E6944" w:rsidR="00860EE4" w:rsidRPr="00EF6BEB" w:rsidRDefault="00FD62F1" w:rsidP="00FD62F1">
      <w:pPr>
        <w:pStyle w:val="ListParagraph"/>
        <w:numPr>
          <w:ilvl w:val="0"/>
          <w:numId w:val="5"/>
        </w:numPr>
        <w:rPr>
          <w:rFonts w:ascii="ING Me" w:hAnsi="ING Me"/>
          <w:noProof/>
          <w:lang w:val="ro-RO"/>
        </w:rPr>
      </w:pPr>
      <w:r w:rsidRPr="00EF6BEB">
        <w:rPr>
          <w:rFonts w:ascii="ING Me" w:hAnsi="ING Me"/>
          <w:noProof/>
          <w:lang w:val="ro-RO"/>
        </w:rPr>
        <w:t>Riscul</w:t>
      </w:r>
      <w:r w:rsidR="000B5E1A" w:rsidRPr="00EF6BEB">
        <w:rPr>
          <w:rFonts w:ascii="ING Me" w:hAnsi="ING Me"/>
          <w:noProof/>
          <w:lang w:val="ro-RO"/>
        </w:rPr>
        <w:t xml:space="preserve"> (inițial)</w:t>
      </w:r>
      <w:r w:rsidRPr="00EF6BEB">
        <w:rPr>
          <w:rFonts w:ascii="ING Me" w:hAnsi="ING Me"/>
          <w:noProof/>
          <w:lang w:val="ro-RO"/>
        </w:rPr>
        <w:t xml:space="preserve">: </w:t>
      </w:r>
      <w:r w:rsidR="00F72C7C" w:rsidRPr="00EF6BEB">
        <w:rPr>
          <w:rFonts w:ascii="ING Me" w:hAnsi="ING Me"/>
          <w:noProof/>
          <w:lang w:val="ro-RO"/>
        </w:rPr>
        <w:t>scăderea oportunităților</w:t>
      </w:r>
      <w:r w:rsidRPr="00EF6BEB">
        <w:rPr>
          <w:rFonts w:ascii="ING Me" w:hAnsi="ING Me"/>
          <w:noProof/>
          <w:lang w:val="ro-RO"/>
        </w:rPr>
        <w:t xml:space="preserve"> </w:t>
      </w:r>
      <w:r w:rsidR="00F72C7C" w:rsidRPr="00EF6BEB">
        <w:rPr>
          <w:rFonts w:ascii="ING Me" w:hAnsi="ING Me"/>
          <w:noProof/>
          <w:lang w:val="ro-RO"/>
        </w:rPr>
        <w:t>pentru începători (</w:t>
      </w:r>
      <w:r w:rsidRPr="00EF6BEB">
        <w:rPr>
          <w:rFonts w:ascii="ING Me" w:hAnsi="ING Me"/>
          <w:noProof/>
          <w:lang w:val="ro-RO"/>
        </w:rPr>
        <w:t>entry-level</w:t>
      </w:r>
      <w:r w:rsidR="00F72C7C" w:rsidRPr="00EF6BEB">
        <w:rPr>
          <w:rFonts w:ascii="ING Me" w:hAnsi="ING Me"/>
          <w:noProof/>
          <w:lang w:val="ro-RO"/>
        </w:rPr>
        <w:t>)</w:t>
      </w:r>
      <w:r w:rsidRPr="00EF6BEB">
        <w:rPr>
          <w:rFonts w:ascii="ING Me" w:hAnsi="ING Me"/>
          <w:noProof/>
          <w:lang w:val="ro-RO"/>
        </w:rPr>
        <w:t xml:space="preserve">. Miracolul IT al României a fost construit în mare parte pe outsourcing (BPO) și programare </w:t>
      </w:r>
      <w:r w:rsidR="00645928" w:rsidRPr="00EF6BEB">
        <w:rPr>
          <w:rFonts w:ascii="ING Me" w:hAnsi="ING Me"/>
          <w:noProof/>
          <w:lang w:val="ro-RO"/>
        </w:rPr>
        <w:t>de bază</w:t>
      </w:r>
      <w:r w:rsidRPr="00EF6BEB">
        <w:rPr>
          <w:rFonts w:ascii="ING Me" w:hAnsi="ING Me"/>
          <w:noProof/>
          <w:lang w:val="ro-RO"/>
        </w:rPr>
        <w:t>. Asistenții de codare și instrumentele de IA generativă pot gestiona acum sarcini de rutină și suport pentru clienți, amenințând fundația modelului de outsourcing al României</w:t>
      </w:r>
    </w:p>
    <w:p w14:paraId="4512B182" w14:textId="301EF566" w:rsidR="00FD62F1" w:rsidRPr="00EF6BEB" w:rsidRDefault="00FD62F1" w:rsidP="00FD62F1">
      <w:pPr>
        <w:pStyle w:val="ListParagraph"/>
        <w:numPr>
          <w:ilvl w:val="0"/>
          <w:numId w:val="5"/>
        </w:numPr>
        <w:rPr>
          <w:rFonts w:ascii="ING Me" w:hAnsi="ING Me"/>
          <w:noProof/>
          <w:lang w:val="ro-RO"/>
        </w:rPr>
      </w:pPr>
      <w:r w:rsidRPr="00EF6BEB">
        <w:rPr>
          <w:rFonts w:ascii="ING Me" w:hAnsi="ING Me"/>
          <w:noProof/>
          <w:lang w:val="ro-RO"/>
        </w:rPr>
        <w:t xml:space="preserve">Perspectiva forței de muncă: </w:t>
      </w:r>
      <w:r w:rsidR="00894C5F" w:rsidRPr="00EF6BEB">
        <w:rPr>
          <w:rFonts w:ascii="ING Me" w:hAnsi="ING Me"/>
          <w:noProof/>
          <w:lang w:val="ro-RO"/>
        </w:rPr>
        <w:t>î</w:t>
      </w:r>
      <w:r w:rsidR="002A1BC3" w:rsidRPr="00EF6BEB">
        <w:rPr>
          <w:rFonts w:ascii="ING Me" w:hAnsi="ING Me"/>
          <w:noProof/>
          <w:lang w:val="ro-RO"/>
        </w:rPr>
        <w:t xml:space="preserve">n timp ce arhitecții seniori și specialiștii în date (data scientists) își vor crește productivitatea și, posibil, veniturile, locurile de muncă de nivel </w:t>
      </w:r>
      <w:r w:rsidR="00894C5F" w:rsidRPr="00EF6BEB">
        <w:rPr>
          <w:rFonts w:ascii="ING Me" w:hAnsi="ING Me"/>
          <w:noProof/>
          <w:lang w:val="ro-RO"/>
        </w:rPr>
        <w:t>începător</w:t>
      </w:r>
      <w:r w:rsidR="002A1BC3" w:rsidRPr="00EF6BEB">
        <w:rPr>
          <w:rFonts w:ascii="ING Me" w:hAnsi="ING Me"/>
          <w:noProof/>
          <w:lang w:val="ro-RO"/>
        </w:rPr>
        <w:t xml:space="preserve"> care au alimentat boom-ul IT din România ar putea fi vulnerabile. Dacă soluțiile bazate pe inteligență artificială vor prelua activitățile de suport pentru clienți și sarcinile de programare de bază, oportunitățile pentru avansarea profesională ale celor aflați la început de carieră se pot reduce semnificativ. </w:t>
      </w:r>
      <w:r w:rsidR="00A11295" w:rsidRPr="00EF6BEB">
        <w:rPr>
          <w:rFonts w:ascii="ING Me" w:hAnsi="ING Me"/>
          <w:noProof/>
          <w:lang w:val="ro-RO"/>
        </w:rPr>
        <w:t>Pentru a rămâne relevanți, profesioniștii IT vor trebui să facă tranziția de la rolul de „programatori” la cel de inovatori – oameni care rezolvă probleme complexe și creează produse cu valoare adăugată</w:t>
      </w:r>
    </w:p>
    <w:p w14:paraId="79308EBB" w14:textId="77777777" w:rsidR="00FD62F1" w:rsidRPr="00EF6BEB" w:rsidRDefault="00FD62F1" w:rsidP="00FD62F1">
      <w:pPr>
        <w:rPr>
          <w:rFonts w:ascii="ING Me" w:hAnsi="ING Me"/>
          <w:b/>
          <w:bCs/>
          <w:noProof/>
          <w:lang w:val="ro-RO"/>
        </w:rPr>
      </w:pPr>
      <w:r w:rsidRPr="00EF6BEB">
        <w:rPr>
          <w:rFonts w:ascii="ING Me" w:hAnsi="ING Me"/>
          <w:b/>
          <w:bCs/>
          <w:noProof/>
          <w:lang w:val="ro-RO"/>
        </w:rPr>
        <w:t>Servicii bancare și financiare</w:t>
      </w:r>
    </w:p>
    <w:p w14:paraId="6D1E72C6" w14:textId="2349D644" w:rsidR="007C7A45" w:rsidRPr="00EF6BEB" w:rsidRDefault="00606DC4" w:rsidP="007C7A45">
      <w:pPr>
        <w:rPr>
          <w:rFonts w:ascii="ING Me" w:hAnsi="ING Me"/>
          <w:noProof/>
        </w:rPr>
      </w:pPr>
      <w:r w:rsidRPr="00EF6BEB">
        <w:rPr>
          <w:rFonts w:ascii="ING Me" w:hAnsi="ING Me"/>
          <w:noProof/>
          <w:lang w:val="ro-RO"/>
        </w:rPr>
        <w:t>Impulsionate</w:t>
      </w:r>
      <w:r w:rsidR="00FD62F1" w:rsidRPr="00EF6BEB">
        <w:rPr>
          <w:rFonts w:ascii="ING Me" w:hAnsi="ING Me"/>
          <w:noProof/>
          <w:lang w:val="ro-RO"/>
        </w:rPr>
        <w:t xml:space="preserve"> de concurenț</w:t>
      </w:r>
      <w:r w:rsidRPr="00EF6BEB">
        <w:rPr>
          <w:rFonts w:ascii="ING Me" w:hAnsi="ING Me"/>
          <w:noProof/>
          <w:lang w:val="ro-RO"/>
        </w:rPr>
        <w:t>a</w:t>
      </w:r>
      <w:r w:rsidR="00FD62F1" w:rsidRPr="00EF6BEB">
        <w:rPr>
          <w:rFonts w:ascii="ING Me" w:hAnsi="ING Me"/>
          <w:noProof/>
          <w:lang w:val="ro-RO"/>
        </w:rPr>
        <w:t xml:space="preserve"> intensă și de nevoia de a reduce costurile operaționale, băncile au adoptat progresiv un model operațional "digital-first". De peste un deceniu, sectorul bancar a cunoscut o reducere a personalului și a sucursalelor fizice, concomitent cu o creștere a activelor. Având în vedere sistemele AI care se dezvoltă rapid și pot gestiona sarcini tot mai complexe, această tendință nu pare să se tempereze prea curând</w:t>
      </w:r>
      <w:r w:rsidR="00DA00AF" w:rsidRPr="00EF6BEB">
        <w:rPr>
          <w:rFonts w:ascii="ING Me" w:hAnsi="ING Me"/>
          <w:noProof/>
          <w:lang w:val="ro-RO"/>
        </w:rPr>
        <w:t>, iar</w:t>
      </w:r>
      <w:r w:rsidR="00FD62F1" w:rsidRPr="00EF6BEB">
        <w:rPr>
          <w:rFonts w:ascii="ING Me" w:hAnsi="ING Me"/>
          <w:noProof/>
          <w:lang w:val="ro-RO"/>
        </w:rPr>
        <w:t xml:space="preserve"> </w:t>
      </w:r>
      <w:r w:rsidR="00DA00AF" w:rsidRPr="00EF6BEB">
        <w:rPr>
          <w:rFonts w:ascii="ING Me" w:hAnsi="ING Me"/>
          <w:noProof/>
          <w:lang w:val="ro-RO"/>
        </w:rPr>
        <w:t>j</w:t>
      </w:r>
      <w:r w:rsidR="00FD62F1" w:rsidRPr="00EF6BEB">
        <w:rPr>
          <w:rFonts w:ascii="ING Me" w:hAnsi="ING Me"/>
          <w:noProof/>
          <w:lang w:val="ro-RO"/>
        </w:rPr>
        <w:t xml:space="preserve">oburile rămase devin din ce în ce mai specializate. În acest context, sectorul, tradițional un mare angajator de absolvenți universitari, </w:t>
      </w:r>
      <w:r w:rsidR="007C7A45" w:rsidRPr="00EF6BEB">
        <w:rPr>
          <w:rFonts w:ascii="ING Me" w:hAnsi="ING Me"/>
          <w:noProof/>
        </w:rPr>
        <w:t>riscă să își diminueze semnificativ rolul de motor pentru crearea de locuri de muncă pentru clasa de mijloc</w:t>
      </w:r>
      <w:r w:rsidR="003F05BF" w:rsidRPr="00EF6BEB">
        <w:rPr>
          <w:rFonts w:ascii="ING Me" w:hAnsi="ING Me"/>
          <w:noProof/>
        </w:rPr>
        <w:t>.</w:t>
      </w:r>
    </w:p>
    <w:p w14:paraId="0162A16F" w14:textId="65868640" w:rsidR="00FD62F1" w:rsidRDefault="00FD62F1" w:rsidP="00FD62F1">
      <w:pPr>
        <w:rPr>
          <w:rFonts w:ascii="ING Me" w:hAnsi="ING Me"/>
          <w:noProof/>
          <w:lang w:val="ro-RO"/>
        </w:rPr>
      </w:pPr>
      <w:r w:rsidRPr="00EF6BEB">
        <w:rPr>
          <w:rFonts w:ascii="ING Me" w:hAnsi="ING Me"/>
          <w:noProof/>
          <w:lang w:val="ro-RO"/>
        </w:rPr>
        <w:t xml:space="preserve">În același timp, IA ar putea reduce costul deservirii clienților din mediul rural și cu venituri mici. </w:t>
      </w:r>
      <w:r w:rsidR="00210EB8" w:rsidRPr="00EF6BEB">
        <w:rPr>
          <w:rFonts w:ascii="ING Me" w:hAnsi="ING Me"/>
          <w:noProof/>
          <w:lang w:val="ro-RO"/>
        </w:rPr>
        <w:t>IA ar putea genera scoruri de credit bazate pe</w:t>
      </w:r>
      <w:r w:rsidRPr="00EF6BEB">
        <w:rPr>
          <w:rFonts w:ascii="ING Me" w:hAnsi="ING Me"/>
          <w:noProof/>
          <w:lang w:val="ro-RO"/>
        </w:rPr>
        <w:t xml:space="preserve"> date alternative (de exemplu, plățile la utilități) pentru a oferi credite </w:t>
      </w:r>
      <w:r w:rsidR="009E6139" w:rsidRPr="00EF6BEB">
        <w:rPr>
          <w:rFonts w:ascii="ING Me" w:hAnsi="ING Me"/>
          <w:noProof/>
          <w:lang w:val="ro-RO"/>
        </w:rPr>
        <w:t>și/sau</w:t>
      </w:r>
      <w:r w:rsidRPr="00EF6BEB">
        <w:rPr>
          <w:rFonts w:ascii="ING Me" w:hAnsi="ING Me"/>
          <w:noProof/>
          <w:lang w:val="ro-RO"/>
        </w:rPr>
        <w:t xml:space="preserve"> servicii financiare în </w:t>
      </w:r>
      <w:r w:rsidR="009E6139" w:rsidRPr="00EF6BEB">
        <w:rPr>
          <w:rFonts w:ascii="ING Me" w:hAnsi="ING Me"/>
          <w:noProof/>
          <w:lang w:val="ro-RO"/>
        </w:rPr>
        <w:t>sensul larg</w:t>
      </w:r>
      <w:r w:rsidR="0018432D" w:rsidRPr="00EF6BEB">
        <w:rPr>
          <w:rFonts w:ascii="ING Me" w:hAnsi="ING Me"/>
          <w:noProof/>
          <w:lang w:val="ro-RO"/>
        </w:rPr>
        <w:t>,</w:t>
      </w:r>
      <w:r w:rsidRPr="00EF6BEB">
        <w:rPr>
          <w:rFonts w:ascii="ING Me" w:hAnsi="ING Me"/>
          <w:noProof/>
          <w:lang w:val="ro-RO"/>
        </w:rPr>
        <w:t xml:space="preserve"> românilor care nu au un istoric de credit tradițional, deblocând activitatea economică în regiuni </w:t>
      </w:r>
      <w:r w:rsidR="00607D23" w:rsidRPr="00EF6BEB">
        <w:rPr>
          <w:rFonts w:ascii="ING Me" w:hAnsi="ING Me"/>
          <w:noProof/>
          <w:lang w:val="ro-RO"/>
        </w:rPr>
        <w:t xml:space="preserve">cu un nivel </w:t>
      </w:r>
      <w:r w:rsidR="00110827" w:rsidRPr="00EF6BEB">
        <w:rPr>
          <w:rFonts w:ascii="ING Me" w:hAnsi="ING Me"/>
          <w:noProof/>
          <w:lang w:val="ro-RO"/>
        </w:rPr>
        <w:t xml:space="preserve">mai </w:t>
      </w:r>
      <w:r w:rsidR="00607D23" w:rsidRPr="00EF6BEB">
        <w:rPr>
          <w:rFonts w:ascii="ING Me" w:hAnsi="ING Me"/>
          <w:noProof/>
          <w:lang w:val="ro-RO"/>
        </w:rPr>
        <w:t>scăzut de bancarizare</w:t>
      </w:r>
      <w:r w:rsidRPr="00EF6BEB">
        <w:rPr>
          <w:rFonts w:ascii="ING Me" w:hAnsi="ING Me"/>
          <w:noProof/>
          <w:lang w:val="ro-RO"/>
        </w:rPr>
        <w:t>.</w:t>
      </w:r>
    </w:p>
    <w:p w14:paraId="3E684045" w14:textId="77777777" w:rsidR="00BD27E8" w:rsidRPr="00EF6BEB" w:rsidRDefault="00BD27E8" w:rsidP="00FD62F1">
      <w:pPr>
        <w:rPr>
          <w:rFonts w:ascii="ING Me" w:hAnsi="ING Me"/>
          <w:noProof/>
          <w:lang w:val="ro-RO"/>
        </w:rPr>
      </w:pPr>
    </w:p>
    <w:p w14:paraId="3FD7D99E" w14:textId="6113BCA9" w:rsidR="00FD62F1" w:rsidRPr="00EF6BEB" w:rsidRDefault="00FD62F1" w:rsidP="00FD62F1">
      <w:pPr>
        <w:rPr>
          <w:rFonts w:ascii="ING Me" w:hAnsi="ING Me"/>
          <w:b/>
          <w:bCs/>
          <w:noProof/>
          <w:lang w:val="ro-RO"/>
        </w:rPr>
      </w:pPr>
      <w:r w:rsidRPr="00EF6BEB">
        <w:rPr>
          <w:rFonts w:ascii="ING Me" w:hAnsi="ING Me"/>
          <w:b/>
          <w:bCs/>
          <w:noProof/>
          <w:lang w:val="ro-RO"/>
        </w:rPr>
        <w:t xml:space="preserve">Sectorul </w:t>
      </w:r>
      <w:r w:rsidR="009E6139" w:rsidRPr="00EF6BEB">
        <w:rPr>
          <w:rFonts w:ascii="ING Me" w:hAnsi="ING Me"/>
          <w:b/>
          <w:bCs/>
          <w:noProof/>
          <w:lang w:val="ro-RO"/>
        </w:rPr>
        <w:t>p</w:t>
      </w:r>
      <w:r w:rsidRPr="00EF6BEB">
        <w:rPr>
          <w:rFonts w:ascii="ING Me" w:hAnsi="ING Me"/>
          <w:b/>
          <w:bCs/>
          <w:noProof/>
          <w:lang w:val="ro-RO"/>
        </w:rPr>
        <w:t>ublic</w:t>
      </w:r>
    </w:p>
    <w:p w14:paraId="56C46860" w14:textId="77777777" w:rsidR="00FD62F1" w:rsidRPr="00EF6BEB" w:rsidRDefault="00FD62F1" w:rsidP="00FD62F1">
      <w:pPr>
        <w:rPr>
          <w:rFonts w:ascii="ING Me" w:hAnsi="ING Me"/>
          <w:noProof/>
          <w:lang w:val="ro-RO"/>
        </w:rPr>
      </w:pPr>
      <w:r w:rsidRPr="00EF6BEB">
        <w:rPr>
          <w:rFonts w:ascii="ING Me" w:hAnsi="ING Me"/>
          <w:noProof/>
          <w:lang w:val="ro-RO"/>
        </w:rPr>
        <w:t>În 2024, România s-a clasat pe ultimul loc în UE pentru serviciile publice digitale în indicele DESI, cu doar 27% din populație utilizând servicii de e-guvernare, față de o medie UE de 75%.</w:t>
      </w:r>
    </w:p>
    <w:p w14:paraId="6CFCF988" w14:textId="77777777" w:rsidR="000B6225" w:rsidRPr="00EF6BEB" w:rsidRDefault="00FD62F1" w:rsidP="00FD62F1">
      <w:pPr>
        <w:pStyle w:val="ListParagraph"/>
        <w:numPr>
          <w:ilvl w:val="0"/>
          <w:numId w:val="6"/>
        </w:numPr>
        <w:rPr>
          <w:rFonts w:ascii="ING Me" w:hAnsi="ING Me"/>
          <w:noProof/>
          <w:lang w:val="ro-RO"/>
        </w:rPr>
      </w:pPr>
      <w:r w:rsidRPr="00EF6BEB">
        <w:rPr>
          <w:rFonts w:ascii="ING Me" w:hAnsi="ING Me"/>
          <w:noProof/>
          <w:lang w:val="ro-RO"/>
        </w:rPr>
        <w:t xml:space="preserve">Riscul: </w:t>
      </w:r>
      <w:r w:rsidR="005F03BE" w:rsidRPr="00EF6BEB">
        <w:rPr>
          <w:rFonts w:ascii="ING Me" w:hAnsi="ING Me"/>
          <w:noProof/>
          <w:lang w:val="ro-RO"/>
        </w:rPr>
        <w:t>e</w:t>
      </w:r>
      <w:r w:rsidRPr="00EF6BEB">
        <w:rPr>
          <w:rFonts w:ascii="ING Me" w:hAnsi="ING Me"/>
          <w:noProof/>
          <w:lang w:val="ro-RO"/>
        </w:rPr>
        <w:t xml:space="preserve">ficiență vs. număr de angajați. Digitalizarea administrației publice ar putea economisi miliarde pentru România, dar adevărata eficiență </w:t>
      </w:r>
      <w:r w:rsidR="001A7F38" w:rsidRPr="00EF6BEB">
        <w:rPr>
          <w:rFonts w:ascii="ING Me" w:hAnsi="ING Me"/>
          <w:noProof/>
          <w:lang w:val="ro-RO"/>
        </w:rPr>
        <w:t>dată de</w:t>
      </w:r>
      <w:r w:rsidRPr="00EF6BEB">
        <w:rPr>
          <w:rFonts w:ascii="ING Me" w:hAnsi="ING Me"/>
          <w:noProof/>
          <w:lang w:val="ro-RO"/>
        </w:rPr>
        <w:t xml:space="preserve"> IA merge dincolo de digitalizarea de bază. </w:t>
      </w:r>
      <w:r w:rsidR="001A7F38" w:rsidRPr="00EF6BEB">
        <w:rPr>
          <w:rFonts w:ascii="ING Me" w:hAnsi="ING Me"/>
          <w:noProof/>
          <w:lang w:val="ro-RO"/>
        </w:rPr>
        <w:t>Ea î</w:t>
      </w:r>
      <w:r w:rsidRPr="00EF6BEB">
        <w:rPr>
          <w:rFonts w:ascii="ING Me" w:hAnsi="ING Me"/>
          <w:noProof/>
          <w:lang w:val="ro-RO"/>
        </w:rPr>
        <w:t xml:space="preserve">nseamnă automatizarea unor fluxuri birocratice întregi, cum ar fi procesarea licențelor, a declarațiilor fiscale </w:t>
      </w:r>
      <w:r w:rsidR="001A7F38" w:rsidRPr="00EF6BEB">
        <w:rPr>
          <w:rFonts w:ascii="ING Me" w:hAnsi="ING Me"/>
          <w:noProof/>
          <w:lang w:val="ro-RO"/>
        </w:rPr>
        <w:t>sau</w:t>
      </w:r>
      <w:r w:rsidRPr="00EF6BEB">
        <w:rPr>
          <w:rFonts w:ascii="ING Me" w:hAnsi="ING Me"/>
          <w:noProof/>
          <w:lang w:val="ro-RO"/>
        </w:rPr>
        <w:t xml:space="preserve"> a cererilor de beneficii, toate cu intervenție umană minimă. Această transformare ar reduce semnificativ timpii de procesare și ar îmbunătăți calitatea serviciilor, dar </w:t>
      </w:r>
      <w:r w:rsidR="000B6225" w:rsidRPr="00EF6BEB">
        <w:rPr>
          <w:rFonts w:ascii="ING Me" w:hAnsi="ING Me"/>
          <w:noProof/>
          <w:lang w:val="ro-RO"/>
        </w:rPr>
        <w:t>poate perturba serios</w:t>
      </w:r>
      <w:r w:rsidRPr="00EF6BEB">
        <w:rPr>
          <w:rFonts w:ascii="ING Me" w:hAnsi="ING Me"/>
          <w:noProof/>
          <w:lang w:val="ro-RO"/>
        </w:rPr>
        <w:t xml:space="preserve"> structura tradițională a angajării în sistemul public</w:t>
      </w:r>
    </w:p>
    <w:p w14:paraId="3AE3D045" w14:textId="6A62816F" w:rsidR="00FD62F1" w:rsidRPr="00EF6BEB" w:rsidRDefault="00FD62F1" w:rsidP="00FD62F1">
      <w:pPr>
        <w:pStyle w:val="ListParagraph"/>
        <w:numPr>
          <w:ilvl w:val="0"/>
          <w:numId w:val="6"/>
        </w:numPr>
        <w:rPr>
          <w:rFonts w:ascii="ING Me" w:hAnsi="ING Me"/>
          <w:noProof/>
          <w:lang w:val="ro-RO"/>
        </w:rPr>
      </w:pPr>
      <w:r w:rsidRPr="00EF6BEB">
        <w:rPr>
          <w:rFonts w:ascii="ING Me" w:hAnsi="ING Me"/>
          <w:noProof/>
          <w:lang w:val="ro-RO"/>
        </w:rPr>
        <w:t xml:space="preserve">Perspectiva forței de muncă: </w:t>
      </w:r>
      <w:r w:rsidR="000B6225" w:rsidRPr="00EF6BEB">
        <w:rPr>
          <w:rFonts w:ascii="ING Me" w:hAnsi="ING Me"/>
          <w:noProof/>
          <w:lang w:val="ro-RO"/>
        </w:rPr>
        <w:t>d</w:t>
      </w:r>
      <w:r w:rsidRPr="00EF6BEB">
        <w:rPr>
          <w:rFonts w:ascii="ING Me" w:hAnsi="ING Me"/>
          <w:noProof/>
          <w:lang w:val="ro-RO"/>
        </w:rPr>
        <w:t xml:space="preserve">eși digitalizarea poate rezolva lipsa de personal în roluri </w:t>
      </w:r>
      <w:r w:rsidR="000F768F" w:rsidRPr="00EF6BEB">
        <w:rPr>
          <w:rFonts w:ascii="ING Me" w:hAnsi="ING Me"/>
          <w:noProof/>
          <w:lang w:val="ro-RO"/>
        </w:rPr>
        <w:t>hiper-</w:t>
      </w:r>
      <w:r w:rsidRPr="00EF6BEB">
        <w:rPr>
          <w:rFonts w:ascii="ING Me" w:hAnsi="ING Me"/>
          <w:noProof/>
          <w:lang w:val="ro-RO"/>
        </w:rPr>
        <w:t xml:space="preserve">specializate, ea ridică inevitabil întrebări despre dimensiunea forței de muncă din sectorul public, care </w:t>
      </w:r>
      <w:r w:rsidR="000F768F" w:rsidRPr="00EF6BEB">
        <w:rPr>
          <w:rFonts w:ascii="ING Me" w:hAnsi="ING Me"/>
          <w:noProof/>
          <w:lang w:val="ro-RO"/>
        </w:rPr>
        <w:t xml:space="preserve">istoric </w:t>
      </w:r>
      <w:r w:rsidRPr="00EF6BEB">
        <w:rPr>
          <w:rFonts w:ascii="ING Me" w:hAnsi="ING Me"/>
          <w:noProof/>
          <w:lang w:val="ro-RO"/>
        </w:rPr>
        <w:t>a fost unul dintre cei mai stabili angajatori din România. Automatizarea pe scară largă ar putea perturba această stabilitate, creând provocări sociale și politice. Chiar și cu măsuri proactive pentru recalificare și redistribuire</w:t>
      </w:r>
      <w:r w:rsidR="000F768F" w:rsidRPr="00EF6BEB">
        <w:rPr>
          <w:rFonts w:ascii="ING Me" w:hAnsi="ING Me"/>
          <w:noProof/>
          <w:lang w:val="ro-RO"/>
        </w:rPr>
        <w:t xml:space="preserve"> a celor afectați</w:t>
      </w:r>
      <w:r w:rsidRPr="00EF6BEB">
        <w:rPr>
          <w:rFonts w:ascii="ING Me" w:hAnsi="ING Me"/>
          <w:noProof/>
          <w:lang w:val="ro-RO"/>
        </w:rPr>
        <w:t>, o tranziție complet lipsită de tensiuni este greu de imaginat</w:t>
      </w:r>
    </w:p>
    <w:p w14:paraId="50B9BAE9" w14:textId="197B9A6E" w:rsidR="00FD62F1" w:rsidRPr="00EF6BEB" w:rsidRDefault="00FD62F1" w:rsidP="00FD62F1">
      <w:pPr>
        <w:rPr>
          <w:rFonts w:ascii="ING Me" w:hAnsi="ING Me"/>
          <w:b/>
          <w:bCs/>
          <w:noProof/>
          <w:lang w:val="ro-RO"/>
        </w:rPr>
      </w:pPr>
      <w:r w:rsidRPr="00EF6BEB">
        <w:rPr>
          <w:rFonts w:ascii="ING Me" w:hAnsi="ING Me"/>
          <w:b/>
          <w:bCs/>
          <w:noProof/>
          <w:lang w:val="ro-RO"/>
        </w:rPr>
        <w:t xml:space="preserve">Tabloul macroeconomic: creștere </w:t>
      </w:r>
      <w:r w:rsidR="00DB3898" w:rsidRPr="00EF6BEB">
        <w:rPr>
          <w:rFonts w:ascii="ING Me" w:hAnsi="ING Me"/>
          <w:b/>
          <w:bCs/>
          <w:noProof/>
          <w:lang w:val="ro-RO"/>
        </w:rPr>
        <w:t xml:space="preserve">economică </w:t>
      </w:r>
      <w:r w:rsidRPr="00EF6BEB">
        <w:rPr>
          <w:rFonts w:ascii="ING Me" w:hAnsi="ING Me"/>
          <w:b/>
          <w:bCs/>
          <w:noProof/>
          <w:lang w:val="ro-RO"/>
        </w:rPr>
        <w:t>ridicată cu șomaj ridicat?</w:t>
      </w:r>
    </w:p>
    <w:p w14:paraId="0044604E" w14:textId="478DCB1C" w:rsidR="00FD62F1" w:rsidRPr="00EF6BEB" w:rsidRDefault="00FD62F1" w:rsidP="00FD62F1">
      <w:pPr>
        <w:rPr>
          <w:rFonts w:ascii="ING Me" w:hAnsi="ING Me"/>
          <w:noProof/>
          <w:lang w:val="ro-RO"/>
        </w:rPr>
      </w:pPr>
      <w:r w:rsidRPr="00EF6BEB">
        <w:rPr>
          <w:rFonts w:ascii="ING Me" w:hAnsi="ING Me"/>
          <w:noProof/>
          <w:lang w:val="ro-RO"/>
        </w:rPr>
        <w:t xml:space="preserve">În cele din urmă, cea mai </w:t>
      </w:r>
      <w:r w:rsidR="00F6676F" w:rsidRPr="00EF6BEB">
        <w:rPr>
          <w:rFonts w:ascii="ING Me" w:hAnsi="ING Me"/>
          <w:noProof/>
          <w:lang w:val="ro-RO"/>
        </w:rPr>
        <w:t>importantă</w:t>
      </w:r>
      <w:r w:rsidRPr="00EF6BEB">
        <w:rPr>
          <w:rFonts w:ascii="ING Me" w:hAnsi="ING Me"/>
          <w:noProof/>
          <w:lang w:val="ro-RO"/>
        </w:rPr>
        <w:t xml:space="preserve"> problemă </w:t>
      </w:r>
      <w:r w:rsidR="00F6676F" w:rsidRPr="00EF6BEB">
        <w:rPr>
          <w:rFonts w:ascii="ING Me" w:hAnsi="ING Me"/>
          <w:noProof/>
          <w:lang w:val="ro-RO"/>
        </w:rPr>
        <w:t xml:space="preserve">ce reiese </w:t>
      </w:r>
      <w:r w:rsidR="00855ED8" w:rsidRPr="00EF6BEB">
        <w:rPr>
          <w:rFonts w:ascii="ING Me" w:hAnsi="ING Me"/>
          <w:noProof/>
          <w:lang w:val="ro-RO"/>
        </w:rPr>
        <w:t>din toate aceste posibile evoluții</w:t>
      </w:r>
      <w:r w:rsidRPr="00EF6BEB">
        <w:rPr>
          <w:rFonts w:ascii="ING Me" w:hAnsi="ING Me"/>
          <w:noProof/>
          <w:lang w:val="ro-RO"/>
        </w:rPr>
        <w:t xml:space="preserve"> este </w:t>
      </w:r>
      <w:r w:rsidR="00855ED8" w:rsidRPr="00EF6BEB">
        <w:rPr>
          <w:rFonts w:ascii="ING Me" w:hAnsi="ING Me"/>
          <w:noProof/>
          <w:lang w:val="ro-RO"/>
        </w:rPr>
        <w:t xml:space="preserve">cea </w:t>
      </w:r>
      <w:r w:rsidR="00DB3898" w:rsidRPr="00EF6BEB">
        <w:rPr>
          <w:rFonts w:ascii="ING Me" w:hAnsi="ING Me"/>
          <w:noProof/>
          <w:lang w:val="ro-RO"/>
        </w:rPr>
        <w:t xml:space="preserve">legată de </w:t>
      </w:r>
      <w:r w:rsidRPr="00EF6BEB">
        <w:rPr>
          <w:rFonts w:ascii="ING Me" w:hAnsi="ING Me"/>
          <w:noProof/>
          <w:lang w:val="ro-RO"/>
        </w:rPr>
        <w:t xml:space="preserve">piața muncii. </w:t>
      </w:r>
      <w:r w:rsidR="00DB3898" w:rsidRPr="00EF6BEB">
        <w:rPr>
          <w:rFonts w:ascii="ING Me" w:hAnsi="ING Me"/>
          <w:noProof/>
          <w:lang w:val="ro-RO"/>
        </w:rPr>
        <w:t>Ideea</w:t>
      </w:r>
      <w:r w:rsidRPr="00EF6BEB">
        <w:rPr>
          <w:rFonts w:ascii="ING Me" w:hAnsi="ING Me"/>
          <w:noProof/>
          <w:lang w:val="ro-RO"/>
        </w:rPr>
        <w:t xml:space="preserve"> că automatizarea creează mai multe locuri de muncă decât elimină s-ar putea să nu fie valabilă pentru România (</w:t>
      </w:r>
      <w:r w:rsidR="00E21B63" w:rsidRPr="00EF6BEB">
        <w:rPr>
          <w:rFonts w:ascii="ING Me" w:hAnsi="ING Me"/>
          <w:noProof/>
          <w:lang w:val="ro-RO"/>
        </w:rPr>
        <w:t>și</w:t>
      </w:r>
      <w:r w:rsidRPr="00EF6BEB">
        <w:rPr>
          <w:rFonts w:ascii="ING Me" w:hAnsi="ING Me"/>
          <w:noProof/>
          <w:lang w:val="ro-RO"/>
        </w:rPr>
        <w:t xml:space="preserve"> multe alte țări) pe termen scurt și mediu. Acest lucru se datorează în mare parte faptului că adoptarea IA accelerează mult mai repede decât reforma educațională și recalificarea forței de muncă</w:t>
      </w:r>
      <w:r w:rsidR="00C341C0" w:rsidRPr="00EF6BEB">
        <w:rPr>
          <w:rFonts w:ascii="ING Me" w:hAnsi="ING Me"/>
          <w:noProof/>
          <w:lang w:val="ro-RO"/>
        </w:rPr>
        <w:t xml:space="preserve"> pot ține pasul</w:t>
      </w:r>
      <w:r w:rsidRPr="00EF6BEB">
        <w:rPr>
          <w:rFonts w:ascii="ING Me" w:hAnsi="ING Me"/>
          <w:noProof/>
          <w:lang w:val="ro-RO"/>
        </w:rPr>
        <w:t>.</w:t>
      </w:r>
    </w:p>
    <w:p w14:paraId="5A2F33C7" w14:textId="77777777" w:rsidR="00FD62F1" w:rsidRPr="00EF6BEB" w:rsidRDefault="00FD62F1" w:rsidP="00C341C0">
      <w:pPr>
        <w:ind w:firstLine="720"/>
        <w:rPr>
          <w:rFonts w:ascii="ING Me" w:hAnsi="ING Me"/>
          <w:b/>
          <w:bCs/>
          <w:noProof/>
          <w:lang w:val="ro-RO"/>
        </w:rPr>
      </w:pPr>
      <w:r w:rsidRPr="00EF6BEB">
        <w:rPr>
          <w:rFonts w:ascii="ING Me" w:hAnsi="ING Me"/>
          <w:b/>
          <w:bCs/>
          <w:noProof/>
          <w:lang w:val="ro-RO"/>
        </w:rPr>
        <w:t>Amenințarea șomajului structural</w:t>
      </w:r>
    </w:p>
    <w:p w14:paraId="5FE22FE9" w14:textId="280DE6A9" w:rsidR="00FD62F1" w:rsidRPr="00EF6BEB" w:rsidRDefault="00FD62F1" w:rsidP="00FD62F1">
      <w:pPr>
        <w:rPr>
          <w:rFonts w:ascii="ING Me" w:hAnsi="ING Me"/>
          <w:noProof/>
          <w:lang w:val="ro-RO"/>
        </w:rPr>
      </w:pPr>
      <w:r w:rsidRPr="00EF6BEB">
        <w:rPr>
          <w:rFonts w:ascii="ING Me" w:hAnsi="ING Me"/>
          <w:noProof/>
          <w:lang w:val="ro-RO"/>
        </w:rPr>
        <w:t xml:space="preserve">Trebuie să ne pregătim pentru </w:t>
      </w:r>
      <w:r w:rsidR="001E0EA4" w:rsidRPr="00EF6BEB">
        <w:rPr>
          <w:rFonts w:ascii="ING Me" w:hAnsi="ING Me"/>
          <w:noProof/>
          <w:lang w:val="ro-RO"/>
        </w:rPr>
        <w:t>posibile dezechilibre</w:t>
      </w:r>
      <w:r w:rsidRPr="00EF6BEB">
        <w:rPr>
          <w:rFonts w:ascii="ING Me" w:hAnsi="ING Me"/>
          <w:noProof/>
          <w:lang w:val="ro-RO"/>
        </w:rPr>
        <w:t xml:space="preserve"> structurale. Am putea vedea o situație în care companiile au mii de poziții deschise pentru "prompt engineers" sau "eticieni de date", în timp ce concediază simultan funcționari de back-office, muncitori de la liniile de asamblare și agenți de call center. Având în vedere decalajele educaționale (reflectate în datele PISA), a aștepta o tranziție rapidă a forței de muncă de la roluri cu calificare redusă la roluri </w:t>
      </w:r>
      <w:r w:rsidR="008E15C6" w:rsidRPr="00EF6BEB">
        <w:rPr>
          <w:rFonts w:ascii="ING Me" w:hAnsi="ING Me"/>
          <w:noProof/>
          <w:lang w:val="ro-RO"/>
        </w:rPr>
        <w:t xml:space="preserve">cu cerințe </w:t>
      </w:r>
      <w:r w:rsidRPr="00EF6BEB">
        <w:rPr>
          <w:rFonts w:ascii="ING Me" w:hAnsi="ING Me"/>
          <w:noProof/>
          <w:lang w:val="ro-RO"/>
        </w:rPr>
        <w:t xml:space="preserve">cognitive </w:t>
      </w:r>
      <w:r w:rsidR="008E15C6" w:rsidRPr="00EF6BEB">
        <w:rPr>
          <w:rFonts w:ascii="ING Me" w:hAnsi="ING Me"/>
          <w:noProof/>
          <w:lang w:val="ro-RO"/>
        </w:rPr>
        <w:t>ridicate</w:t>
      </w:r>
      <w:r w:rsidRPr="00EF6BEB">
        <w:rPr>
          <w:rFonts w:ascii="ING Me" w:hAnsi="ING Me"/>
          <w:noProof/>
          <w:lang w:val="ro-RO"/>
        </w:rPr>
        <w:t xml:space="preserve"> este nerealist. </w:t>
      </w:r>
      <w:r w:rsidR="00F13FED" w:rsidRPr="00EF6BEB">
        <w:rPr>
          <w:rFonts w:ascii="ING Me" w:hAnsi="ING Me"/>
          <w:noProof/>
          <w:lang w:val="ro-RO"/>
        </w:rPr>
        <w:t>Exist</w:t>
      </w:r>
      <w:r w:rsidR="00B7031C" w:rsidRPr="00EF6BEB">
        <w:rPr>
          <w:rFonts w:ascii="ING Me" w:hAnsi="ING Me"/>
          <w:noProof/>
          <w:lang w:val="ro-RO"/>
        </w:rPr>
        <w:t>ă</w:t>
      </w:r>
      <w:r w:rsidR="00F13FED" w:rsidRPr="00EF6BEB">
        <w:rPr>
          <w:rFonts w:ascii="ING Me" w:hAnsi="ING Me"/>
          <w:noProof/>
          <w:lang w:val="ro-RO"/>
        </w:rPr>
        <w:t xml:space="preserve"> riscul </w:t>
      </w:r>
      <w:r w:rsidR="004657A4" w:rsidRPr="00EF6BEB">
        <w:rPr>
          <w:rFonts w:ascii="ING Me" w:hAnsi="ING Me"/>
          <w:noProof/>
          <w:lang w:val="ro-RO"/>
        </w:rPr>
        <w:t xml:space="preserve">ca </w:t>
      </w:r>
      <w:r w:rsidR="00F13FED" w:rsidRPr="00EF6BEB">
        <w:rPr>
          <w:rFonts w:ascii="ING Me" w:hAnsi="ING Me"/>
          <w:noProof/>
          <w:lang w:val="ro-RO"/>
        </w:rPr>
        <w:t>să traversăm</w:t>
      </w:r>
      <w:r w:rsidRPr="00EF6BEB">
        <w:rPr>
          <w:rFonts w:ascii="ING Me" w:hAnsi="ING Me"/>
          <w:noProof/>
          <w:lang w:val="ro-RO"/>
        </w:rPr>
        <w:t xml:space="preserve"> </w:t>
      </w:r>
      <w:r w:rsidR="00B7031C" w:rsidRPr="00EF6BEB">
        <w:rPr>
          <w:rFonts w:ascii="ING Me" w:hAnsi="ING Me"/>
          <w:noProof/>
          <w:lang w:val="ro-RO"/>
        </w:rPr>
        <w:t xml:space="preserve">în același timp </w:t>
      </w:r>
      <w:r w:rsidRPr="00EF6BEB">
        <w:rPr>
          <w:rFonts w:ascii="ING Me" w:hAnsi="ING Me"/>
          <w:noProof/>
          <w:lang w:val="ro-RO"/>
        </w:rPr>
        <w:t xml:space="preserve">o perioadă </w:t>
      </w:r>
      <w:r w:rsidR="0007593F" w:rsidRPr="00EF6BEB">
        <w:rPr>
          <w:rFonts w:ascii="ING Me" w:hAnsi="ING Me"/>
          <w:noProof/>
          <w:lang w:val="ro-RO"/>
        </w:rPr>
        <w:t>cu</w:t>
      </w:r>
      <w:r w:rsidRPr="00EF6BEB">
        <w:rPr>
          <w:rFonts w:ascii="ING Me" w:hAnsi="ING Me"/>
          <w:noProof/>
          <w:lang w:val="ro-RO"/>
        </w:rPr>
        <w:t xml:space="preserve"> șomaj mai ridicat </w:t>
      </w:r>
      <w:r w:rsidR="0007593F" w:rsidRPr="00EF6BEB">
        <w:rPr>
          <w:rFonts w:ascii="ING Me" w:hAnsi="ING Me"/>
          <w:noProof/>
          <w:lang w:val="ro-RO"/>
        </w:rPr>
        <w:t xml:space="preserve">dar </w:t>
      </w:r>
      <w:r w:rsidRPr="00EF6BEB">
        <w:rPr>
          <w:rFonts w:ascii="ING Me" w:hAnsi="ING Me"/>
          <w:noProof/>
          <w:lang w:val="ro-RO"/>
        </w:rPr>
        <w:t xml:space="preserve">și </w:t>
      </w:r>
      <w:r w:rsidR="0007593F" w:rsidRPr="00EF6BEB">
        <w:rPr>
          <w:rFonts w:ascii="ING Me" w:hAnsi="ING Me"/>
          <w:noProof/>
          <w:lang w:val="ro-RO"/>
        </w:rPr>
        <w:t xml:space="preserve">cu </w:t>
      </w:r>
      <w:r w:rsidRPr="00EF6BEB">
        <w:rPr>
          <w:rFonts w:ascii="ING Me" w:hAnsi="ING Me"/>
          <w:noProof/>
          <w:lang w:val="ro-RO"/>
        </w:rPr>
        <w:t xml:space="preserve">rate </w:t>
      </w:r>
      <w:r w:rsidR="004657A4" w:rsidRPr="00EF6BEB">
        <w:rPr>
          <w:rFonts w:ascii="ING Me" w:hAnsi="ING Me"/>
          <w:noProof/>
          <w:lang w:val="ro-RO"/>
        </w:rPr>
        <w:t xml:space="preserve">mari </w:t>
      </w:r>
      <w:r w:rsidRPr="00EF6BEB">
        <w:rPr>
          <w:rFonts w:ascii="ING Me" w:hAnsi="ING Me"/>
          <w:noProof/>
          <w:lang w:val="ro-RO"/>
        </w:rPr>
        <w:t>de neocupare a posturilor</w:t>
      </w:r>
      <w:r w:rsidR="004657A4" w:rsidRPr="00EF6BEB">
        <w:rPr>
          <w:rFonts w:ascii="ING Me" w:hAnsi="ING Me"/>
          <w:noProof/>
          <w:lang w:val="ro-RO"/>
        </w:rPr>
        <w:t xml:space="preserve"> vacante</w:t>
      </w:r>
      <w:r w:rsidRPr="00EF6BEB">
        <w:rPr>
          <w:rFonts w:ascii="ING Me" w:hAnsi="ING Me"/>
          <w:noProof/>
          <w:lang w:val="ro-RO"/>
        </w:rPr>
        <w:t>.</w:t>
      </w:r>
    </w:p>
    <w:p w14:paraId="0354E4FA" w14:textId="38B9917E" w:rsidR="00FD62F1" w:rsidRPr="00EF6BEB" w:rsidRDefault="00FD62F1" w:rsidP="004657A4">
      <w:pPr>
        <w:ind w:firstLine="720"/>
        <w:rPr>
          <w:rFonts w:ascii="ING Me" w:hAnsi="ING Me"/>
          <w:b/>
          <w:bCs/>
          <w:noProof/>
          <w:lang w:val="ro-RO"/>
        </w:rPr>
      </w:pPr>
      <w:r w:rsidRPr="00EF6BEB">
        <w:rPr>
          <w:rFonts w:ascii="ING Me" w:hAnsi="ING Me"/>
          <w:b/>
          <w:bCs/>
          <w:noProof/>
          <w:lang w:val="ro-RO"/>
        </w:rPr>
        <w:t>Boom-ul profitu</w:t>
      </w:r>
      <w:r w:rsidR="00E35E60" w:rsidRPr="00EF6BEB">
        <w:rPr>
          <w:rFonts w:ascii="ING Me" w:hAnsi="ING Me"/>
          <w:b/>
          <w:bCs/>
          <w:noProof/>
          <w:lang w:val="ro-RO"/>
        </w:rPr>
        <w:t>rilor</w:t>
      </w:r>
      <w:r w:rsidRPr="00EF6BEB">
        <w:rPr>
          <w:rFonts w:ascii="ING Me" w:hAnsi="ING Me"/>
          <w:b/>
          <w:bCs/>
          <w:noProof/>
          <w:lang w:val="ro-RO"/>
        </w:rPr>
        <w:t xml:space="preserve"> fără </w:t>
      </w:r>
      <w:r w:rsidR="00A47EA4" w:rsidRPr="00EF6BEB">
        <w:rPr>
          <w:rFonts w:ascii="ING Me" w:hAnsi="ING Me"/>
          <w:b/>
          <w:bCs/>
          <w:noProof/>
          <w:lang w:val="ro-RO"/>
        </w:rPr>
        <w:t xml:space="preserve">crearea de </w:t>
      </w:r>
      <w:r w:rsidRPr="00EF6BEB">
        <w:rPr>
          <w:rFonts w:ascii="ING Me" w:hAnsi="ING Me"/>
          <w:b/>
          <w:bCs/>
          <w:noProof/>
          <w:lang w:val="ro-RO"/>
        </w:rPr>
        <w:t>locuri de muncă</w:t>
      </w:r>
    </w:p>
    <w:p w14:paraId="6AE0EA70" w14:textId="685CF0D9" w:rsidR="00FD62F1" w:rsidRPr="00EF6BEB" w:rsidRDefault="00FD62F1" w:rsidP="00FD62F1">
      <w:pPr>
        <w:rPr>
          <w:rFonts w:ascii="ING Me" w:hAnsi="ING Me"/>
          <w:noProof/>
          <w:lang w:val="ro-RO"/>
        </w:rPr>
      </w:pPr>
      <w:r w:rsidRPr="00EF6BEB">
        <w:rPr>
          <w:rFonts w:ascii="ING Me" w:hAnsi="ING Me"/>
          <w:noProof/>
          <w:lang w:val="ro-RO"/>
        </w:rPr>
        <w:t xml:space="preserve">Mulți </w:t>
      </w:r>
      <w:r w:rsidR="00A47EA4" w:rsidRPr="00EF6BEB">
        <w:rPr>
          <w:rFonts w:ascii="ING Me" w:hAnsi="ING Me"/>
          <w:noProof/>
          <w:lang w:val="ro-RO"/>
        </w:rPr>
        <w:t>se tem de</w:t>
      </w:r>
      <w:r w:rsidRPr="00EF6BEB">
        <w:rPr>
          <w:rFonts w:ascii="ING Me" w:hAnsi="ING Me"/>
          <w:noProof/>
          <w:lang w:val="ro-RO"/>
        </w:rPr>
        <w:t xml:space="preserve"> o decuplare între creșterea PIB-ului și </w:t>
      </w:r>
      <w:r w:rsidR="00193AD5" w:rsidRPr="00EF6BEB">
        <w:rPr>
          <w:rFonts w:ascii="ING Me" w:hAnsi="ING Me"/>
          <w:noProof/>
          <w:lang w:val="ro-RO"/>
        </w:rPr>
        <w:t xml:space="preserve">a </w:t>
      </w:r>
      <w:r w:rsidRPr="00EF6BEB">
        <w:rPr>
          <w:rFonts w:ascii="ING Me" w:hAnsi="ING Me"/>
          <w:noProof/>
          <w:lang w:val="ro-RO"/>
        </w:rPr>
        <w:t>salarii</w:t>
      </w:r>
      <w:r w:rsidR="00193AD5" w:rsidRPr="00EF6BEB">
        <w:rPr>
          <w:rFonts w:ascii="ING Me" w:hAnsi="ING Me"/>
          <w:noProof/>
          <w:lang w:val="ro-RO"/>
        </w:rPr>
        <w:t>lor</w:t>
      </w:r>
      <w:r w:rsidRPr="00EF6BEB">
        <w:rPr>
          <w:rFonts w:ascii="ING Me" w:hAnsi="ING Me"/>
          <w:noProof/>
          <w:lang w:val="ro-RO"/>
        </w:rPr>
        <w:t xml:space="preserve">. IA poate permite companiilor să scaleze producția fără a angaja oameni noi. Pentru România, acest lucru ar putea însemna o creștere robustă a PIB-ului </w:t>
      </w:r>
      <w:r w:rsidR="00193AD5" w:rsidRPr="00EF6BEB">
        <w:rPr>
          <w:rFonts w:ascii="ING Me" w:hAnsi="ING Me"/>
          <w:noProof/>
          <w:lang w:val="ro-RO"/>
        </w:rPr>
        <w:t>alimentată</w:t>
      </w:r>
      <w:r w:rsidRPr="00EF6BEB">
        <w:rPr>
          <w:rFonts w:ascii="ING Me" w:hAnsi="ING Me"/>
          <w:noProof/>
          <w:lang w:val="ro-RO"/>
        </w:rPr>
        <w:t xml:space="preserve"> de eficiența </w:t>
      </w:r>
      <w:r w:rsidR="009D6BA7" w:rsidRPr="00EF6BEB">
        <w:rPr>
          <w:rFonts w:ascii="ING Me" w:hAnsi="ING Me"/>
          <w:noProof/>
          <w:lang w:val="ro-RO"/>
        </w:rPr>
        <w:t>roboților</w:t>
      </w:r>
      <w:r w:rsidRPr="00EF6BEB">
        <w:rPr>
          <w:rFonts w:ascii="ING Me" w:hAnsi="ING Me"/>
          <w:noProof/>
          <w:lang w:val="ro-RO"/>
        </w:rPr>
        <w:t xml:space="preserve"> (bună pentru statistici), în timp ce creșterea salariilor nu ține pasul pentru </w:t>
      </w:r>
      <w:r w:rsidR="009D6BA7" w:rsidRPr="00EF6BEB">
        <w:rPr>
          <w:rFonts w:ascii="ING Me" w:hAnsi="ING Me"/>
          <w:noProof/>
          <w:lang w:val="ro-RO"/>
        </w:rPr>
        <w:t>cea mai mare parte a</w:t>
      </w:r>
      <w:r w:rsidRPr="00EF6BEB">
        <w:rPr>
          <w:rFonts w:ascii="ING Me" w:hAnsi="ING Me"/>
          <w:noProof/>
          <w:lang w:val="ro-RO"/>
        </w:rPr>
        <w:t xml:space="preserve"> forței de muncă.</w:t>
      </w:r>
      <w:r w:rsidR="00D500CC" w:rsidRPr="00EF6BEB">
        <w:rPr>
          <w:rFonts w:ascii="ING Me" w:hAnsi="ING Me"/>
          <w:noProof/>
          <w:lang w:val="ro-RO"/>
        </w:rPr>
        <w:t xml:space="preserve"> </w:t>
      </w:r>
      <w:r w:rsidR="00346103" w:rsidRPr="00EF6BEB">
        <w:rPr>
          <w:rFonts w:ascii="ING Me" w:hAnsi="ING Me"/>
          <w:noProof/>
          <w:lang w:val="ro-RO"/>
        </w:rPr>
        <w:t>Recent,</w:t>
      </w:r>
      <w:r w:rsidR="00275568" w:rsidRPr="00EF6BEB">
        <w:rPr>
          <w:rFonts w:ascii="ING Me" w:hAnsi="ING Me"/>
          <w:noProof/>
          <w:lang w:val="ro-RO"/>
        </w:rPr>
        <w:t xml:space="preserve"> în cadrul Raportului asupra Stabilității Financiare, </w:t>
      </w:r>
      <w:hyperlink r:id="rId11" w:history="1">
        <w:r w:rsidR="00346103" w:rsidRPr="00EF6BEB">
          <w:rPr>
            <w:rStyle w:val="Hyperlink"/>
            <w:rFonts w:ascii="ING Me" w:hAnsi="ING Me"/>
            <w:noProof/>
            <w:lang w:val="ro-RO"/>
          </w:rPr>
          <w:t xml:space="preserve">Banca Națională </w:t>
        </w:r>
        <w:r w:rsidR="00275568" w:rsidRPr="00EF6BEB">
          <w:rPr>
            <w:rStyle w:val="Hyperlink"/>
            <w:rFonts w:ascii="ING Me" w:hAnsi="ING Me"/>
            <w:noProof/>
            <w:lang w:val="ro-RO"/>
          </w:rPr>
          <w:t xml:space="preserve">a României </w:t>
        </w:r>
        <w:r w:rsidR="00346103" w:rsidRPr="00EF6BEB">
          <w:rPr>
            <w:rStyle w:val="Hyperlink"/>
            <w:rFonts w:ascii="ING Me" w:hAnsi="ING Me"/>
            <w:noProof/>
            <w:lang w:val="ro-RO"/>
          </w:rPr>
          <w:t>a citat un studiu Google</w:t>
        </w:r>
      </w:hyperlink>
      <w:r w:rsidR="00346103" w:rsidRPr="00EF6BEB">
        <w:rPr>
          <w:rFonts w:ascii="ING Me" w:hAnsi="ING Me"/>
          <w:noProof/>
          <w:lang w:val="ro-RO"/>
        </w:rPr>
        <w:t xml:space="preserve"> care </w:t>
      </w:r>
      <w:r w:rsidR="008D5B86" w:rsidRPr="00EF6BEB">
        <w:rPr>
          <w:rFonts w:ascii="ING Me" w:hAnsi="ING Me"/>
          <w:noProof/>
          <w:lang w:val="ro-RO"/>
        </w:rPr>
        <w:t>spune că adoptarea pe scară largă a IA ar putea adăuga 14-16 miliarde de euro anual la PIB-ul României</w:t>
      </w:r>
      <w:r w:rsidR="00323DDB" w:rsidRPr="00EF6BEB">
        <w:rPr>
          <w:rFonts w:ascii="ING Me" w:hAnsi="ING Me"/>
          <w:noProof/>
          <w:lang w:val="ro-RO"/>
        </w:rPr>
        <w:t xml:space="preserve"> (</w:t>
      </w:r>
      <w:r w:rsidR="006A0F2A" w:rsidRPr="00EF6BEB">
        <w:rPr>
          <w:rFonts w:ascii="ING Me" w:hAnsi="ING Me"/>
          <w:noProof/>
          <w:lang w:val="ro-RO"/>
        </w:rPr>
        <w:t xml:space="preserve">întreaga casetă 2 din Raport </w:t>
      </w:r>
      <w:r w:rsidR="00F97D06" w:rsidRPr="00EF6BEB">
        <w:rPr>
          <w:rFonts w:ascii="ING Me" w:hAnsi="ING Me"/>
          <w:noProof/>
          <w:lang w:val="ro-RO"/>
        </w:rPr>
        <w:t>care este dedicată adoptării IA la nivelul companiilor nefinanciare din România)</w:t>
      </w:r>
      <w:r w:rsidR="008D5B86" w:rsidRPr="00EF6BEB">
        <w:rPr>
          <w:rFonts w:ascii="ING Me" w:hAnsi="ING Me"/>
          <w:noProof/>
          <w:lang w:val="ro-RO"/>
        </w:rPr>
        <w:t>. Totuși</w:t>
      </w:r>
      <w:r w:rsidR="0013104F" w:rsidRPr="00EF6BEB">
        <w:rPr>
          <w:rFonts w:ascii="ING Me" w:hAnsi="ING Me"/>
          <w:noProof/>
          <w:lang w:val="ro-RO"/>
        </w:rPr>
        <w:t>, d</w:t>
      </w:r>
      <w:r w:rsidRPr="00EF6BEB">
        <w:rPr>
          <w:rFonts w:ascii="ING Me" w:hAnsi="ING Me"/>
          <w:noProof/>
          <w:lang w:val="ro-RO"/>
        </w:rPr>
        <w:t xml:space="preserve">acă puterea de negociere a </w:t>
      </w:r>
      <w:r w:rsidR="00883C5C" w:rsidRPr="00EF6BEB">
        <w:rPr>
          <w:rFonts w:ascii="ING Me" w:hAnsi="ING Me"/>
          <w:noProof/>
          <w:lang w:val="ro-RO"/>
        </w:rPr>
        <w:t>salariaților</w:t>
      </w:r>
      <w:r w:rsidRPr="00EF6BEB">
        <w:rPr>
          <w:rFonts w:ascii="ING Me" w:hAnsi="ING Me"/>
          <w:noProof/>
          <w:lang w:val="ro-RO"/>
        </w:rPr>
        <w:t xml:space="preserve"> scade deoarece pot fi înlocuiți prin automatizare, ponderea venitului național care merge către muncă va scădea, în timp ce randamentele capitalului vor crește. Acest lucru poate exacerba inegalitatea într-o țară care are deja unul dintre cele mai mari decalaje de venituri din UE.</w:t>
      </w:r>
    </w:p>
    <w:p w14:paraId="518EBD8E" w14:textId="77777777" w:rsidR="00FD62F1" w:rsidRPr="00EF6BEB" w:rsidRDefault="00FD62F1" w:rsidP="00DB7F06">
      <w:pPr>
        <w:ind w:firstLine="720"/>
        <w:rPr>
          <w:rFonts w:ascii="ING Me" w:hAnsi="ING Me"/>
          <w:b/>
          <w:bCs/>
          <w:noProof/>
          <w:lang w:val="ro-RO"/>
        </w:rPr>
      </w:pPr>
      <w:r w:rsidRPr="00EF6BEB">
        <w:rPr>
          <w:rFonts w:ascii="ING Me" w:hAnsi="ING Me"/>
          <w:b/>
          <w:bCs/>
          <w:noProof/>
          <w:lang w:val="ro-RO"/>
        </w:rPr>
        <w:t>Implicații macroeconomice: creștere fără inflație?</w:t>
      </w:r>
    </w:p>
    <w:p w14:paraId="6C0ACC85" w14:textId="4DCB69E0" w:rsidR="00FD62F1" w:rsidRPr="00EF6BEB" w:rsidRDefault="00FD62F1" w:rsidP="00FD62F1">
      <w:pPr>
        <w:rPr>
          <w:rFonts w:ascii="ING Me" w:hAnsi="ING Me"/>
          <w:noProof/>
          <w:lang w:val="ro-RO"/>
        </w:rPr>
      </w:pPr>
      <w:r w:rsidRPr="00EF6BEB">
        <w:rPr>
          <w:rFonts w:ascii="ING Me" w:hAnsi="ING Me"/>
          <w:noProof/>
          <w:lang w:val="ro-RO"/>
        </w:rPr>
        <w:t>IA poate schimba tabloul macroeconomic pe care Banca Națională a României (BNR) și decidenții politici îl monitorizează, introducând un nou tip de șoc pe partea ofertei.</w:t>
      </w:r>
    </w:p>
    <w:p w14:paraId="4CD7FC9A" w14:textId="578F62AD" w:rsidR="002037D5" w:rsidRPr="00EF6BEB" w:rsidRDefault="00FD62F1" w:rsidP="00FD62F1">
      <w:pPr>
        <w:pStyle w:val="ListParagraph"/>
        <w:numPr>
          <w:ilvl w:val="0"/>
          <w:numId w:val="7"/>
        </w:numPr>
        <w:rPr>
          <w:rFonts w:ascii="ING Me" w:hAnsi="ING Me"/>
          <w:noProof/>
          <w:lang w:val="ro-RO"/>
        </w:rPr>
      </w:pPr>
      <w:r w:rsidRPr="00EF6BEB">
        <w:rPr>
          <w:rFonts w:ascii="ING Me" w:hAnsi="ING Me"/>
          <w:noProof/>
          <w:lang w:val="ro-RO"/>
        </w:rPr>
        <w:t xml:space="preserve">Creștere bazată pe productivitate: </w:t>
      </w:r>
      <w:r w:rsidR="006E3BC4" w:rsidRPr="00EF6BEB">
        <w:rPr>
          <w:rFonts w:ascii="ING Me" w:hAnsi="ING Me"/>
          <w:noProof/>
          <w:lang w:val="ro-RO"/>
        </w:rPr>
        <w:t xml:space="preserve">după cum am menționat mai sus, </w:t>
      </w:r>
      <w:r w:rsidR="00D0752F" w:rsidRPr="00EF6BEB">
        <w:rPr>
          <w:rFonts w:ascii="ING Me" w:hAnsi="ING Me"/>
          <w:noProof/>
          <w:lang w:val="ro-RO"/>
        </w:rPr>
        <w:t>i</w:t>
      </w:r>
      <w:r w:rsidRPr="00EF6BEB">
        <w:rPr>
          <w:rFonts w:ascii="ING Me" w:hAnsi="ING Me"/>
          <w:noProof/>
          <w:lang w:val="ro-RO"/>
        </w:rPr>
        <w:t xml:space="preserve">ntegrarea IA ar putea adăuga miliarde la PIB-ul României. Totuși, </w:t>
      </w:r>
      <w:r w:rsidR="00034A77" w:rsidRPr="00EF6BEB">
        <w:rPr>
          <w:rFonts w:ascii="ING Me" w:hAnsi="ING Me"/>
          <w:noProof/>
          <w:lang w:val="ro-RO"/>
        </w:rPr>
        <w:t>cu o</w:t>
      </w:r>
      <w:r w:rsidRPr="00EF6BEB">
        <w:rPr>
          <w:rFonts w:ascii="ING Me" w:hAnsi="ING Me"/>
          <w:noProof/>
          <w:lang w:val="ro-RO"/>
        </w:rPr>
        <w:t xml:space="preserve"> creștere </w:t>
      </w:r>
      <w:r w:rsidR="00034A77" w:rsidRPr="00EF6BEB">
        <w:rPr>
          <w:rFonts w:ascii="ING Me" w:hAnsi="ING Me"/>
          <w:noProof/>
          <w:lang w:val="ro-RO"/>
        </w:rPr>
        <w:t xml:space="preserve">care </w:t>
      </w:r>
      <w:r w:rsidRPr="00EF6BEB">
        <w:rPr>
          <w:rFonts w:ascii="ING Me" w:hAnsi="ING Me"/>
          <w:noProof/>
          <w:lang w:val="ro-RO"/>
        </w:rPr>
        <w:t xml:space="preserve">este condusă de mașini mai degrabă decât de mai mulți oameni care muncesc, </w:t>
      </w:r>
      <w:r w:rsidR="002037D5" w:rsidRPr="00EF6BEB">
        <w:rPr>
          <w:rFonts w:ascii="ING Me" w:hAnsi="ING Me"/>
          <w:noProof/>
          <w:lang w:val="ro-RO"/>
        </w:rPr>
        <w:t xml:space="preserve">structura </w:t>
      </w:r>
      <w:r w:rsidRPr="00EF6BEB">
        <w:rPr>
          <w:rFonts w:ascii="ING Me" w:hAnsi="ING Me"/>
          <w:noProof/>
          <w:lang w:val="ro-RO"/>
        </w:rPr>
        <w:t>venituril</w:t>
      </w:r>
      <w:r w:rsidR="002037D5" w:rsidRPr="00EF6BEB">
        <w:rPr>
          <w:rFonts w:ascii="ING Me" w:hAnsi="ING Me"/>
          <w:noProof/>
          <w:lang w:val="ro-RO"/>
        </w:rPr>
        <w:t>or</w:t>
      </w:r>
      <w:r w:rsidRPr="00EF6BEB">
        <w:rPr>
          <w:rFonts w:ascii="ING Me" w:hAnsi="ING Me"/>
          <w:noProof/>
          <w:lang w:val="ro-RO"/>
        </w:rPr>
        <w:t xml:space="preserve"> fiscale </w:t>
      </w:r>
      <w:r w:rsidR="002037D5" w:rsidRPr="00EF6BEB">
        <w:rPr>
          <w:rFonts w:ascii="ING Me" w:hAnsi="ING Me"/>
          <w:noProof/>
          <w:lang w:val="ro-RO"/>
        </w:rPr>
        <w:t xml:space="preserve">se modifică </w:t>
      </w:r>
      <w:r w:rsidRPr="00EF6BEB">
        <w:rPr>
          <w:rFonts w:ascii="ING Me" w:hAnsi="ING Me"/>
          <w:noProof/>
          <w:lang w:val="ro-RO"/>
        </w:rPr>
        <w:t xml:space="preserve">(mai puține taxe pe salarii, mai multe taxe pe profitul companiilor) și este posibil să nu se traducă în </w:t>
      </w:r>
      <w:r w:rsidR="002037D5" w:rsidRPr="00EF6BEB">
        <w:rPr>
          <w:rFonts w:ascii="ING Me" w:hAnsi="ING Me"/>
          <w:noProof/>
          <w:lang w:val="ro-RO"/>
        </w:rPr>
        <w:t>creșteri</w:t>
      </w:r>
      <w:r w:rsidRPr="00EF6BEB">
        <w:rPr>
          <w:rFonts w:ascii="ING Me" w:hAnsi="ING Me"/>
          <w:noProof/>
          <w:lang w:val="ro-RO"/>
        </w:rPr>
        <w:t xml:space="preserve"> de venit generalizate</w:t>
      </w:r>
    </w:p>
    <w:p w14:paraId="0C3C9F5E" w14:textId="77777777" w:rsidR="00450A11" w:rsidRPr="00EF6BEB" w:rsidRDefault="00FD62F1" w:rsidP="00FD62F1">
      <w:pPr>
        <w:pStyle w:val="ListParagraph"/>
        <w:numPr>
          <w:ilvl w:val="0"/>
          <w:numId w:val="7"/>
        </w:numPr>
        <w:rPr>
          <w:rFonts w:ascii="ING Me" w:hAnsi="ING Me"/>
          <w:noProof/>
          <w:lang w:val="ro-RO"/>
        </w:rPr>
      </w:pPr>
      <w:r w:rsidRPr="00EF6BEB">
        <w:rPr>
          <w:rFonts w:ascii="ING Me" w:hAnsi="ING Me"/>
          <w:noProof/>
          <w:lang w:val="ro-RO"/>
        </w:rPr>
        <w:t>Dilema politicii monetare: IA ar putea fi o forță deflaționistă puternică. Prin creșterea eficienței producției și automatizarea serviciilor, scade costurile și exercită presiune descendentă asupra prețurilor. Aceasta creează o nouă provocare pentru BNR: inflație mai mică combinată cu șomaj mai mare.</w:t>
      </w:r>
    </w:p>
    <w:p w14:paraId="59E6BBE1" w14:textId="3F20F6BD" w:rsidR="00876746" w:rsidRPr="00EF6BEB" w:rsidRDefault="00FD62F1" w:rsidP="00876746">
      <w:pPr>
        <w:pStyle w:val="ListParagraph"/>
        <w:rPr>
          <w:rFonts w:ascii="ING Me" w:hAnsi="ING Me"/>
          <w:noProof/>
          <w:lang w:val="ro-RO"/>
        </w:rPr>
      </w:pPr>
      <w:r w:rsidRPr="00EF6BEB">
        <w:rPr>
          <w:rFonts w:ascii="ING Me" w:hAnsi="ING Me"/>
          <w:noProof/>
          <w:lang w:val="ro-RO"/>
        </w:rPr>
        <w:t xml:space="preserve">În mod tradițional, șomajul ridicat semnalează o cerere slabă, determinând băncile centrale să reducă ratele dobânzilor. </w:t>
      </w:r>
      <w:r w:rsidR="0034722E" w:rsidRPr="00EF6BEB">
        <w:rPr>
          <w:rFonts w:ascii="ING Me" w:hAnsi="ING Me"/>
          <w:noProof/>
          <w:lang w:val="ro-RO"/>
        </w:rPr>
        <w:t>Dobânzile</w:t>
      </w:r>
      <w:r w:rsidRPr="00EF6BEB">
        <w:rPr>
          <w:rFonts w:ascii="ING Me" w:hAnsi="ING Me"/>
          <w:noProof/>
          <w:lang w:val="ro-RO"/>
        </w:rPr>
        <w:t xml:space="preserve"> mai mici ieftinesc banii, stimulează creditarea, încurajează investițiile și </w:t>
      </w:r>
      <w:r w:rsidR="00611F9C" w:rsidRPr="00EF6BEB">
        <w:rPr>
          <w:rFonts w:ascii="ING Me" w:hAnsi="ING Me"/>
          <w:noProof/>
          <w:lang w:val="ro-RO"/>
        </w:rPr>
        <w:t xml:space="preserve">în cele din urmă </w:t>
      </w:r>
      <w:r w:rsidRPr="00EF6BEB">
        <w:rPr>
          <w:rFonts w:ascii="ING Me" w:hAnsi="ING Me"/>
          <w:noProof/>
          <w:lang w:val="ro-RO"/>
        </w:rPr>
        <w:t>cresc cererea agregată. Istoric, cererea crescută se traduce în mai multe locuri de muncă pentru a produce mai multe bunuri.</w:t>
      </w:r>
    </w:p>
    <w:p w14:paraId="7EDCAEAB" w14:textId="04C2A2FA" w:rsidR="00FD62F1" w:rsidRPr="00EF6BEB" w:rsidRDefault="00FD62F1" w:rsidP="00876746">
      <w:pPr>
        <w:pStyle w:val="ListParagraph"/>
        <w:rPr>
          <w:rFonts w:ascii="ING Me" w:hAnsi="ING Me"/>
          <w:noProof/>
          <w:lang w:val="ro-RO"/>
        </w:rPr>
      </w:pPr>
      <w:r w:rsidRPr="00EF6BEB">
        <w:rPr>
          <w:rFonts w:ascii="ING Me" w:hAnsi="ING Me"/>
          <w:noProof/>
          <w:lang w:val="ro-RO"/>
        </w:rPr>
        <w:t xml:space="preserve">Într-o economie </w:t>
      </w:r>
      <w:r w:rsidR="00876746" w:rsidRPr="00EF6BEB">
        <w:rPr>
          <w:rFonts w:ascii="ING Me" w:hAnsi="ING Me"/>
          <w:noProof/>
          <w:lang w:val="ro-RO"/>
        </w:rPr>
        <w:t xml:space="preserve">bazată pe </w:t>
      </w:r>
      <w:r w:rsidRPr="00EF6BEB">
        <w:rPr>
          <w:rFonts w:ascii="ING Me" w:hAnsi="ING Me"/>
          <w:noProof/>
          <w:lang w:val="ro-RO"/>
        </w:rPr>
        <w:t xml:space="preserve">AI, eficiența </w:t>
      </w:r>
      <w:r w:rsidR="00876746" w:rsidRPr="00EF6BEB">
        <w:rPr>
          <w:rFonts w:ascii="ING Me" w:hAnsi="ING Me"/>
          <w:noProof/>
          <w:lang w:val="ro-RO"/>
        </w:rPr>
        <w:t xml:space="preserve">pe partea </w:t>
      </w:r>
      <w:r w:rsidRPr="00EF6BEB">
        <w:rPr>
          <w:rFonts w:ascii="ING Me" w:hAnsi="ING Me"/>
          <w:noProof/>
          <w:lang w:val="ro-RO"/>
        </w:rPr>
        <w:t>ofertei menține prețurile scăzute și permite producției să crească fără o creștere corespunzătoare a ocupării forței de muncă. Șomajul devine structural, înrădăcinat în neconcordanța competențelor</w:t>
      </w:r>
      <w:r w:rsidR="00872517" w:rsidRPr="00EF6BEB">
        <w:rPr>
          <w:rFonts w:ascii="ING Me" w:hAnsi="ING Me"/>
          <w:noProof/>
          <w:lang w:val="ro-RO"/>
        </w:rPr>
        <w:t xml:space="preserve"> (skill mismatches)</w:t>
      </w:r>
      <w:r w:rsidRPr="00EF6BEB">
        <w:rPr>
          <w:rFonts w:ascii="ING Me" w:hAnsi="ING Me"/>
          <w:noProof/>
          <w:lang w:val="ro-RO"/>
        </w:rPr>
        <w:t xml:space="preserve">, nu în lipsa creditului ieftin. Ca urmare, stimulentele monetare convenționale – cum ar fi reducerea </w:t>
      </w:r>
      <w:r w:rsidR="003F6197" w:rsidRPr="00EF6BEB">
        <w:rPr>
          <w:rFonts w:ascii="ING Me" w:hAnsi="ING Me"/>
          <w:noProof/>
          <w:lang w:val="ro-RO"/>
        </w:rPr>
        <w:t>dobânzilor</w:t>
      </w:r>
      <w:r w:rsidRPr="00EF6BEB">
        <w:rPr>
          <w:rFonts w:ascii="ING Me" w:hAnsi="ING Me"/>
          <w:noProof/>
          <w:lang w:val="ro-RO"/>
        </w:rPr>
        <w:t xml:space="preserve"> – pot eșua în a rezolva problema, deoarece constrângerea nu este lichiditatea sau prețul banilor, ci adaptabilitatea forței de muncă. De fapt, </w:t>
      </w:r>
      <w:r w:rsidR="00703181" w:rsidRPr="00EF6BEB">
        <w:rPr>
          <w:rFonts w:ascii="ING Me" w:hAnsi="ING Me"/>
          <w:noProof/>
          <w:lang w:val="ro-RO"/>
        </w:rPr>
        <w:t xml:space="preserve">teoretic </w:t>
      </w:r>
      <w:r w:rsidRPr="00EF6BEB">
        <w:rPr>
          <w:rFonts w:ascii="ING Me" w:hAnsi="ING Me"/>
          <w:noProof/>
          <w:lang w:val="ro-RO"/>
        </w:rPr>
        <w:t xml:space="preserve">s-ar putea argumenta că, într-un astfel de scenariu, rata neutră a dobânzii (rata la care economia este stabilă) ar putea să crească, nu să scadă. </w:t>
      </w:r>
      <w:r w:rsidR="008131DB" w:rsidRPr="00EF6BEB">
        <w:rPr>
          <w:rFonts w:ascii="ING Me" w:hAnsi="ING Me"/>
          <w:noProof/>
          <w:lang w:val="ro-RO"/>
        </w:rPr>
        <w:t>L</w:t>
      </w:r>
      <w:r w:rsidR="00797F6F" w:rsidRPr="00EF6BEB">
        <w:rPr>
          <w:rFonts w:ascii="ING Me" w:hAnsi="ING Me"/>
          <w:noProof/>
          <w:lang w:val="ro-RO"/>
        </w:rPr>
        <w:t>iteratura este incă în formare, dar î</w:t>
      </w:r>
      <w:r w:rsidR="008116EA" w:rsidRPr="00EF6BEB">
        <w:rPr>
          <w:rFonts w:ascii="ING Me" w:hAnsi="ING Me"/>
          <w:noProof/>
          <w:lang w:val="ro-RO"/>
        </w:rPr>
        <w:t xml:space="preserve">n orice caz, factorii de decizie vor avea </w:t>
      </w:r>
      <w:r w:rsidR="00797F6F" w:rsidRPr="00EF6BEB">
        <w:rPr>
          <w:rFonts w:ascii="ING Me" w:hAnsi="ING Me"/>
          <w:noProof/>
          <w:lang w:val="ro-RO"/>
        </w:rPr>
        <w:t xml:space="preserve">probabil </w:t>
      </w:r>
      <w:r w:rsidR="008116EA" w:rsidRPr="00EF6BEB">
        <w:rPr>
          <w:rFonts w:ascii="ING Me" w:hAnsi="ING Me"/>
          <w:noProof/>
          <w:lang w:val="ro-RO"/>
        </w:rPr>
        <w:t>nevoie de un nou set de instrumente.</w:t>
      </w:r>
    </w:p>
    <w:p w14:paraId="7325C397" w14:textId="037642B4" w:rsidR="00FD62F1" w:rsidRPr="00EF6BEB" w:rsidRDefault="00FD62F1" w:rsidP="00FD62F1">
      <w:pPr>
        <w:rPr>
          <w:rFonts w:ascii="ING Me" w:hAnsi="ING Me"/>
          <w:noProof/>
          <w:lang w:val="ro-RO"/>
        </w:rPr>
      </w:pPr>
      <w:r w:rsidRPr="00EF6BEB">
        <w:rPr>
          <w:rFonts w:ascii="ING Me" w:hAnsi="ING Me"/>
          <w:noProof/>
          <w:lang w:val="ro-RO"/>
        </w:rPr>
        <w:t>Un raport FMI din 2025, "</w:t>
      </w:r>
      <w:hyperlink r:id="rId12" w:history="1">
        <w:r w:rsidRPr="00EF6BEB">
          <w:rPr>
            <w:rStyle w:val="Hyperlink"/>
            <w:rFonts w:ascii="ING Me" w:hAnsi="ING Me"/>
            <w:noProof/>
            <w:lang w:val="ro-RO"/>
          </w:rPr>
          <w:t>The Global Impact of AI: Mind the gap"</w:t>
        </w:r>
      </w:hyperlink>
      <w:r w:rsidRPr="00EF6BEB">
        <w:rPr>
          <w:rFonts w:ascii="ING Me" w:hAnsi="ING Me"/>
          <w:noProof/>
          <w:lang w:val="ro-RO"/>
        </w:rPr>
        <w:t xml:space="preserve">, </w:t>
      </w:r>
      <w:r w:rsidR="00184F0F" w:rsidRPr="00EF6BEB">
        <w:rPr>
          <w:rFonts w:ascii="ING Me" w:hAnsi="ING Me"/>
          <w:noProof/>
          <w:lang w:val="ro-RO"/>
        </w:rPr>
        <w:t>oferă și estimări concrete</w:t>
      </w:r>
      <w:r w:rsidRPr="00EF6BEB">
        <w:rPr>
          <w:rFonts w:ascii="ING Me" w:hAnsi="ING Me"/>
          <w:noProof/>
          <w:lang w:val="ro-RO"/>
        </w:rPr>
        <w:t xml:space="preserve">. </w:t>
      </w:r>
      <w:r w:rsidR="00684522" w:rsidRPr="00EF6BEB">
        <w:rPr>
          <w:rFonts w:ascii="ING Me" w:hAnsi="ING Me"/>
          <w:noProof/>
          <w:lang w:val="ro-RO"/>
        </w:rPr>
        <w:t xml:space="preserve">Acesta estimează că economiile avansate ar putea vedea un impact </w:t>
      </w:r>
      <w:r w:rsidR="00197EA1" w:rsidRPr="00EF6BEB">
        <w:rPr>
          <w:rFonts w:ascii="ING Me" w:hAnsi="ING Me"/>
          <w:noProof/>
          <w:lang w:val="ro-RO"/>
        </w:rPr>
        <w:t xml:space="preserve">pozitiv </w:t>
      </w:r>
      <w:r w:rsidR="00684522" w:rsidRPr="00EF6BEB">
        <w:rPr>
          <w:rFonts w:ascii="ING Me" w:hAnsi="ING Me"/>
          <w:noProof/>
          <w:lang w:val="ro-RO"/>
        </w:rPr>
        <w:t xml:space="preserve">dublu asupra PIB-ului din partea IA </w:t>
      </w:r>
      <w:r w:rsidRPr="00EF6BEB">
        <w:rPr>
          <w:rFonts w:ascii="ING Me" w:hAnsi="ING Me"/>
          <w:noProof/>
          <w:lang w:val="ro-RO"/>
        </w:rPr>
        <w:t xml:space="preserve">în comparație cu piețele emergente, deoarece sunt atât "expuse" (au joburi pe care IA le poate </w:t>
      </w:r>
      <w:r w:rsidR="00493FDD" w:rsidRPr="00EF6BEB">
        <w:rPr>
          <w:rFonts w:ascii="ING Me" w:hAnsi="ING Me"/>
          <w:noProof/>
          <w:lang w:val="ro-RO"/>
        </w:rPr>
        <w:t>prelua</w:t>
      </w:r>
      <w:r w:rsidRPr="00EF6BEB">
        <w:rPr>
          <w:rFonts w:ascii="ING Me" w:hAnsi="ING Me"/>
          <w:noProof/>
          <w:lang w:val="ro-RO"/>
        </w:rPr>
        <w:t xml:space="preserve">), cât și "pregătite" (au competențele </w:t>
      </w:r>
      <w:r w:rsidR="00493FDD" w:rsidRPr="00EF6BEB">
        <w:rPr>
          <w:rFonts w:ascii="ING Me" w:hAnsi="ING Me"/>
          <w:noProof/>
          <w:lang w:val="ro-RO"/>
        </w:rPr>
        <w:t xml:space="preserve">necesare </w:t>
      </w:r>
      <w:r w:rsidR="00E21511" w:rsidRPr="00EF6BEB">
        <w:rPr>
          <w:rFonts w:ascii="ING Me" w:hAnsi="ING Me"/>
          <w:noProof/>
          <w:lang w:val="ro-RO"/>
        </w:rPr>
        <w:t>la nivelul for</w:t>
      </w:r>
      <w:r w:rsidR="00193AD1" w:rsidRPr="00EF6BEB">
        <w:rPr>
          <w:rFonts w:ascii="ING Me" w:hAnsi="ING Me"/>
          <w:noProof/>
          <w:lang w:val="ro-RO"/>
        </w:rPr>
        <w:t xml:space="preserve">ței de muncă </w:t>
      </w:r>
      <w:r w:rsidR="00493FDD" w:rsidRPr="00EF6BEB">
        <w:rPr>
          <w:rFonts w:ascii="ING Me" w:hAnsi="ING Me"/>
          <w:noProof/>
          <w:lang w:val="ro-RO"/>
        </w:rPr>
        <w:t>pentru a</w:t>
      </w:r>
      <w:r w:rsidRPr="00EF6BEB">
        <w:rPr>
          <w:rFonts w:ascii="ING Me" w:hAnsi="ING Me"/>
          <w:noProof/>
          <w:lang w:val="ro-RO"/>
        </w:rPr>
        <w:t xml:space="preserve"> gestion</w:t>
      </w:r>
      <w:r w:rsidR="00493FDD" w:rsidRPr="00EF6BEB">
        <w:rPr>
          <w:rFonts w:ascii="ING Me" w:hAnsi="ING Me"/>
          <w:noProof/>
          <w:lang w:val="ro-RO"/>
        </w:rPr>
        <w:t xml:space="preserve">a </w:t>
      </w:r>
      <w:r w:rsidR="00193AD1" w:rsidRPr="00EF6BEB">
        <w:rPr>
          <w:rFonts w:ascii="ING Me" w:hAnsi="ING Me"/>
          <w:noProof/>
          <w:lang w:val="ro-RO"/>
        </w:rPr>
        <w:t xml:space="preserve">mai bine </w:t>
      </w:r>
      <w:r w:rsidR="00493FDD" w:rsidRPr="00EF6BEB">
        <w:rPr>
          <w:rFonts w:ascii="ING Me" w:hAnsi="ING Me"/>
          <w:noProof/>
          <w:lang w:val="ro-RO"/>
        </w:rPr>
        <w:t>tranziția</w:t>
      </w:r>
      <w:r w:rsidRPr="00EF6BEB">
        <w:rPr>
          <w:rFonts w:ascii="ING Me" w:hAnsi="ING Me"/>
          <w:noProof/>
          <w:lang w:val="ro-RO"/>
        </w:rPr>
        <w:t xml:space="preserve">). În acest </w:t>
      </w:r>
      <w:r w:rsidR="00996528" w:rsidRPr="00EF6BEB">
        <w:rPr>
          <w:rFonts w:ascii="ING Me" w:hAnsi="ING Me"/>
          <w:noProof/>
          <w:lang w:val="ro-RO"/>
        </w:rPr>
        <w:t>moment</w:t>
      </w:r>
      <w:r w:rsidRPr="00EF6BEB">
        <w:rPr>
          <w:rFonts w:ascii="ING Me" w:hAnsi="ING Me"/>
          <w:noProof/>
          <w:lang w:val="ro-RO"/>
        </w:rPr>
        <w:t>, România pare relativ expusă (</w:t>
      </w:r>
      <w:r w:rsidR="00480D7E" w:rsidRPr="00EF6BEB">
        <w:rPr>
          <w:rFonts w:ascii="ING Me" w:hAnsi="ING Me"/>
          <w:noProof/>
          <w:lang w:val="ro-RO"/>
        </w:rPr>
        <w:t>dispune de infrastructură și un sector de servicii extins, ușor de automatizat</w:t>
      </w:r>
      <w:r w:rsidRPr="00EF6BEB">
        <w:rPr>
          <w:rFonts w:ascii="ING Me" w:hAnsi="ING Me"/>
          <w:noProof/>
          <w:lang w:val="ro-RO"/>
        </w:rPr>
        <w:t>), dar nepregătită (lipse</w:t>
      </w:r>
      <w:r w:rsidR="00480D7E" w:rsidRPr="00EF6BEB">
        <w:rPr>
          <w:rFonts w:ascii="ING Me" w:hAnsi="ING Me"/>
          <w:noProof/>
          <w:lang w:val="ro-RO"/>
        </w:rPr>
        <w:t>ște</w:t>
      </w:r>
      <w:r w:rsidRPr="00EF6BEB">
        <w:rPr>
          <w:rFonts w:ascii="ING Me" w:hAnsi="ING Me"/>
          <w:noProof/>
          <w:lang w:val="ro-RO"/>
        </w:rPr>
        <w:t xml:space="preserve"> cadr</w:t>
      </w:r>
      <w:r w:rsidR="00480D7E" w:rsidRPr="00EF6BEB">
        <w:rPr>
          <w:rFonts w:ascii="ING Me" w:hAnsi="ING Me"/>
          <w:noProof/>
          <w:lang w:val="ro-RO"/>
        </w:rPr>
        <w:t>ul</w:t>
      </w:r>
      <w:r w:rsidRPr="00EF6BEB">
        <w:rPr>
          <w:rFonts w:ascii="ING Me" w:hAnsi="ING Me"/>
          <w:noProof/>
          <w:lang w:val="ro-RO"/>
        </w:rPr>
        <w:t xml:space="preserve"> de reglementare și competențele digitale </w:t>
      </w:r>
      <w:r w:rsidR="00996528" w:rsidRPr="00EF6BEB">
        <w:rPr>
          <w:rFonts w:ascii="ING Me" w:hAnsi="ING Me"/>
          <w:noProof/>
          <w:lang w:val="ro-RO"/>
        </w:rPr>
        <w:t xml:space="preserve">la nivelul </w:t>
      </w:r>
      <w:r w:rsidRPr="00EF6BEB">
        <w:rPr>
          <w:rFonts w:ascii="ING Me" w:hAnsi="ING Me"/>
          <w:noProof/>
          <w:lang w:val="ro-RO"/>
        </w:rPr>
        <w:t>populați</w:t>
      </w:r>
      <w:r w:rsidR="00996528" w:rsidRPr="00EF6BEB">
        <w:rPr>
          <w:rFonts w:ascii="ING Me" w:hAnsi="ING Me"/>
          <w:noProof/>
          <w:lang w:val="ro-RO"/>
        </w:rPr>
        <w:t>ei</w:t>
      </w:r>
      <w:r w:rsidRPr="00EF6BEB">
        <w:rPr>
          <w:rFonts w:ascii="ING Me" w:hAnsi="ING Me"/>
          <w:noProof/>
          <w:lang w:val="ro-RO"/>
        </w:rPr>
        <w:t xml:space="preserve"> genera</w:t>
      </w:r>
      <w:r w:rsidR="00996528" w:rsidRPr="00EF6BEB">
        <w:rPr>
          <w:rFonts w:ascii="ING Me" w:hAnsi="ING Me"/>
          <w:noProof/>
          <w:lang w:val="ro-RO"/>
        </w:rPr>
        <w:t>le</w:t>
      </w:r>
      <w:r w:rsidRPr="00EF6BEB">
        <w:rPr>
          <w:rFonts w:ascii="ING Me" w:hAnsi="ING Me"/>
          <w:noProof/>
          <w:lang w:val="ro-RO"/>
        </w:rPr>
        <w:t>).</w:t>
      </w:r>
    </w:p>
    <w:p w14:paraId="0ACD603C" w14:textId="02343F5D" w:rsidR="00FD62F1" w:rsidRPr="00EF6BEB" w:rsidRDefault="00FD62F1" w:rsidP="00FD62F1">
      <w:pPr>
        <w:rPr>
          <w:rFonts w:ascii="ING Me" w:hAnsi="ING Me"/>
          <w:noProof/>
          <w:lang w:val="ro-RO"/>
        </w:rPr>
      </w:pPr>
      <w:r w:rsidRPr="00EF6BEB">
        <w:rPr>
          <w:rFonts w:ascii="ING Me" w:hAnsi="ING Me"/>
          <w:noProof/>
          <w:lang w:val="ro-RO"/>
        </w:rPr>
        <w:t>FMI subliniază, de asemenea, un posibil risc monetar particular pentru țările în curs de dezvoltare: efectul "Balassa-Samuelson invers</w:t>
      </w:r>
      <w:r w:rsidR="00AD5448" w:rsidRPr="00EF6BEB">
        <w:rPr>
          <w:rFonts w:ascii="ING Me" w:hAnsi="ING Me"/>
          <w:noProof/>
          <w:lang w:val="ro-RO"/>
        </w:rPr>
        <w:t>at</w:t>
      </w:r>
      <w:r w:rsidRPr="00EF6BEB">
        <w:rPr>
          <w:rFonts w:ascii="ING Me" w:hAnsi="ING Me"/>
          <w:noProof/>
          <w:lang w:val="ro-RO"/>
        </w:rPr>
        <w:t xml:space="preserve">", datorat faptului că IA stimulează în primul rând productivitatea în sectorul bunurilor </w:t>
      </w:r>
      <w:r w:rsidR="004D06E4" w:rsidRPr="00EF6BEB">
        <w:rPr>
          <w:rFonts w:ascii="ING Me" w:hAnsi="ING Me"/>
          <w:noProof/>
          <w:lang w:val="ro-RO"/>
        </w:rPr>
        <w:t>ne</w:t>
      </w:r>
      <w:r w:rsidR="005C04C7" w:rsidRPr="00EF6BEB">
        <w:rPr>
          <w:rFonts w:ascii="ING Me" w:hAnsi="ING Me"/>
          <w:noProof/>
          <w:lang w:val="ro-RO"/>
        </w:rPr>
        <w:t>comercializabile</w:t>
      </w:r>
      <w:r w:rsidRPr="00EF6BEB">
        <w:rPr>
          <w:rFonts w:ascii="ING Me" w:hAnsi="ING Me"/>
          <w:noProof/>
          <w:lang w:val="ro-RO"/>
        </w:rPr>
        <w:t xml:space="preserve">. Pe măsură ce IA face serviciile occidentale (bancare, juridice, medicale etc.) hipereficiente și relativ mai ieftine, euro s-ar putea </w:t>
      </w:r>
      <w:r w:rsidR="007C5E51" w:rsidRPr="00EF6BEB">
        <w:rPr>
          <w:rFonts w:ascii="ING Me" w:hAnsi="ING Me"/>
          <w:noProof/>
          <w:lang w:val="ro-RO"/>
        </w:rPr>
        <w:t xml:space="preserve">chiar </w:t>
      </w:r>
      <w:r w:rsidRPr="00EF6BEB">
        <w:rPr>
          <w:rFonts w:ascii="ING Me" w:hAnsi="ING Me"/>
          <w:noProof/>
          <w:lang w:val="ro-RO"/>
        </w:rPr>
        <w:t>deprecia în termeni reali. Paradoxal, acest lucru ar putea forța leul (și nu numai) să se aprecieze față de principalele valute forte</w:t>
      </w:r>
      <w:r w:rsidR="008F01C6" w:rsidRPr="00EF6BEB">
        <w:rPr>
          <w:rFonts w:ascii="ING Me" w:hAnsi="ING Me"/>
          <w:noProof/>
          <w:lang w:val="ro-RO"/>
        </w:rPr>
        <w:t xml:space="preserve">, desi </w:t>
      </w:r>
      <w:r w:rsidR="007B29AA" w:rsidRPr="00EF6BEB">
        <w:rPr>
          <w:rFonts w:ascii="ING Me" w:hAnsi="ING Me"/>
          <w:noProof/>
          <w:lang w:val="ro-RO"/>
        </w:rPr>
        <w:t>acest lucru ține desigur de mai multe elemente (cont de capital, poziție externă, termeni de schimb</w:t>
      </w:r>
      <w:r w:rsidR="00387D48" w:rsidRPr="00EF6BEB">
        <w:rPr>
          <w:rFonts w:ascii="ING Me" w:hAnsi="ING Me"/>
          <w:noProof/>
          <w:lang w:val="ro-RO"/>
        </w:rPr>
        <w:t>, fluxuri de investiții etc).</w:t>
      </w:r>
    </w:p>
    <w:p w14:paraId="3C66D7CB" w14:textId="60FFC526" w:rsidR="00712588" w:rsidRPr="00EF6BEB" w:rsidRDefault="00FD62F1" w:rsidP="00712588">
      <w:pPr>
        <w:rPr>
          <w:rFonts w:ascii="ING Me" w:hAnsi="ING Me"/>
          <w:b/>
          <w:bCs/>
          <w:noProof/>
          <w:lang w:val="ro-RO"/>
        </w:rPr>
      </w:pPr>
      <w:r w:rsidRPr="00EF6BEB">
        <w:rPr>
          <w:rFonts w:ascii="ING Me" w:hAnsi="ING Me"/>
          <w:noProof/>
          <w:lang w:val="ro-RO"/>
        </w:rPr>
        <w:t xml:space="preserve">În cele din urmă, deși FMI prognozează o creștere </w:t>
      </w:r>
      <w:r w:rsidR="00393887" w:rsidRPr="00EF6BEB">
        <w:rPr>
          <w:rFonts w:ascii="ING Me" w:hAnsi="ING Me"/>
          <w:noProof/>
          <w:lang w:val="ro-RO"/>
        </w:rPr>
        <w:t xml:space="preserve">economică </w:t>
      </w:r>
      <w:r w:rsidRPr="00EF6BEB">
        <w:rPr>
          <w:rFonts w:ascii="ING Me" w:hAnsi="ING Me"/>
          <w:noProof/>
          <w:lang w:val="ro-RO"/>
        </w:rPr>
        <w:t xml:space="preserve">semnificativă, </w:t>
      </w:r>
      <w:r w:rsidR="00393887" w:rsidRPr="00EF6BEB">
        <w:rPr>
          <w:rFonts w:ascii="ING Me" w:hAnsi="ING Me"/>
          <w:noProof/>
          <w:lang w:val="ro-RO"/>
        </w:rPr>
        <w:t>studiul</w:t>
      </w:r>
      <w:r w:rsidRPr="00EF6BEB">
        <w:rPr>
          <w:rFonts w:ascii="ING Me" w:hAnsi="ING Me"/>
          <w:noProof/>
          <w:lang w:val="ro-RO"/>
        </w:rPr>
        <w:t xml:space="preserve"> notează explicit că modelul  "duce lipsă de o modelare explicită a dinamicii șomajului". </w:t>
      </w:r>
      <w:r w:rsidR="005E4210" w:rsidRPr="00EF6BEB">
        <w:rPr>
          <w:rFonts w:ascii="ING Me" w:hAnsi="ING Me"/>
          <w:noProof/>
          <w:lang w:val="ro-RO"/>
        </w:rPr>
        <w:t>Se p</w:t>
      </w:r>
      <w:r w:rsidRPr="00EF6BEB">
        <w:rPr>
          <w:rFonts w:ascii="ING Me" w:hAnsi="ING Me"/>
          <w:noProof/>
          <w:lang w:val="ro-RO"/>
        </w:rPr>
        <w:t xml:space="preserve">resupune că lucrătorii dislocați vor găsi noi roluri. </w:t>
      </w:r>
      <w:r w:rsidR="00D359E1" w:rsidRPr="00EF6BEB">
        <w:rPr>
          <w:rFonts w:ascii="ING Me" w:hAnsi="ING Me"/>
          <w:noProof/>
          <w:lang w:val="ro-RO"/>
        </w:rPr>
        <w:t>A</w:t>
      </w:r>
      <w:r w:rsidRPr="00EF6BEB">
        <w:rPr>
          <w:rFonts w:ascii="ING Me" w:hAnsi="ING Me"/>
          <w:noProof/>
          <w:lang w:val="ro-RO"/>
        </w:rPr>
        <w:t xml:space="preserve">ceastă presupunere </w:t>
      </w:r>
      <w:r w:rsidR="00D359E1" w:rsidRPr="00EF6BEB">
        <w:rPr>
          <w:rFonts w:ascii="ING Me" w:hAnsi="ING Me"/>
          <w:noProof/>
          <w:lang w:val="ro-RO"/>
        </w:rPr>
        <w:t>poate fi</w:t>
      </w:r>
      <w:r w:rsidRPr="00EF6BEB">
        <w:rPr>
          <w:rFonts w:ascii="ING Me" w:hAnsi="ING Me"/>
          <w:noProof/>
          <w:lang w:val="ro-RO"/>
        </w:rPr>
        <w:t xml:space="preserve"> riscantă</w:t>
      </w:r>
      <w:r w:rsidR="00277DFC" w:rsidRPr="00EF6BEB">
        <w:rPr>
          <w:rFonts w:ascii="ING Me" w:hAnsi="ING Me"/>
          <w:noProof/>
          <w:lang w:val="ro-RO"/>
        </w:rPr>
        <w:t xml:space="preserve">, </w:t>
      </w:r>
      <w:r w:rsidR="005C77BE" w:rsidRPr="00EF6BEB">
        <w:rPr>
          <w:rFonts w:ascii="ING Me" w:hAnsi="ING Me"/>
          <w:noProof/>
          <w:lang w:val="ro-RO"/>
        </w:rPr>
        <w:t>î</w:t>
      </w:r>
      <w:r w:rsidR="00277DFC" w:rsidRPr="00EF6BEB">
        <w:rPr>
          <w:rFonts w:ascii="ING Me" w:hAnsi="ING Me"/>
          <w:noProof/>
          <w:lang w:val="ro-RO"/>
        </w:rPr>
        <w:t xml:space="preserve">n special când ne raportăm la o piață a muncii </w:t>
      </w:r>
      <w:r w:rsidR="009E4BF3" w:rsidRPr="00EF6BEB">
        <w:rPr>
          <w:rFonts w:ascii="ING Me" w:hAnsi="ING Me"/>
          <w:noProof/>
          <w:lang w:val="ro-RO"/>
        </w:rPr>
        <w:t>marcată de rigidități structurale</w:t>
      </w:r>
      <w:r w:rsidR="005C77BE" w:rsidRPr="00EF6BEB">
        <w:rPr>
          <w:rFonts w:ascii="ING Me" w:hAnsi="ING Me"/>
          <w:noProof/>
          <w:lang w:val="ro-RO"/>
        </w:rPr>
        <w:t xml:space="preserve"> cum este cea din România.</w:t>
      </w:r>
      <w:r w:rsidR="00712588" w:rsidRPr="00EF6BEB">
        <w:rPr>
          <w:rFonts w:ascii="ING Me" w:hAnsi="ING Me"/>
          <w:noProof/>
          <w:lang w:val="ro-RO"/>
        </w:rPr>
        <w:br/>
      </w:r>
      <w:r w:rsidR="00712588" w:rsidRPr="00EF6BEB">
        <w:rPr>
          <w:rFonts w:ascii="ING Me" w:hAnsi="ING Me"/>
          <w:noProof/>
          <w:lang w:val="ro-RO"/>
        </w:rPr>
        <w:br/>
      </w:r>
      <w:r w:rsidR="00712588" w:rsidRPr="00EF6BEB">
        <w:rPr>
          <w:rFonts w:ascii="ING Me" w:hAnsi="ING Me"/>
          <w:b/>
          <w:bCs/>
          <w:noProof/>
          <w:lang w:val="ro-RO"/>
        </w:rPr>
        <w:t>Paradoxul cererii: cine cumpără când roboții produc?</w:t>
      </w:r>
    </w:p>
    <w:p w14:paraId="50716036" w14:textId="0FFBF1B4" w:rsidR="00712588" w:rsidRPr="00EF6BEB" w:rsidRDefault="00712588" w:rsidP="00712588">
      <w:pPr>
        <w:rPr>
          <w:rFonts w:ascii="ING Me" w:hAnsi="ING Me"/>
          <w:noProof/>
          <w:lang w:val="ro-RO"/>
        </w:rPr>
      </w:pPr>
      <w:r w:rsidRPr="00EF6BEB">
        <w:rPr>
          <w:rFonts w:ascii="Times New Roman" w:hAnsi="Times New Roman" w:cs="Times New Roman"/>
          <w:noProof/>
          <w:lang w:val="ro-RO"/>
        </w:rPr>
        <w:t>​</w:t>
      </w:r>
      <w:r w:rsidRPr="00EF6BEB">
        <w:rPr>
          <w:rFonts w:ascii="ING Me" w:hAnsi="ING Me"/>
          <w:noProof/>
          <w:lang w:val="ro-RO"/>
        </w:rPr>
        <w:t xml:space="preserve">Dincolo de cifrele PIB-ului, scenariul unei "creșteri fără locuri de muncă" </w:t>
      </w:r>
      <w:r w:rsidR="002A2475" w:rsidRPr="00EF6BEB">
        <w:rPr>
          <w:rFonts w:ascii="ING Me" w:hAnsi="ING Me"/>
          <w:noProof/>
          <w:lang w:val="ro-RO"/>
        </w:rPr>
        <w:t xml:space="preserve">ne duce ușor cu gândul </w:t>
      </w:r>
      <w:r w:rsidR="00BC33A8" w:rsidRPr="00EF6BEB">
        <w:rPr>
          <w:rFonts w:ascii="ING Me" w:hAnsi="ING Me"/>
          <w:noProof/>
          <w:lang w:val="ro-RO"/>
        </w:rPr>
        <w:t>către</w:t>
      </w:r>
      <w:r w:rsidR="002A2475" w:rsidRPr="00EF6BEB">
        <w:rPr>
          <w:rFonts w:ascii="ING Me" w:hAnsi="ING Me"/>
          <w:noProof/>
          <w:lang w:val="ro-RO"/>
        </w:rPr>
        <w:t xml:space="preserve"> o </w:t>
      </w:r>
      <w:r w:rsidR="00A70C73" w:rsidRPr="00EF6BEB">
        <w:rPr>
          <w:rFonts w:ascii="ING Me" w:hAnsi="ING Me"/>
          <w:noProof/>
          <w:lang w:val="ro-RO"/>
        </w:rPr>
        <w:t>dilemă</w:t>
      </w:r>
      <w:r w:rsidR="002A2475" w:rsidRPr="00EF6BEB">
        <w:rPr>
          <w:rFonts w:ascii="ING Me" w:hAnsi="ING Me"/>
          <w:noProof/>
          <w:lang w:val="ro-RO"/>
        </w:rPr>
        <w:t xml:space="preserve"> evidentă</w:t>
      </w:r>
      <w:r w:rsidRPr="00EF6BEB">
        <w:rPr>
          <w:rFonts w:ascii="ING Me" w:hAnsi="ING Me"/>
          <w:noProof/>
          <w:lang w:val="ro-RO"/>
        </w:rPr>
        <w:t xml:space="preserve">: </w:t>
      </w:r>
      <w:r w:rsidR="00A70C73" w:rsidRPr="00EF6BEB">
        <w:rPr>
          <w:rFonts w:ascii="ING Me" w:hAnsi="ING Me"/>
          <w:noProof/>
          <w:lang w:val="ro-RO"/>
        </w:rPr>
        <w:t xml:space="preserve">dacă </w:t>
      </w:r>
      <w:r w:rsidR="00D37279" w:rsidRPr="00EF6BEB">
        <w:rPr>
          <w:rFonts w:ascii="ING Me" w:hAnsi="ING Me"/>
          <w:noProof/>
          <w:lang w:val="ro-RO"/>
        </w:rPr>
        <w:t>și producția și șomajul cresc</w:t>
      </w:r>
      <w:r w:rsidR="00A70C73" w:rsidRPr="00EF6BEB">
        <w:rPr>
          <w:rFonts w:ascii="ING Me" w:hAnsi="ING Me"/>
          <w:noProof/>
          <w:lang w:val="ro-RO"/>
        </w:rPr>
        <w:t xml:space="preserve">, cine va </w:t>
      </w:r>
      <w:r w:rsidR="00D37279" w:rsidRPr="00EF6BEB">
        <w:rPr>
          <w:rFonts w:ascii="ING Me" w:hAnsi="ING Me"/>
          <w:noProof/>
          <w:lang w:val="ro-RO"/>
        </w:rPr>
        <w:t>consuma respectiva producție?</w:t>
      </w:r>
      <w:r w:rsidRPr="00EF6BEB">
        <w:rPr>
          <w:rFonts w:ascii="ING Me" w:hAnsi="ING Me"/>
          <w:noProof/>
          <w:lang w:val="ro-RO"/>
        </w:rPr>
        <w:t xml:space="preserve"> Într-o economie de piață tradițională, salariile angajaților de astăzi sunt vânzările companiilor de mâine. Dacă IA transferă masiv veniturile dinspre muncă (salarii) înspre capital (profituri), puterea de cumpărare a marii mase a populației riscă să </w:t>
      </w:r>
      <w:r w:rsidR="00BC33A8" w:rsidRPr="00EF6BEB">
        <w:rPr>
          <w:rFonts w:ascii="ING Me" w:hAnsi="ING Me"/>
          <w:noProof/>
          <w:lang w:val="ro-RO"/>
        </w:rPr>
        <w:t>scadă</w:t>
      </w:r>
      <w:r w:rsidRPr="00EF6BEB">
        <w:rPr>
          <w:rFonts w:ascii="ING Me" w:hAnsi="ING Me"/>
          <w:noProof/>
          <w:lang w:val="ro-RO"/>
        </w:rPr>
        <w:t>. Roboții și algoritmii sunt producători excelenți, dar nu sunt consumatori: ei nu cumpără haine, nu merg în vacanțe și nu contractează credite ipotecare.</w:t>
      </w:r>
    </w:p>
    <w:p w14:paraId="2884CCD0" w14:textId="2B264ABC" w:rsidR="00712588" w:rsidRPr="00EF6BEB" w:rsidRDefault="00712588" w:rsidP="00712588">
      <w:pPr>
        <w:rPr>
          <w:rFonts w:ascii="ING Me" w:hAnsi="ING Me"/>
          <w:noProof/>
          <w:lang w:val="ro-RO"/>
        </w:rPr>
      </w:pPr>
      <w:r w:rsidRPr="00EF6BEB">
        <w:rPr>
          <w:rFonts w:ascii="Times New Roman" w:hAnsi="Times New Roman" w:cs="Times New Roman"/>
          <w:noProof/>
          <w:lang w:val="ro-RO"/>
        </w:rPr>
        <w:t>​</w:t>
      </w:r>
      <w:r w:rsidR="00A71325" w:rsidRPr="00EF6BEB">
        <w:rPr>
          <w:rFonts w:ascii="ING Me" w:hAnsi="ING Me"/>
          <w:noProof/>
          <w:lang w:val="ro-RO"/>
        </w:rPr>
        <w:t xml:space="preserve">Pe termen scurt, o </w:t>
      </w:r>
      <w:r w:rsidRPr="00EF6BEB">
        <w:rPr>
          <w:rFonts w:ascii="ING Me" w:hAnsi="ING Me"/>
          <w:noProof/>
          <w:lang w:val="ro-RO"/>
        </w:rPr>
        <w:t>strategi</w:t>
      </w:r>
      <w:r w:rsidR="00A71325" w:rsidRPr="00EF6BEB">
        <w:rPr>
          <w:rFonts w:ascii="ING Me" w:hAnsi="ING Me"/>
          <w:noProof/>
          <w:lang w:val="ro-RO"/>
        </w:rPr>
        <w:t>e de</w:t>
      </w:r>
      <w:r w:rsidRPr="00EF6BEB">
        <w:rPr>
          <w:rFonts w:ascii="ING Me" w:hAnsi="ING Me"/>
          <w:noProof/>
          <w:lang w:val="ro-RO"/>
        </w:rPr>
        <w:t xml:space="preserve"> </w:t>
      </w:r>
      <w:r w:rsidR="001C0000" w:rsidRPr="00EF6BEB">
        <w:rPr>
          <w:rFonts w:ascii="ING Me" w:hAnsi="ING Me"/>
          <w:noProof/>
          <w:lang w:val="ro-RO"/>
        </w:rPr>
        <w:t>impulsion</w:t>
      </w:r>
      <w:r w:rsidR="00A71325" w:rsidRPr="00EF6BEB">
        <w:rPr>
          <w:rFonts w:ascii="ING Me" w:hAnsi="ING Me"/>
          <w:noProof/>
          <w:lang w:val="ro-RO"/>
        </w:rPr>
        <w:t>are a</w:t>
      </w:r>
      <w:r w:rsidR="007439C8" w:rsidRPr="00EF6BEB">
        <w:rPr>
          <w:rFonts w:ascii="ING Me" w:hAnsi="ING Me"/>
          <w:noProof/>
          <w:lang w:val="ro-RO"/>
        </w:rPr>
        <w:t xml:space="preserve"> </w:t>
      </w:r>
      <w:r w:rsidRPr="00EF6BEB">
        <w:rPr>
          <w:rFonts w:ascii="ING Me" w:hAnsi="ING Me"/>
          <w:noProof/>
          <w:lang w:val="ro-RO"/>
        </w:rPr>
        <w:t>exportu</w:t>
      </w:r>
      <w:r w:rsidR="007439C8" w:rsidRPr="00EF6BEB">
        <w:rPr>
          <w:rFonts w:ascii="ING Me" w:hAnsi="ING Me"/>
          <w:noProof/>
          <w:lang w:val="ro-RO"/>
        </w:rPr>
        <w:t>rilor</w:t>
      </w:r>
      <w:r w:rsidR="00A71325" w:rsidRPr="00EF6BEB">
        <w:rPr>
          <w:rFonts w:ascii="ING Me" w:hAnsi="ING Me"/>
          <w:noProof/>
          <w:lang w:val="ro-RO"/>
        </w:rPr>
        <w:t xml:space="preserve"> </w:t>
      </w:r>
      <w:r w:rsidR="002A6557" w:rsidRPr="00EF6BEB">
        <w:rPr>
          <w:rFonts w:ascii="ING Me" w:hAnsi="ING Me"/>
          <w:noProof/>
          <w:lang w:val="ro-RO"/>
        </w:rPr>
        <w:t xml:space="preserve">ar putea da ceva rezultate, dar și aici </w:t>
      </w:r>
      <w:r w:rsidR="00FF7A5D" w:rsidRPr="00EF6BEB">
        <w:rPr>
          <w:rFonts w:ascii="ING Me" w:hAnsi="ING Me"/>
          <w:noProof/>
          <w:lang w:val="ro-RO"/>
        </w:rPr>
        <w:t>ne putem lovi rapid de o problemă evidentă: este posibil și chiar probabil ca și alții să încerce același lucru în același timp</w:t>
      </w:r>
      <w:r w:rsidRPr="00EF6BEB">
        <w:rPr>
          <w:rFonts w:ascii="ING Me" w:hAnsi="ING Me"/>
          <w:noProof/>
          <w:lang w:val="ro-RO"/>
        </w:rPr>
        <w:t>. Spre deosebire de valurile anterioare de industrializare</w:t>
      </w:r>
      <w:r w:rsidR="00785CD6" w:rsidRPr="00EF6BEB">
        <w:rPr>
          <w:rFonts w:ascii="ING Me" w:hAnsi="ING Me"/>
          <w:noProof/>
          <w:lang w:val="ro-RO"/>
        </w:rPr>
        <w:t xml:space="preserve"> </w:t>
      </w:r>
      <w:r w:rsidR="00FF7A5D" w:rsidRPr="00EF6BEB">
        <w:rPr>
          <w:rFonts w:ascii="ING Me" w:hAnsi="ING Me"/>
          <w:noProof/>
          <w:lang w:val="ro-RO"/>
        </w:rPr>
        <w:t>când</w:t>
      </w:r>
      <w:r w:rsidR="00785CD6" w:rsidRPr="00EF6BEB">
        <w:rPr>
          <w:rFonts w:ascii="ING Me" w:hAnsi="ING Me"/>
          <w:noProof/>
          <w:lang w:val="ro-RO"/>
        </w:rPr>
        <w:t xml:space="preserve"> producția se muta dinspre vest spre est căutând forță de muncă ieftină</w:t>
      </w:r>
      <w:r w:rsidR="00345ECE" w:rsidRPr="00EF6BEB">
        <w:rPr>
          <w:rFonts w:ascii="ING Me" w:hAnsi="ING Me"/>
          <w:noProof/>
          <w:lang w:val="ro-RO"/>
        </w:rPr>
        <w:t>,</w:t>
      </w:r>
      <w:r w:rsidRPr="00EF6BEB">
        <w:rPr>
          <w:rFonts w:ascii="ING Me" w:hAnsi="ING Me"/>
          <w:noProof/>
          <w:lang w:val="ro-RO"/>
        </w:rPr>
        <w:t xml:space="preserve"> adopția IA are loc </w:t>
      </w:r>
      <w:r w:rsidR="00345ECE" w:rsidRPr="00EF6BEB">
        <w:rPr>
          <w:rFonts w:ascii="ING Me" w:hAnsi="ING Me"/>
          <w:noProof/>
          <w:lang w:val="ro-RO"/>
        </w:rPr>
        <w:t xml:space="preserve">aproape </w:t>
      </w:r>
      <w:r w:rsidRPr="00EF6BEB">
        <w:rPr>
          <w:rFonts w:ascii="ING Me" w:hAnsi="ING Me"/>
          <w:noProof/>
          <w:lang w:val="ro-RO"/>
        </w:rPr>
        <w:t xml:space="preserve">simultan la nivel global. Dacă partenerii comerciali ai României automatizează în </w:t>
      </w:r>
      <w:r w:rsidR="00B843DA" w:rsidRPr="00EF6BEB">
        <w:rPr>
          <w:rFonts w:ascii="ING Me" w:hAnsi="ING Me"/>
          <w:noProof/>
          <w:lang w:val="ro-RO"/>
        </w:rPr>
        <w:t xml:space="preserve">aproximativ </w:t>
      </w:r>
      <w:r w:rsidRPr="00EF6BEB">
        <w:rPr>
          <w:rFonts w:ascii="ING Me" w:hAnsi="ING Me"/>
          <w:noProof/>
          <w:lang w:val="ro-RO"/>
        </w:rPr>
        <w:t xml:space="preserve">același ritm, cererea externă se va contracta simultan cu creșterea capacității de producție. Într-o lume în care toți încearcă să devină exportatori prin automatizare, ecuația </w:t>
      </w:r>
      <w:r w:rsidR="00D13F83" w:rsidRPr="00EF6BEB">
        <w:rPr>
          <w:rFonts w:ascii="ING Me" w:hAnsi="ING Me"/>
          <w:noProof/>
          <w:lang w:val="ro-RO"/>
        </w:rPr>
        <w:t xml:space="preserve">riscă să </w:t>
      </w:r>
      <w:r w:rsidRPr="00EF6BEB">
        <w:rPr>
          <w:rFonts w:ascii="ING Me" w:hAnsi="ING Me"/>
          <w:noProof/>
          <w:lang w:val="ro-RO"/>
        </w:rPr>
        <w:t>devin</w:t>
      </w:r>
      <w:r w:rsidR="00D13F83" w:rsidRPr="00EF6BEB">
        <w:rPr>
          <w:rFonts w:ascii="ING Me" w:hAnsi="ING Me"/>
          <w:noProof/>
          <w:lang w:val="ro-RO"/>
        </w:rPr>
        <w:t>ă</w:t>
      </w:r>
      <w:r w:rsidRPr="00EF6BEB">
        <w:rPr>
          <w:rFonts w:ascii="ING Me" w:hAnsi="ING Me"/>
          <w:noProof/>
          <w:lang w:val="ro-RO"/>
        </w:rPr>
        <w:t xml:space="preserve"> un joc de sumă nulă.</w:t>
      </w:r>
    </w:p>
    <w:p w14:paraId="09B20F33" w14:textId="3111E61A" w:rsidR="00712588" w:rsidRPr="00EF6BEB" w:rsidRDefault="00712588" w:rsidP="00712588">
      <w:pPr>
        <w:rPr>
          <w:rFonts w:ascii="ING Me" w:hAnsi="ING Me"/>
          <w:noProof/>
          <w:lang w:val="ro-RO"/>
        </w:rPr>
      </w:pPr>
      <w:r w:rsidRPr="00EF6BEB">
        <w:rPr>
          <w:rFonts w:ascii="Times New Roman" w:hAnsi="Times New Roman" w:cs="Times New Roman"/>
          <w:noProof/>
          <w:lang w:val="ro-RO"/>
        </w:rPr>
        <w:t>​</w:t>
      </w:r>
      <w:r w:rsidRPr="00EF6BEB">
        <w:rPr>
          <w:rFonts w:ascii="ING Me" w:hAnsi="ING Me"/>
          <w:noProof/>
          <w:lang w:val="ro-RO"/>
        </w:rPr>
        <w:t xml:space="preserve">În fața acestui blocaj </w:t>
      </w:r>
      <w:r w:rsidR="00345ECE" w:rsidRPr="00EF6BEB">
        <w:rPr>
          <w:rFonts w:ascii="ING Me" w:hAnsi="ING Me"/>
          <w:noProof/>
          <w:lang w:val="ro-RO"/>
        </w:rPr>
        <w:t>-</w:t>
      </w:r>
      <w:r w:rsidRPr="00EF6BEB">
        <w:rPr>
          <w:rFonts w:ascii="ING Me" w:hAnsi="ING Me"/>
          <w:noProof/>
          <w:lang w:val="ro-RO"/>
        </w:rPr>
        <w:t xml:space="preserve"> rafturi pline, dar buzunare goale </w:t>
      </w:r>
      <w:r w:rsidR="00345ECE" w:rsidRPr="00EF6BEB">
        <w:rPr>
          <w:rFonts w:ascii="ING Me" w:hAnsi="ING Me"/>
          <w:noProof/>
          <w:lang w:val="ro-RO"/>
        </w:rPr>
        <w:t>-</w:t>
      </w:r>
      <w:r w:rsidRPr="00EF6BEB">
        <w:rPr>
          <w:rFonts w:ascii="ING Me" w:hAnsi="ING Me"/>
          <w:noProof/>
          <w:lang w:val="ro-RO"/>
        </w:rPr>
        <w:t xml:space="preserve"> se conturează două filozofii economice distincte de rezolvare a crizei:</w:t>
      </w:r>
    </w:p>
    <w:p w14:paraId="0EFDBD85" w14:textId="10BF4895" w:rsidR="00712588" w:rsidRPr="00EF6BEB" w:rsidRDefault="00712588" w:rsidP="00712588">
      <w:pPr>
        <w:rPr>
          <w:rFonts w:ascii="ING Me" w:hAnsi="ING Me"/>
          <w:noProof/>
          <w:lang w:val="ro-RO"/>
        </w:rPr>
      </w:pPr>
      <w:r w:rsidRPr="00EF6BEB">
        <w:rPr>
          <w:rFonts w:ascii="Times New Roman" w:hAnsi="Times New Roman" w:cs="Times New Roman"/>
          <w:noProof/>
          <w:lang w:val="ro-RO"/>
        </w:rPr>
        <w:t>​</w:t>
      </w:r>
      <w:r w:rsidRPr="00EF6BEB">
        <w:rPr>
          <w:rFonts w:ascii="ING Me" w:hAnsi="ING Me"/>
          <w:noProof/>
          <w:lang w:val="ro-RO"/>
        </w:rPr>
        <w:t xml:space="preserve">1. Soluția intervenționistă: </w:t>
      </w:r>
      <w:r w:rsidR="00C24660" w:rsidRPr="00EF6BEB">
        <w:rPr>
          <w:rFonts w:ascii="ING Me" w:hAnsi="ING Me"/>
          <w:noProof/>
          <w:lang w:val="ro-RO"/>
        </w:rPr>
        <w:t>d</w:t>
      </w:r>
      <w:r w:rsidRPr="00EF6BEB">
        <w:rPr>
          <w:rFonts w:ascii="ING Me" w:hAnsi="ING Me"/>
          <w:noProof/>
          <w:lang w:val="ro-RO"/>
        </w:rPr>
        <w:t>ecuplarea venitului de muncă</w:t>
      </w:r>
    </w:p>
    <w:p w14:paraId="375C4E51" w14:textId="3A6A50AB" w:rsidR="00712588" w:rsidRPr="00EF6BEB" w:rsidRDefault="00712588" w:rsidP="00712588">
      <w:pPr>
        <w:rPr>
          <w:rFonts w:ascii="ING Me" w:hAnsi="ING Me"/>
          <w:noProof/>
          <w:lang w:val="ro-RO"/>
        </w:rPr>
      </w:pPr>
      <w:r w:rsidRPr="00EF6BEB">
        <w:rPr>
          <w:rFonts w:ascii="ING Me" w:hAnsi="ING Me"/>
          <w:noProof/>
          <w:lang w:val="ro-RO"/>
        </w:rPr>
        <w:t>Adepții intervenției statale susțin că, dacă piața</w:t>
      </w:r>
      <w:r w:rsidR="00540D43" w:rsidRPr="00EF6BEB">
        <w:rPr>
          <w:rFonts w:ascii="ING Me" w:hAnsi="ING Me"/>
          <w:noProof/>
          <w:lang w:val="ro-RO"/>
        </w:rPr>
        <w:t xml:space="preserve"> </w:t>
      </w:r>
      <w:r w:rsidRPr="00EF6BEB">
        <w:rPr>
          <w:rFonts w:ascii="ING Me" w:hAnsi="ING Me"/>
          <w:noProof/>
          <w:lang w:val="ro-RO"/>
        </w:rPr>
        <w:t xml:space="preserve">nu mai poate distribui bogăția, statul trebuie să preia acest rol. </w:t>
      </w:r>
      <w:r w:rsidR="00DF5344" w:rsidRPr="00EF6BEB">
        <w:rPr>
          <w:rFonts w:ascii="ING Me" w:hAnsi="ING Me"/>
          <w:noProof/>
          <w:lang w:val="ro-RO"/>
        </w:rPr>
        <w:t>Printre s</w:t>
      </w:r>
      <w:r w:rsidRPr="00EF6BEB">
        <w:rPr>
          <w:rFonts w:ascii="ING Me" w:hAnsi="ING Me"/>
          <w:noProof/>
          <w:lang w:val="ro-RO"/>
        </w:rPr>
        <w:t xml:space="preserve">oluțiile vehiculate </w:t>
      </w:r>
      <w:r w:rsidR="00DF5344" w:rsidRPr="00EF6BEB">
        <w:rPr>
          <w:rFonts w:ascii="ING Me" w:hAnsi="ING Me"/>
          <w:noProof/>
          <w:lang w:val="ro-RO"/>
        </w:rPr>
        <w:t>regăsim</w:t>
      </w:r>
      <w:r w:rsidRPr="00EF6BEB">
        <w:rPr>
          <w:rFonts w:ascii="ING Me" w:hAnsi="ING Me"/>
          <w:noProof/>
          <w:lang w:val="ro-RO"/>
        </w:rPr>
        <w:t>:</w:t>
      </w:r>
    </w:p>
    <w:p w14:paraId="6B353956" w14:textId="0BBCA4DF" w:rsidR="00712588" w:rsidRPr="00EF6BEB" w:rsidRDefault="00712588" w:rsidP="00712588">
      <w:pPr>
        <w:numPr>
          <w:ilvl w:val="0"/>
          <w:numId w:val="8"/>
        </w:numPr>
        <w:rPr>
          <w:rFonts w:ascii="ING Me" w:hAnsi="ING Me"/>
          <w:noProof/>
          <w:lang w:val="ro-RO"/>
        </w:rPr>
      </w:pPr>
      <w:r w:rsidRPr="00EF6BEB">
        <w:rPr>
          <w:rFonts w:ascii="Times New Roman" w:hAnsi="Times New Roman" w:cs="Times New Roman"/>
          <w:noProof/>
          <w:lang w:val="ro-RO"/>
        </w:rPr>
        <w:t>​</w:t>
      </w:r>
      <w:r w:rsidRPr="00EF6BEB">
        <w:rPr>
          <w:rFonts w:ascii="ING Me" w:hAnsi="ING Me"/>
          <w:noProof/>
          <w:lang w:val="ro-RO"/>
        </w:rPr>
        <w:t xml:space="preserve">Taxarea roboților: </w:t>
      </w:r>
      <w:r w:rsidR="00540D43" w:rsidRPr="00EF6BEB">
        <w:rPr>
          <w:rFonts w:ascii="ING Me" w:hAnsi="ING Me"/>
          <w:noProof/>
          <w:lang w:val="ro-RO"/>
        </w:rPr>
        <w:t>i</w:t>
      </w:r>
      <w:r w:rsidRPr="00EF6BEB">
        <w:rPr>
          <w:rFonts w:ascii="ING Me" w:hAnsi="ING Me"/>
          <w:noProof/>
          <w:lang w:val="ro-RO"/>
        </w:rPr>
        <w:t>mpozitarea muncii automatizate pentru a compensa pierderea impozitului pe venit</w:t>
      </w:r>
    </w:p>
    <w:p w14:paraId="73E5961E" w14:textId="0D2285CC" w:rsidR="00712588" w:rsidRPr="00EF6BEB" w:rsidRDefault="00712588" w:rsidP="00712588">
      <w:pPr>
        <w:numPr>
          <w:ilvl w:val="0"/>
          <w:numId w:val="8"/>
        </w:numPr>
        <w:rPr>
          <w:rFonts w:ascii="ING Me" w:hAnsi="ING Me"/>
          <w:noProof/>
          <w:lang w:val="ro-RO"/>
        </w:rPr>
      </w:pPr>
      <w:r w:rsidRPr="00EF6BEB">
        <w:rPr>
          <w:rFonts w:ascii="Times New Roman" w:hAnsi="Times New Roman" w:cs="Times New Roman"/>
          <w:noProof/>
          <w:lang w:val="ro-RO"/>
        </w:rPr>
        <w:t>​</w:t>
      </w:r>
      <w:r w:rsidRPr="00EF6BEB">
        <w:rPr>
          <w:rFonts w:ascii="ING Me" w:hAnsi="ING Me"/>
          <w:noProof/>
          <w:lang w:val="ro-RO"/>
        </w:rPr>
        <w:t>Venitul Minim Universal (</w:t>
      </w:r>
      <w:r w:rsidR="0050272B" w:rsidRPr="00EF6BEB">
        <w:rPr>
          <w:rFonts w:ascii="ING Me" w:hAnsi="ING Me"/>
          <w:noProof/>
          <w:lang w:val="ro-RO"/>
        </w:rPr>
        <w:t xml:space="preserve">Universal Basic Income - </w:t>
      </w:r>
      <w:r w:rsidRPr="00EF6BEB">
        <w:rPr>
          <w:rFonts w:ascii="ING Me" w:hAnsi="ING Me"/>
          <w:noProof/>
          <w:lang w:val="ro-RO"/>
        </w:rPr>
        <w:t xml:space="preserve">UBI): </w:t>
      </w:r>
      <w:r w:rsidR="007D3E8F" w:rsidRPr="00EF6BEB">
        <w:rPr>
          <w:rFonts w:ascii="ING Me" w:hAnsi="ING Me"/>
          <w:noProof/>
          <w:lang w:val="ro-RO"/>
        </w:rPr>
        <w:t>r</w:t>
      </w:r>
      <w:r w:rsidRPr="00EF6BEB">
        <w:rPr>
          <w:rFonts w:ascii="ING Me" w:hAnsi="ING Me"/>
          <w:noProof/>
          <w:lang w:val="ro-RO"/>
        </w:rPr>
        <w:t>eciclarea profiturilor din IA către populație sub forma unui venit garantat. Logica este simplă: pentru ca economia să funcționeze, oamenii trebuie să aibă bani să consume produsele mașinilor, chiar dacă nu muncesc pentru a-i câștiga.</w:t>
      </w:r>
    </w:p>
    <w:p w14:paraId="49BD0318" w14:textId="7E66F74F" w:rsidR="00712588" w:rsidRPr="00EF6BEB" w:rsidRDefault="00712588" w:rsidP="00712588">
      <w:pPr>
        <w:rPr>
          <w:rFonts w:ascii="ING Me" w:hAnsi="ING Me"/>
          <w:noProof/>
          <w:lang w:val="ro-RO"/>
        </w:rPr>
      </w:pPr>
      <w:r w:rsidRPr="00EF6BEB">
        <w:rPr>
          <w:rFonts w:ascii="Times New Roman" w:hAnsi="Times New Roman" w:cs="Times New Roman"/>
          <w:noProof/>
          <w:lang w:val="ro-RO"/>
        </w:rPr>
        <w:t>​</w:t>
      </w:r>
      <w:r w:rsidRPr="00EF6BEB">
        <w:rPr>
          <w:rFonts w:ascii="ING Me" w:hAnsi="ING Me"/>
          <w:noProof/>
          <w:lang w:val="ro-RO"/>
        </w:rPr>
        <w:t xml:space="preserve">2. Soluția pieței libere: </w:t>
      </w:r>
      <w:r w:rsidR="007D3E8F" w:rsidRPr="00EF6BEB">
        <w:rPr>
          <w:rFonts w:ascii="ING Me" w:hAnsi="ING Me"/>
          <w:noProof/>
          <w:lang w:val="ro-RO"/>
        </w:rPr>
        <w:t>(posibila) d</w:t>
      </w:r>
      <w:r w:rsidRPr="00EF6BEB">
        <w:rPr>
          <w:rFonts w:ascii="ING Me" w:hAnsi="ING Me"/>
          <w:noProof/>
          <w:lang w:val="ro-RO"/>
        </w:rPr>
        <w:t>eflați</w:t>
      </w:r>
      <w:r w:rsidR="007D3E8F" w:rsidRPr="00EF6BEB">
        <w:rPr>
          <w:rFonts w:ascii="ING Me" w:hAnsi="ING Me"/>
          <w:noProof/>
          <w:lang w:val="ro-RO"/>
        </w:rPr>
        <w:t>e</w:t>
      </w:r>
      <w:r w:rsidRPr="00EF6BEB">
        <w:rPr>
          <w:rFonts w:ascii="ING Me" w:hAnsi="ING Me"/>
          <w:noProof/>
          <w:lang w:val="ro-RO"/>
        </w:rPr>
        <w:t xml:space="preserve"> și ordinea spontană</w:t>
      </w:r>
    </w:p>
    <w:p w14:paraId="732C95D8" w14:textId="0C3FFEC4" w:rsidR="00712588" w:rsidRPr="00EF6BEB" w:rsidRDefault="00712588" w:rsidP="00712588">
      <w:pPr>
        <w:rPr>
          <w:rFonts w:ascii="ING Me" w:hAnsi="ING Me"/>
          <w:noProof/>
          <w:lang w:val="ro-RO"/>
        </w:rPr>
      </w:pPr>
      <w:r w:rsidRPr="00EF6BEB">
        <w:rPr>
          <w:rFonts w:ascii="ING Me" w:hAnsi="ING Me"/>
          <w:noProof/>
          <w:lang w:val="ro-RO"/>
        </w:rPr>
        <w:t xml:space="preserve">Pe de altă parte, o perspectivă inspirată de gânditori precum Friedrich Hayek </w:t>
      </w:r>
      <w:r w:rsidR="007D3E8F" w:rsidRPr="00EF6BEB">
        <w:rPr>
          <w:rFonts w:ascii="ING Me" w:hAnsi="ING Me"/>
          <w:noProof/>
          <w:lang w:val="ro-RO"/>
        </w:rPr>
        <w:t>și</w:t>
      </w:r>
      <w:r w:rsidRPr="00EF6BEB">
        <w:rPr>
          <w:rFonts w:ascii="ING Me" w:hAnsi="ING Me"/>
          <w:noProof/>
          <w:lang w:val="ro-RO"/>
        </w:rPr>
        <w:t xml:space="preserve"> Școala Austriacă sugerează că temerile privind o "criză a cererii" ignoră mecanismele de ajustare a prețurilor.</w:t>
      </w:r>
      <w:r w:rsidR="0015173F" w:rsidRPr="00EF6BEB">
        <w:rPr>
          <w:rFonts w:ascii="ING Me" w:hAnsi="ING Me"/>
          <w:noProof/>
          <w:lang w:val="ro-RO"/>
        </w:rPr>
        <w:t xml:space="preserve"> Putem avea efecte precum:</w:t>
      </w:r>
    </w:p>
    <w:p w14:paraId="107D6F6A" w14:textId="47E272C0" w:rsidR="00712588" w:rsidRPr="00EF6BEB" w:rsidRDefault="00712588" w:rsidP="00712588">
      <w:pPr>
        <w:numPr>
          <w:ilvl w:val="0"/>
          <w:numId w:val="9"/>
        </w:numPr>
        <w:rPr>
          <w:rFonts w:ascii="ING Me" w:hAnsi="ING Me"/>
          <w:noProof/>
          <w:lang w:val="ro-RO"/>
        </w:rPr>
      </w:pPr>
      <w:r w:rsidRPr="00EF6BEB">
        <w:rPr>
          <w:rFonts w:ascii="Times New Roman" w:hAnsi="Times New Roman" w:cs="Times New Roman"/>
          <w:noProof/>
          <w:lang w:val="ro-RO"/>
        </w:rPr>
        <w:t>​</w:t>
      </w:r>
      <w:r w:rsidRPr="00EF6BEB">
        <w:rPr>
          <w:rFonts w:ascii="ING Me" w:hAnsi="ING Me"/>
          <w:noProof/>
          <w:lang w:val="ro-RO"/>
        </w:rPr>
        <w:t xml:space="preserve">Deflația benefică: </w:t>
      </w:r>
      <w:r w:rsidR="00482F15" w:rsidRPr="00EF6BEB">
        <w:rPr>
          <w:rFonts w:ascii="ING Me" w:hAnsi="ING Me"/>
          <w:noProof/>
          <w:lang w:val="ro-RO"/>
        </w:rPr>
        <w:t>d</w:t>
      </w:r>
      <w:r w:rsidRPr="00EF6BEB">
        <w:rPr>
          <w:rFonts w:ascii="ING Me" w:hAnsi="ING Me"/>
          <w:noProof/>
          <w:lang w:val="ro-RO"/>
        </w:rPr>
        <w:t xml:space="preserve">acă roboții produc bunuri la un cost marginal apropiat de zero, prețurile de la raft ar trebui să </w:t>
      </w:r>
      <w:r w:rsidR="002715B2" w:rsidRPr="00EF6BEB">
        <w:rPr>
          <w:rFonts w:ascii="ING Me" w:hAnsi="ING Me"/>
          <w:noProof/>
          <w:lang w:val="ro-RO"/>
        </w:rPr>
        <w:t>scadă</w:t>
      </w:r>
      <w:r w:rsidRPr="00EF6BEB">
        <w:rPr>
          <w:rFonts w:ascii="ING Me" w:hAnsi="ING Me"/>
          <w:noProof/>
          <w:lang w:val="ro-RO"/>
        </w:rPr>
        <w:t>. Într-un astfel de scenariu, puterea de cumpărare reală poate crește chiar și în condițiile unor venituri nominale mai mici</w:t>
      </w:r>
      <w:r w:rsidR="004F11CA" w:rsidRPr="00EF6BEB">
        <w:rPr>
          <w:rFonts w:ascii="ING Me" w:hAnsi="ING Me"/>
          <w:noProof/>
          <w:lang w:val="ro-RO"/>
        </w:rPr>
        <w:t xml:space="preserve"> și/sau a unui timp de lucru redus</w:t>
      </w:r>
      <w:r w:rsidR="00CD7523" w:rsidRPr="00EF6BEB">
        <w:rPr>
          <w:rFonts w:ascii="ING Me" w:hAnsi="ING Me"/>
          <w:noProof/>
          <w:lang w:val="ro-RO"/>
        </w:rPr>
        <w:t xml:space="preserve"> voluntar</w:t>
      </w:r>
      <w:r w:rsidRPr="00EF6BEB">
        <w:rPr>
          <w:rFonts w:ascii="ING Me" w:hAnsi="ING Me"/>
          <w:noProof/>
          <w:lang w:val="ro-RO"/>
        </w:rPr>
        <w:t>. Intervenția statului pentru a menține prețurile sus (inflaționism) ar fi, în această viziune, adevăratul pericol</w:t>
      </w:r>
    </w:p>
    <w:p w14:paraId="3727F75F" w14:textId="7859E48A" w:rsidR="00712588" w:rsidRPr="00EF6BEB" w:rsidRDefault="00712588" w:rsidP="00712588">
      <w:pPr>
        <w:numPr>
          <w:ilvl w:val="0"/>
          <w:numId w:val="9"/>
        </w:numPr>
        <w:rPr>
          <w:rFonts w:ascii="ING Me" w:hAnsi="ING Me"/>
          <w:noProof/>
          <w:lang w:val="ro-RO"/>
        </w:rPr>
      </w:pPr>
      <w:r w:rsidRPr="00EF6BEB">
        <w:rPr>
          <w:rFonts w:ascii="Times New Roman" w:hAnsi="Times New Roman" w:cs="Times New Roman"/>
          <w:noProof/>
          <w:lang w:val="ro-RO"/>
        </w:rPr>
        <w:t>​</w:t>
      </w:r>
      <w:r w:rsidRPr="00EF6BEB">
        <w:rPr>
          <w:rFonts w:ascii="ING Me" w:hAnsi="ING Me"/>
          <w:noProof/>
          <w:lang w:val="ro-RO"/>
        </w:rPr>
        <w:t xml:space="preserve">Ordinea spontană: </w:t>
      </w:r>
      <w:r w:rsidR="006F0B7F" w:rsidRPr="00EF6BEB">
        <w:rPr>
          <w:rFonts w:ascii="ING Me" w:hAnsi="ING Me"/>
          <w:noProof/>
          <w:lang w:val="ro-RO"/>
        </w:rPr>
        <w:t>liberalii clasici</w:t>
      </w:r>
      <w:r w:rsidRPr="00EF6BEB">
        <w:rPr>
          <w:rFonts w:ascii="ING Me" w:hAnsi="ING Me"/>
          <w:noProof/>
          <w:lang w:val="ro-RO"/>
        </w:rPr>
        <w:t xml:space="preserve"> avertiz</w:t>
      </w:r>
      <w:r w:rsidR="006A6903" w:rsidRPr="00EF6BEB">
        <w:rPr>
          <w:rFonts w:ascii="ING Me" w:hAnsi="ING Me"/>
          <w:noProof/>
          <w:lang w:val="ro-RO"/>
        </w:rPr>
        <w:t>ează</w:t>
      </w:r>
      <w:r w:rsidRPr="00EF6BEB">
        <w:rPr>
          <w:rFonts w:ascii="ING Me" w:hAnsi="ING Me"/>
          <w:noProof/>
          <w:lang w:val="ro-RO"/>
        </w:rPr>
        <w:t xml:space="preserve"> asupra "aroganței" planificatorilor centrali care cred că pot anticipa viitorul. Istoria arată că piața liberă găsește utilizări pentru resursele umane pe care birocrații nu le pot </w:t>
      </w:r>
      <w:r w:rsidR="00970DA5" w:rsidRPr="00EF6BEB">
        <w:rPr>
          <w:rFonts w:ascii="ING Me" w:hAnsi="ING Me"/>
          <w:noProof/>
          <w:lang w:val="ro-RO"/>
        </w:rPr>
        <w:t>anticipa</w:t>
      </w:r>
      <w:r w:rsidRPr="00EF6BEB">
        <w:rPr>
          <w:rFonts w:ascii="ING Me" w:hAnsi="ING Me"/>
          <w:noProof/>
          <w:lang w:val="ro-RO"/>
        </w:rPr>
        <w:t xml:space="preserve"> azi.</w:t>
      </w:r>
      <w:r w:rsidR="005F568B" w:rsidRPr="00EF6BEB">
        <w:rPr>
          <w:rFonts w:ascii="ING Me" w:hAnsi="ING Me"/>
          <w:noProof/>
          <w:lang w:val="ro-RO"/>
        </w:rPr>
        <w:t xml:space="preserve"> E</w:t>
      </w:r>
      <w:r w:rsidRPr="00EF6BEB">
        <w:rPr>
          <w:rFonts w:ascii="ING Me" w:hAnsi="ING Me"/>
          <w:noProof/>
          <w:lang w:val="ro-RO"/>
        </w:rPr>
        <w:t>ste probabil ca eliberarea oamenilor de sarcinile repetitive să ducă la o explozie de noi industrii creative și vocaționale, imposibil de planificat de către stat. Din această perspectivă, încercarea de a "rezolva" problema prin taxe și reglementări ar putea tocmai să sufoce inovațiile care ar crea noile locuri de muncă</w:t>
      </w:r>
    </w:p>
    <w:p w14:paraId="1349C464" w14:textId="164FDDFB" w:rsidR="00712588" w:rsidRPr="00EF6BEB" w:rsidRDefault="009C3F88" w:rsidP="00712588">
      <w:pPr>
        <w:rPr>
          <w:rFonts w:ascii="ING Me" w:hAnsi="ING Me"/>
          <w:noProof/>
          <w:lang w:val="ro-RO"/>
        </w:rPr>
      </w:pPr>
      <w:r w:rsidRPr="00EF6BEB">
        <w:rPr>
          <w:rFonts w:ascii="ING Me" w:hAnsi="ING Me"/>
          <w:noProof/>
          <w:lang w:val="ro-RO"/>
        </w:rPr>
        <w:t>Cel mai probabil, d</w:t>
      </w:r>
      <w:r w:rsidR="00712588" w:rsidRPr="00EF6BEB">
        <w:rPr>
          <w:rFonts w:ascii="ING Me" w:hAnsi="ING Me"/>
          <w:noProof/>
          <w:lang w:val="ro-RO"/>
        </w:rPr>
        <w:t xml:space="preserve">ilema va fi </w:t>
      </w:r>
      <w:r w:rsidR="00667C88" w:rsidRPr="00EF6BEB">
        <w:rPr>
          <w:rFonts w:ascii="ING Me" w:hAnsi="ING Me"/>
          <w:noProof/>
          <w:lang w:val="ro-RO"/>
        </w:rPr>
        <w:t>alegerea</w:t>
      </w:r>
      <w:r w:rsidR="00712588" w:rsidRPr="00EF6BEB">
        <w:rPr>
          <w:rFonts w:ascii="ING Me" w:hAnsi="ING Me"/>
          <w:noProof/>
          <w:lang w:val="ro-RO"/>
        </w:rPr>
        <w:t xml:space="preserve"> </w:t>
      </w:r>
      <w:r w:rsidRPr="00EF6BEB">
        <w:rPr>
          <w:rFonts w:ascii="ING Me" w:hAnsi="ING Me"/>
          <w:noProof/>
          <w:lang w:val="ro-RO"/>
        </w:rPr>
        <w:t xml:space="preserve">unui dozaj optim </w:t>
      </w:r>
      <w:r w:rsidR="00712588" w:rsidRPr="00EF6BEB">
        <w:rPr>
          <w:rFonts w:ascii="ING Me" w:hAnsi="ING Me"/>
          <w:noProof/>
          <w:lang w:val="ro-RO"/>
        </w:rPr>
        <w:t>între a proteja veniturile prin redistribuire (</w:t>
      </w:r>
      <w:r w:rsidR="00DC5CD0">
        <w:rPr>
          <w:rFonts w:ascii="ING Me" w:hAnsi="ING Me"/>
          <w:noProof/>
          <w:lang w:val="ro-RO"/>
        </w:rPr>
        <w:t>cu riscul de a frâna</w:t>
      </w:r>
      <w:r w:rsidR="00CE2D9D">
        <w:rPr>
          <w:rFonts w:ascii="ING Me" w:hAnsi="ING Me"/>
          <w:noProof/>
          <w:lang w:val="ro-RO"/>
        </w:rPr>
        <w:t xml:space="preserve"> inovația</w:t>
      </w:r>
      <w:r w:rsidR="00712588" w:rsidRPr="00EF6BEB">
        <w:rPr>
          <w:rFonts w:ascii="ING Me" w:hAnsi="ING Me"/>
          <w:noProof/>
          <w:lang w:val="ro-RO"/>
        </w:rPr>
        <w:t xml:space="preserve">) </w:t>
      </w:r>
      <w:r w:rsidR="00CE2D9D">
        <w:rPr>
          <w:rFonts w:ascii="ING Me" w:hAnsi="ING Me"/>
          <w:noProof/>
          <w:lang w:val="ro-RO"/>
        </w:rPr>
        <w:t>și permiterea unei</w:t>
      </w:r>
      <w:r w:rsidR="00712588" w:rsidRPr="00EF6BEB">
        <w:rPr>
          <w:rFonts w:ascii="ING Me" w:hAnsi="ING Me"/>
          <w:noProof/>
          <w:lang w:val="ro-RO"/>
        </w:rPr>
        <w:t xml:space="preserve"> competiț</w:t>
      </w:r>
      <w:r w:rsidR="00CE2D9D">
        <w:rPr>
          <w:rFonts w:ascii="ING Me" w:hAnsi="ING Me"/>
          <w:noProof/>
          <w:lang w:val="ro-RO"/>
        </w:rPr>
        <w:t>ii libere</w:t>
      </w:r>
      <w:r w:rsidR="00712588" w:rsidRPr="00EF6BEB">
        <w:rPr>
          <w:rFonts w:ascii="ING Me" w:hAnsi="ING Me"/>
          <w:noProof/>
          <w:lang w:val="ro-RO"/>
        </w:rPr>
        <w:t xml:space="preserve"> (riscând instabilitate socială</w:t>
      </w:r>
      <w:r w:rsidR="00667C88" w:rsidRPr="00EF6BEB">
        <w:rPr>
          <w:rFonts w:ascii="ING Me" w:hAnsi="ING Me"/>
          <w:noProof/>
          <w:lang w:val="ro-RO"/>
        </w:rPr>
        <w:t xml:space="preserve"> cel puțin</w:t>
      </w:r>
      <w:r w:rsidR="00712588" w:rsidRPr="00EF6BEB">
        <w:rPr>
          <w:rFonts w:ascii="ING Me" w:hAnsi="ING Me"/>
          <w:noProof/>
          <w:lang w:val="ro-RO"/>
        </w:rPr>
        <w:t xml:space="preserve"> pe termen scurt), sperând că piața va genera acea "ordine spontană" care să </w:t>
      </w:r>
      <w:r w:rsidR="00DE2AD0" w:rsidRPr="00EF6BEB">
        <w:rPr>
          <w:rFonts w:ascii="ING Me" w:hAnsi="ING Me"/>
          <w:noProof/>
          <w:lang w:val="ro-RO"/>
        </w:rPr>
        <w:t>reechilibreze piața muncii.</w:t>
      </w:r>
    </w:p>
    <w:p w14:paraId="65873A4A" w14:textId="5B758D4D" w:rsidR="00FD62F1" w:rsidRPr="00EF6BEB" w:rsidRDefault="00F84E9B" w:rsidP="00FD62F1">
      <w:pPr>
        <w:rPr>
          <w:rFonts w:ascii="ING Me" w:hAnsi="ING Me"/>
          <w:b/>
          <w:bCs/>
          <w:noProof/>
          <w:lang w:val="ro-RO"/>
        </w:rPr>
      </w:pPr>
      <w:r w:rsidRPr="00EF6BEB">
        <w:rPr>
          <w:rFonts w:ascii="ING Me" w:hAnsi="ING Me"/>
          <w:b/>
          <w:bCs/>
          <w:noProof/>
          <w:lang w:val="ro-RO"/>
        </w:rPr>
        <w:t>Gestionarea</w:t>
      </w:r>
      <w:r w:rsidR="00FD62F1" w:rsidRPr="00EF6BEB">
        <w:rPr>
          <w:rFonts w:ascii="ING Me" w:hAnsi="ING Me"/>
          <w:b/>
          <w:bCs/>
          <w:noProof/>
          <w:lang w:val="ro-RO"/>
        </w:rPr>
        <w:t xml:space="preserve"> tranziției</w:t>
      </w:r>
    </w:p>
    <w:p w14:paraId="0FD4154F" w14:textId="5A806370" w:rsidR="00FD62F1" w:rsidRPr="00EF6BEB" w:rsidRDefault="00345EFE" w:rsidP="00FD62F1">
      <w:pPr>
        <w:rPr>
          <w:rFonts w:ascii="ING Me" w:hAnsi="ING Me"/>
          <w:noProof/>
          <w:lang w:val="ro-RO"/>
        </w:rPr>
      </w:pPr>
      <w:r w:rsidRPr="00EF6BEB">
        <w:rPr>
          <w:rFonts w:ascii="ING Me" w:hAnsi="ING Me"/>
          <w:noProof/>
          <w:lang w:val="ro-RO"/>
        </w:rPr>
        <w:t>Ideea</w:t>
      </w:r>
      <w:r w:rsidR="00FD62F1" w:rsidRPr="00EF6BEB">
        <w:rPr>
          <w:rFonts w:ascii="ING Me" w:hAnsi="ING Me"/>
          <w:noProof/>
          <w:lang w:val="ro-RO"/>
        </w:rPr>
        <w:t xml:space="preserve"> c</w:t>
      </w:r>
      <w:r w:rsidR="00F84E9B" w:rsidRPr="00EF6BEB">
        <w:rPr>
          <w:rFonts w:ascii="ING Me" w:hAnsi="ING Me"/>
          <w:noProof/>
          <w:lang w:val="ro-RO"/>
        </w:rPr>
        <w:t>onform căreia</w:t>
      </w:r>
      <w:r w:rsidR="00FD62F1" w:rsidRPr="00EF6BEB">
        <w:rPr>
          <w:rFonts w:ascii="ING Me" w:hAnsi="ING Me"/>
          <w:noProof/>
          <w:lang w:val="ro-RO"/>
        </w:rPr>
        <w:t xml:space="preserve"> IA </w:t>
      </w:r>
      <w:r w:rsidR="009C0C3F" w:rsidRPr="00EF6BEB">
        <w:rPr>
          <w:rFonts w:ascii="ING Me" w:hAnsi="ING Me"/>
          <w:noProof/>
          <w:lang w:val="ro-RO"/>
        </w:rPr>
        <w:t>ar putea</w:t>
      </w:r>
      <w:r w:rsidR="00FD62F1" w:rsidRPr="00EF6BEB">
        <w:rPr>
          <w:rFonts w:ascii="ING Me" w:hAnsi="ING Me"/>
          <w:noProof/>
          <w:lang w:val="ro-RO"/>
        </w:rPr>
        <w:t xml:space="preserve"> aduce beneficii tuturor</w:t>
      </w:r>
      <w:r w:rsidRPr="00EF6BEB">
        <w:rPr>
          <w:rFonts w:ascii="ING Me" w:hAnsi="ING Me"/>
          <w:noProof/>
          <w:lang w:val="ro-RO"/>
        </w:rPr>
        <w:t xml:space="preserve"> simultan</w:t>
      </w:r>
      <w:r w:rsidR="00FD62F1" w:rsidRPr="00EF6BEB">
        <w:rPr>
          <w:rFonts w:ascii="ING Me" w:hAnsi="ING Me"/>
          <w:noProof/>
          <w:lang w:val="ro-RO"/>
        </w:rPr>
        <w:t xml:space="preserve"> (</w:t>
      </w:r>
      <w:r w:rsidR="003E2B76" w:rsidRPr="00EF6BEB">
        <w:rPr>
          <w:rFonts w:ascii="ING Me" w:hAnsi="ING Me"/>
          <w:noProof/>
          <w:lang w:val="ro-RO"/>
        </w:rPr>
        <w:t>”</w:t>
      </w:r>
      <w:r w:rsidR="00FD62F1" w:rsidRPr="00EF6BEB">
        <w:rPr>
          <w:rFonts w:ascii="ING Me" w:hAnsi="ING Me"/>
          <w:noProof/>
          <w:lang w:val="ro-RO"/>
        </w:rPr>
        <w:t>lift all boats</w:t>
      </w:r>
      <w:r w:rsidR="003E2B76" w:rsidRPr="00EF6BEB">
        <w:rPr>
          <w:rFonts w:ascii="ING Me" w:hAnsi="ING Me"/>
          <w:noProof/>
          <w:lang w:val="ro-RO"/>
        </w:rPr>
        <w:t>”</w:t>
      </w:r>
      <w:r w:rsidR="00FD62F1" w:rsidRPr="00EF6BEB">
        <w:rPr>
          <w:rFonts w:ascii="ING Me" w:hAnsi="ING Me"/>
          <w:noProof/>
          <w:lang w:val="ro-RO"/>
        </w:rPr>
        <w:t xml:space="preserve">) </w:t>
      </w:r>
      <w:r w:rsidRPr="00EF6BEB">
        <w:rPr>
          <w:rFonts w:ascii="ING Me" w:hAnsi="ING Me"/>
          <w:noProof/>
          <w:lang w:val="ro-RO"/>
        </w:rPr>
        <w:t>pare</w:t>
      </w:r>
      <w:r w:rsidR="00FD62F1" w:rsidRPr="00EF6BEB">
        <w:rPr>
          <w:rFonts w:ascii="ING Me" w:hAnsi="ING Me"/>
          <w:noProof/>
          <w:lang w:val="ro-RO"/>
        </w:rPr>
        <w:t xml:space="preserve"> </w:t>
      </w:r>
      <w:r w:rsidR="007A24BB" w:rsidRPr="00EF6BEB">
        <w:rPr>
          <w:rFonts w:ascii="ING Me" w:hAnsi="ING Me"/>
          <w:noProof/>
          <w:lang w:val="ro-RO"/>
        </w:rPr>
        <w:t>ușor</w:t>
      </w:r>
      <w:r w:rsidR="00FD62F1" w:rsidRPr="00EF6BEB">
        <w:rPr>
          <w:rFonts w:ascii="ING Me" w:hAnsi="ING Me"/>
          <w:noProof/>
          <w:lang w:val="ro-RO"/>
        </w:rPr>
        <w:t xml:space="preserve"> </w:t>
      </w:r>
      <w:r w:rsidR="00314D10" w:rsidRPr="00EF6BEB">
        <w:rPr>
          <w:rFonts w:ascii="ING Me" w:hAnsi="ING Me"/>
          <w:noProof/>
          <w:lang w:val="ro-RO"/>
        </w:rPr>
        <w:t>optimistă</w:t>
      </w:r>
      <w:r w:rsidR="00FD62F1" w:rsidRPr="00EF6BEB">
        <w:rPr>
          <w:rFonts w:ascii="ING Me" w:hAnsi="ING Me"/>
          <w:noProof/>
          <w:lang w:val="ro-RO"/>
        </w:rPr>
        <w:t xml:space="preserve"> pentru contextul românesc</w:t>
      </w:r>
      <w:r w:rsidR="00023B57">
        <w:rPr>
          <w:rFonts w:ascii="ING Me" w:hAnsi="ING Me"/>
          <w:noProof/>
          <w:lang w:val="ro-RO"/>
        </w:rPr>
        <w:t xml:space="preserve"> și nu numai</w:t>
      </w:r>
      <w:r w:rsidR="00FD62F1" w:rsidRPr="00EF6BEB">
        <w:rPr>
          <w:rFonts w:ascii="ING Me" w:hAnsi="ING Me"/>
          <w:noProof/>
          <w:lang w:val="ro-RO"/>
        </w:rPr>
        <w:t xml:space="preserve">. </w:t>
      </w:r>
      <w:r w:rsidR="00E34734" w:rsidRPr="00EF6BEB">
        <w:rPr>
          <w:rFonts w:ascii="ING Me" w:hAnsi="ING Me"/>
          <w:noProof/>
          <w:lang w:val="ro-RO"/>
        </w:rPr>
        <w:t>Deși există multe scenarii posibile, unul dintre ele este că ne-am putea îndrepta spre o perioadă marcată de o dualitate evidentă.</w:t>
      </w:r>
    </w:p>
    <w:p w14:paraId="564224CE" w14:textId="186790AB" w:rsidR="00FD62F1" w:rsidRPr="00EF6BEB" w:rsidRDefault="00FD62F1" w:rsidP="00FD62F1">
      <w:pPr>
        <w:rPr>
          <w:rFonts w:ascii="ING Me" w:hAnsi="ING Me"/>
          <w:noProof/>
          <w:lang w:val="ro-RO"/>
        </w:rPr>
      </w:pPr>
      <w:r w:rsidRPr="00EF6BEB">
        <w:rPr>
          <w:rFonts w:ascii="ING Me" w:hAnsi="ING Me"/>
          <w:noProof/>
          <w:lang w:val="ro-RO"/>
        </w:rPr>
        <w:t xml:space="preserve">Pe de o parte, indicatorii macroeconomici ai României ar putea arăta </w:t>
      </w:r>
      <w:r w:rsidR="00E34734" w:rsidRPr="00EF6BEB">
        <w:rPr>
          <w:rFonts w:ascii="ING Me" w:hAnsi="ING Me"/>
          <w:noProof/>
          <w:lang w:val="ro-RO"/>
        </w:rPr>
        <w:t>foarte bine</w:t>
      </w:r>
      <w:r w:rsidRPr="00EF6BEB">
        <w:rPr>
          <w:rFonts w:ascii="ING Me" w:hAnsi="ING Me"/>
          <w:noProof/>
          <w:lang w:val="ro-RO"/>
        </w:rPr>
        <w:t xml:space="preserve">: PIB în creștere, competitivitate crescută la export și o administrație publică modernizată. Pe de altă parte, țesutul social ar putea fi supus unei presiuni sporite pe măsură ce </w:t>
      </w:r>
      <w:r w:rsidR="00F325EB" w:rsidRPr="00EF6BEB">
        <w:rPr>
          <w:rFonts w:ascii="ING Me" w:hAnsi="ING Me"/>
          <w:noProof/>
          <w:lang w:val="ro-RO"/>
        </w:rPr>
        <w:t xml:space="preserve">se </w:t>
      </w:r>
      <w:r w:rsidRPr="00EF6BEB">
        <w:rPr>
          <w:rFonts w:ascii="ING Me" w:hAnsi="ING Me"/>
          <w:noProof/>
          <w:lang w:val="ro-RO"/>
        </w:rPr>
        <w:t xml:space="preserve">elimină locuri de muncă mai repede decât </w:t>
      </w:r>
      <w:r w:rsidR="00F325EB" w:rsidRPr="00EF6BEB">
        <w:rPr>
          <w:rFonts w:ascii="ING Me" w:hAnsi="ING Me"/>
          <w:noProof/>
          <w:lang w:val="ro-RO"/>
        </w:rPr>
        <w:t>sunt create</w:t>
      </w:r>
      <w:r w:rsidRPr="00EF6BEB">
        <w:rPr>
          <w:rFonts w:ascii="ING Me" w:hAnsi="ING Me"/>
          <w:noProof/>
          <w:lang w:val="ro-RO"/>
        </w:rPr>
        <w:t xml:space="preserve"> altele noi– și mai repede decât un sistem educațional, care se luptă deja cu alfabetizarea de bază, se poate adapta la noile realități.</w:t>
      </w:r>
    </w:p>
    <w:p w14:paraId="428ADA03" w14:textId="4D35D65C" w:rsidR="00FD62F1" w:rsidRPr="00EF6BEB" w:rsidRDefault="00473CE9" w:rsidP="00FD62F1">
      <w:pPr>
        <w:rPr>
          <w:rFonts w:ascii="ING Me" w:hAnsi="ING Me"/>
          <w:noProof/>
          <w:lang w:val="ro-RO"/>
        </w:rPr>
      </w:pPr>
      <w:r w:rsidRPr="00EF6BEB">
        <w:rPr>
          <w:rFonts w:ascii="ING Me" w:hAnsi="ING Me"/>
          <w:noProof/>
          <w:lang w:val="ro-RO"/>
        </w:rPr>
        <w:t>O strategie duală pentru gestionarea tranziției ar putea fi imaginată în jurul a două dire</w:t>
      </w:r>
      <w:r w:rsidR="005935E6" w:rsidRPr="00EF6BEB">
        <w:rPr>
          <w:rFonts w:ascii="ING Me" w:hAnsi="ING Me"/>
          <w:noProof/>
          <w:lang w:val="ro-RO"/>
        </w:rPr>
        <w:t>cții</w:t>
      </w:r>
      <w:r w:rsidR="00FD62F1" w:rsidRPr="00EF6BEB">
        <w:rPr>
          <w:rFonts w:ascii="ING Me" w:hAnsi="ING Me"/>
          <w:noProof/>
          <w:lang w:val="ro-RO"/>
        </w:rPr>
        <w:t>:</w:t>
      </w:r>
    </w:p>
    <w:p w14:paraId="3BF4ADDB" w14:textId="77777777" w:rsidR="00BA4425" w:rsidRPr="00EF6BEB" w:rsidRDefault="00FD62F1" w:rsidP="00FD62F1">
      <w:pPr>
        <w:pStyle w:val="ListParagraph"/>
        <w:numPr>
          <w:ilvl w:val="0"/>
          <w:numId w:val="10"/>
        </w:numPr>
        <w:rPr>
          <w:rFonts w:ascii="ING Me" w:hAnsi="ING Me"/>
          <w:noProof/>
          <w:lang w:val="ro-RO"/>
        </w:rPr>
      </w:pPr>
      <w:r w:rsidRPr="00EF6BEB">
        <w:rPr>
          <w:rFonts w:ascii="ING Me" w:hAnsi="ING Me"/>
          <w:noProof/>
          <w:lang w:val="ro-RO"/>
        </w:rPr>
        <w:t>Recalificare agresivă și reformă educațională radicală: rezolvarea decalajului PISA nu ține de mândrie academică, ci este o necesitate economică. Fără competențe de bază de alfabetizare și logică</w:t>
      </w:r>
      <w:r w:rsidR="00BA4425" w:rsidRPr="00EF6BEB">
        <w:rPr>
          <w:rFonts w:ascii="ING Me" w:hAnsi="ING Me"/>
          <w:noProof/>
          <w:lang w:val="ro-RO"/>
        </w:rPr>
        <w:t xml:space="preserve">, oamenii </w:t>
      </w:r>
      <w:r w:rsidRPr="00EF6BEB">
        <w:rPr>
          <w:rFonts w:ascii="ING Me" w:hAnsi="ING Me"/>
          <w:noProof/>
          <w:lang w:val="ro-RO"/>
        </w:rPr>
        <w:t>nu pot prospera</w:t>
      </w:r>
    </w:p>
    <w:p w14:paraId="50F39A3E" w14:textId="0D8C53DE" w:rsidR="00FD62F1" w:rsidRPr="00EF6BEB" w:rsidRDefault="00FD62F1" w:rsidP="00FD62F1">
      <w:pPr>
        <w:pStyle w:val="ListParagraph"/>
        <w:numPr>
          <w:ilvl w:val="0"/>
          <w:numId w:val="10"/>
        </w:numPr>
        <w:rPr>
          <w:rFonts w:ascii="ING Me" w:hAnsi="ING Me"/>
          <w:noProof/>
          <w:lang w:val="ro-RO"/>
        </w:rPr>
      </w:pPr>
      <w:r w:rsidRPr="00EF6BEB">
        <w:rPr>
          <w:rFonts w:ascii="ING Me" w:hAnsi="ING Me"/>
          <w:noProof/>
          <w:lang w:val="ro-RO"/>
        </w:rPr>
        <w:t xml:space="preserve">Valorizarea "umanului": trecerea dincolo de alfabetizarea digitală de bază către formarea vocațională care pregătește </w:t>
      </w:r>
      <w:r w:rsidR="00AB3A7D" w:rsidRPr="00EF6BEB">
        <w:rPr>
          <w:rFonts w:ascii="ING Me" w:hAnsi="ING Me"/>
          <w:noProof/>
          <w:lang w:val="ro-RO"/>
        </w:rPr>
        <w:t>oamenii</w:t>
      </w:r>
      <w:r w:rsidRPr="00EF6BEB">
        <w:rPr>
          <w:rFonts w:ascii="ING Me" w:hAnsi="ING Me"/>
          <w:noProof/>
          <w:lang w:val="ro-RO"/>
        </w:rPr>
        <w:t xml:space="preserve"> pentru roluri "high-touch", centrate pe om, pe care IA nu le poate replica ușor. Investițiile strategice în agricultura organică, eco-turism, educație timpurie </w:t>
      </w:r>
      <w:r w:rsidR="007B3BBF" w:rsidRPr="00EF6BEB">
        <w:rPr>
          <w:rFonts w:ascii="ING Me" w:hAnsi="ING Me"/>
          <w:noProof/>
          <w:lang w:val="ro-RO"/>
        </w:rPr>
        <w:t xml:space="preserve">sau </w:t>
      </w:r>
      <w:r w:rsidR="00C54A91" w:rsidRPr="00EF6BEB">
        <w:rPr>
          <w:rFonts w:ascii="ING Me" w:hAnsi="ING Me"/>
          <w:noProof/>
          <w:lang w:val="ro-RO"/>
        </w:rPr>
        <w:t>servicii de îngrijire</w:t>
      </w:r>
      <w:r w:rsidR="00B27975">
        <w:rPr>
          <w:rFonts w:ascii="ING Me" w:hAnsi="ING Me"/>
          <w:noProof/>
          <w:lang w:val="ro-RO"/>
        </w:rPr>
        <w:t xml:space="preserve"> (”care economy”)</w:t>
      </w:r>
      <w:r w:rsidR="00C54A91" w:rsidRPr="00EF6BEB">
        <w:rPr>
          <w:rFonts w:ascii="ING Me" w:hAnsi="ING Me"/>
          <w:noProof/>
          <w:lang w:val="ro-RO"/>
        </w:rPr>
        <w:t xml:space="preserve"> sunt</w:t>
      </w:r>
      <w:r w:rsidRPr="00EF6BEB">
        <w:rPr>
          <w:rFonts w:ascii="ING Me" w:hAnsi="ING Me"/>
          <w:noProof/>
          <w:lang w:val="ro-RO"/>
        </w:rPr>
        <w:t xml:space="preserve"> esențiale. </w:t>
      </w:r>
      <w:r w:rsidR="000E5FA4" w:rsidRPr="00EF6BEB">
        <w:rPr>
          <w:rFonts w:ascii="ING Me" w:hAnsi="ING Me"/>
          <w:noProof/>
          <w:lang w:val="ro-RO"/>
        </w:rPr>
        <w:t>Aceste domenii, bazate pe relații directe și empatie, pot oferi locuri de muncă demne pentru cei pe care revoluția IA i-ar putea lăsa în urmă</w:t>
      </w:r>
    </w:p>
    <w:p w14:paraId="2C712713" w14:textId="72A4DEBC" w:rsidR="00FD62F1" w:rsidRPr="00EF6BEB" w:rsidRDefault="00FD62F1" w:rsidP="00FD62F1">
      <w:pPr>
        <w:rPr>
          <w:rFonts w:ascii="ING Me" w:hAnsi="ING Me"/>
          <w:noProof/>
          <w:lang w:val="ro-RO"/>
        </w:rPr>
      </w:pPr>
      <w:r w:rsidRPr="00EF6BEB">
        <w:rPr>
          <w:rFonts w:ascii="ING Me" w:hAnsi="ING Me"/>
          <w:noProof/>
          <w:lang w:val="ro-RO"/>
        </w:rPr>
        <w:t xml:space="preserve">Dacă creșterea economică fără </w:t>
      </w:r>
      <w:r w:rsidR="009C0DDB" w:rsidRPr="00EF6BEB">
        <w:rPr>
          <w:rFonts w:ascii="ING Me" w:hAnsi="ING Me"/>
          <w:noProof/>
          <w:lang w:val="ro-RO"/>
        </w:rPr>
        <w:t xml:space="preserve">crearea de </w:t>
      </w:r>
      <w:r w:rsidRPr="00EF6BEB">
        <w:rPr>
          <w:rFonts w:ascii="ING Me" w:hAnsi="ING Me"/>
          <w:noProof/>
          <w:lang w:val="ro-RO"/>
        </w:rPr>
        <w:t xml:space="preserve">locuri de muncă devine o realitate, </w:t>
      </w:r>
      <w:r w:rsidR="00C71A97" w:rsidRPr="00EF6BEB">
        <w:rPr>
          <w:rFonts w:ascii="ING Me" w:hAnsi="ING Me"/>
          <w:noProof/>
          <w:lang w:val="ro-RO"/>
        </w:rPr>
        <w:t>sistemele de protecție</w:t>
      </w:r>
      <w:r w:rsidRPr="00EF6BEB">
        <w:rPr>
          <w:rFonts w:ascii="ING Me" w:hAnsi="ING Me"/>
          <w:noProof/>
          <w:lang w:val="ro-RO"/>
        </w:rPr>
        <w:t xml:space="preserve"> socială ale României vor avea nevoie, de asemenea, de o </w:t>
      </w:r>
      <w:r w:rsidR="00C71A97" w:rsidRPr="00EF6BEB">
        <w:rPr>
          <w:rFonts w:ascii="ING Me" w:hAnsi="ING Me"/>
          <w:noProof/>
          <w:lang w:val="ro-RO"/>
        </w:rPr>
        <w:t>regândire</w:t>
      </w:r>
      <w:r w:rsidRPr="00EF6BEB">
        <w:rPr>
          <w:rFonts w:ascii="ING Me" w:hAnsi="ING Me"/>
          <w:noProof/>
          <w:lang w:val="ro-RO"/>
        </w:rPr>
        <w:t xml:space="preserve"> majoră. Mecanismele de distribuție a </w:t>
      </w:r>
      <w:r w:rsidR="00C71A97" w:rsidRPr="00EF6BEB">
        <w:rPr>
          <w:rFonts w:ascii="ING Me" w:hAnsi="ING Me"/>
          <w:noProof/>
          <w:lang w:val="ro-RO"/>
        </w:rPr>
        <w:t>avuției</w:t>
      </w:r>
      <w:r w:rsidRPr="00EF6BEB">
        <w:rPr>
          <w:rFonts w:ascii="ING Me" w:hAnsi="ING Me"/>
          <w:noProof/>
          <w:lang w:val="ro-RO"/>
        </w:rPr>
        <w:t>, cum ar fi sistemele de impozitare și programele de beneficii, trebuie să evolueze pentru a aborda șomajul structural și a menține stabilitatea socială.</w:t>
      </w:r>
    </w:p>
    <w:p w14:paraId="0BF4C29F" w14:textId="3552655D" w:rsidR="00FD62F1" w:rsidRPr="00EF6BEB" w:rsidRDefault="00FD62F1" w:rsidP="00FD62F1">
      <w:pPr>
        <w:rPr>
          <w:rFonts w:ascii="ING Me" w:hAnsi="ING Me"/>
          <w:noProof/>
          <w:lang w:val="ro-RO"/>
        </w:rPr>
      </w:pPr>
      <w:r w:rsidRPr="00EF6BEB">
        <w:rPr>
          <w:rFonts w:ascii="ING Me" w:hAnsi="ING Me"/>
          <w:noProof/>
          <w:lang w:val="ro-RO"/>
        </w:rPr>
        <w:t xml:space="preserve">Deși iminența tuturor acestor evoluții s-ar putea să nu pară (sau chiar să nu fie) implacabilă, credem că România se află totuși într-un punct de cotitură, întrucât modelul său economic bazat pe forță de muncă </w:t>
      </w:r>
      <w:r w:rsidR="00417FC5">
        <w:rPr>
          <w:rFonts w:ascii="ING Me" w:hAnsi="ING Me"/>
          <w:noProof/>
          <w:lang w:val="ro-RO"/>
        </w:rPr>
        <w:t xml:space="preserve">relativ </w:t>
      </w:r>
      <w:r w:rsidRPr="00EF6BEB">
        <w:rPr>
          <w:rFonts w:ascii="ING Me" w:hAnsi="ING Me"/>
          <w:noProof/>
          <w:lang w:val="ro-RO"/>
        </w:rPr>
        <w:t xml:space="preserve">ieftină, stimularea consumului și deficite gemene își atinge oricum limitele. În era IA, potențialul de creștere ridicată este </w:t>
      </w:r>
      <w:r w:rsidR="00F760EB" w:rsidRPr="00EF6BEB">
        <w:rPr>
          <w:rFonts w:ascii="ING Me" w:hAnsi="ING Me"/>
          <w:noProof/>
          <w:lang w:val="ro-RO"/>
        </w:rPr>
        <w:t xml:space="preserve">unul </w:t>
      </w:r>
      <w:r w:rsidRPr="00EF6BEB">
        <w:rPr>
          <w:rFonts w:ascii="ING Me" w:hAnsi="ING Me"/>
          <w:noProof/>
          <w:lang w:val="ro-RO"/>
        </w:rPr>
        <w:t xml:space="preserve">real, dar riscul unor distorsiuni semnificative ale pieței muncii este </w:t>
      </w:r>
      <w:r w:rsidR="00417FC5">
        <w:rPr>
          <w:rFonts w:ascii="ING Me" w:hAnsi="ING Me"/>
          <w:noProof/>
          <w:lang w:val="ro-RO"/>
        </w:rPr>
        <w:t>real</w:t>
      </w:r>
      <w:r w:rsidRPr="00EF6BEB">
        <w:rPr>
          <w:rFonts w:ascii="ING Me" w:hAnsi="ING Me"/>
          <w:noProof/>
          <w:lang w:val="ro-RO"/>
        </w:rPr>
        <w:t xml:space="preserve">. Succesul va depinde de capacitatea țării de a transforma un șoc tehnologic într-o oportunitate generalizată, </w:t>
      </w:r>
      <w:r w:rsidR="005D0C39" w:rsidRPr="00EF6BEB">
        <w:rPr>
          <w:rFonts w:ascii="ING Me" w:hAnsi="ING Me"/>
          <w:noProof/>
          <w:lang w:val="ro-RO"/>
        </w:rPr>
        <w:t>pentru</w:t>
      </w:r>
      <w:r w:rsidRPr="00EF6BEB">
        <w:rPr>
          <w:rFonts w:ascii="ING Me" w:hAnsi="ING Me"/>
          <w:noProof/>
          <w:lang w:val="ro-RO"/>
        </w:rPr>
        <w:t xml:space="preserve"> ca decalajul digital să </w:t>
      </w:r>
      <w:r w:rsidR="005D0C39" w:rsidRPr="00EF6BEB">
        <w:rPr>
          <w:rFonts w:ascii="ING Me" w:hAnsi="ING Me"/>
          <w:noProof/>
          <w:lang w:val="ro-RO"/>
        </w:rPr>
        <w:t xml:space="preserve">nu </w:t>
      </w:r>
      <w:r w:rsidRPr="00EF6BEB">
        <w:rPr>
          <w:rFonts w:ascii="ING Me" w:hAnsi="ING Me"/>
          <w:noProof/>
          <w:lang w:val="ro-RO"/>
        </w:rPr>
        <w:t>devină un decalaj social insurmontabil.</w:t>
      </w:r>
    </w:p>
    <w:p w14:paraId="47DB0283" w14:textId="455FA7FD" w:rsidR="00FD62F1" w:rsidRPr="00EF6BEB" w:rsidRDefault="00FD62F1" w:rsidP="00FD62F1">
      <w:pPr>
        <w:rPr>
          <w:rFonts w:ascii="ING Me" w:hAnsi="ING Me"/>
          <w:b/>
          <w:bCs/>
          <w:noProof/>
          <w:lang w:val="ro-RO"/>
        </w:rPr>
      </w:pPr>
      <w:r w:rsidRPr="00EF6BEB">
        <w:rPr>
          <w:rFonts w:ascii="ING Me" w:hAnsi="ING Me"/>
          <w:b/>
          <w:bCs/>
          <w:noProof/>
          <w:lang w:val="ro-RO"/>
        </w:rPr>
        <w:t xml:space="preserve">Dincolo de </w:t>
      </w:r>
      <w:r w:rsidR="00E631D9" w:rsidRPr="00EF6BEB">
        <w:rPr>
          <w:rFonts w:ascii="ING Me" w:hAnsi="ING Me"/>
          <w:b/>
          <w:bCs/>
          <w:noProof/>
          <w:lang w:val="ro-RO"/>
        </w:rPr>
        <w:t>stat</w:t>
      </w:r>
    </w:p>
    <w:p w14:paraId="37FC30A2" w14:textId="7AF81783" w:rsidR="00FD62F1" w:rsidRPr="00EF6BEB" w:rsidRDefault="00FD62F1" w:rsidP="00FD62F1">
      <w:pPr>
        <w:rPr>
          <w:rFonts w:ascii="ING Me" w:hAnsi="ING Me"/>
          <w:noProof/>
          <w:lang w:val="ro-RO"/>
        </w:rPr>
      </w:pPr>
      <w:r w:rsidRPr="00EF6BEB">
        <w:rPr>
          <w:rFonts w:ascii="ING Me" w:hAnsi="ING Me"/>
          <w:noProof/>
          <w:lang w:val="ro-RO"/>
        </w:rPr>
        <w:t>Deși politicile publice vor juca inevitabil un rol central în tranziția României</w:t>
      </w:r>
      <w:r w:rsidR="001A35FF" w:rsidRPr="00EF6BEB">
        <w:rPr>
          <w:rFonts w:ascii="ING Me" w:hAnsi="ING Me"/>
          <w:noProof/>
          <w:lang w:val="ro-RO"/>
        </w:rPr>
        <w:t xml:space="preserve"> către economia bazată pe IA</w:t>
      </w:r>
      <w:r w:rsidRPr="00EF6BEB">
        <w:rPr>
          <w:rFonts w:ascii="ING Me" w:hAnsi="ING Me"/>
          <w:noProof/>
          <w:lang w:val="ro-RO"/>
        </w:rPr>
        <w:t>, nu este realist și nici de</w:t>
      </w:r>
      <w:r w:rsidR="00217F92" w:rsidRPr="00EF6BEB">
        <w:rPr>
          <w:rFonts w:ascii="ING Me" w:hAnsi="ING Me"/>
          <w:noProof/>
          <w:lang w:val="ro-RO"/>
        </w:rPr>
        <w:t xml:space="preserve"> dorit</w:t>
      </w:r>
      <w:r w:rsidRPr="00EF6BEB">
        <w:rPr>
          <w:rFonts w:ascii="ING Me" w:hAnsi="ING Me"/>
          <w:noProof/>
          <w:lang w:val="ro-RO"/>
        </w:rPr>
        <w:t xml:space="preserve"> să presupunem că </w:t>
      </w:r>
      <w:r w:rsidR="00C76FFB" w:rsidRPr="00EF6BEB">
        <w:rPr>
          <w:rFonts w:ascii="ING Me" w:hAnsi="ING Me"/>
          <w:noProof/>
          <w:lang w:val="ro-RO"/>
        </w:rPr>
        <w:t xml:space="preserve">doar </w:t>
      </w:r>
      <w:r w:rsidRPr="00EF6BEB">
        <w:rPr>
          <w:rFonts w:ascii="ING Me" w:hAnsi="ING Me"/>
          <w:noProof/>
          <w:lang w:val="ro-RO"/>
        </w:rPr>
        <w:t xml:space="preserve">guvernele pot gestiona cu succes această transformare. Istoria arată că revoluțiile tehnologice prosperă pe baza cunoașterii descentralizate și a cooperării voluntare. Adaptarea economică funcționează cel mai bine atunci când indivizii și firmele răspund liber la condițiile în schimbare, deoarece antreprenorii, nu birocrații, sunt adevăratele motoare ale inovației. În România, unde încrederea în instituțiile statului a fost </w:t>
      </w:r>
      <w:r w:rsidR="0062037D" w:rsidRPr="00EF6BEB">
        <w:rPr>
          <w:rFonts w:ascii="ING Me" w:hAnsi="ING Me"/>
          <w:noProof/>
          <w:lang w:val="ro-RO"/>
        </w:rPr>
        <w:t>mai mereu</w:t>
      </w:r>
      <w:r w:rsidRPr="00EF6BEB">
        <w:rPr>
          <w:rFonts w:ascii="ING Me" w:hAnsi="ING Me"/>
          <w:noProof/>
          <w:lang w:val="ro-RO"/>
        </w:rPr>
        <w:t xml:space="preserve"> relativ scăzută</w:t>
      </w:r>
      <w:r w:rsidR="00D50588">
        <w:rPr>
          <w:rFonts w:ascii="ING Me" w:hAnsi="ING Me"/>
          <w:noProof/>
          <w:lang w:val="ro-RO"/>
        </w:rPr>
        <w:t xml:space="preserve"> </w:t>
      </w:r>
      <w:r w:rsidRPr="00EF6BEB">
        <w:rPr>
          <w:rFonts w:ascii="ING Me" w:hAnsi="ING Me"/>
          <w:noProof/>
          <w:lang w:val="ro-RO"/>
        </w:rPr>
        <w:t xml:space="preserve">dar dinamismul </w:t>
      </w:r>
      <w:r w:rsidR="0062037D" w:rsidRPr="00EF6BEB">
        <w:rPr>
          <w:rFonts w:ascii="ING Me" w:hAnsi="ING Me"/>
          <w:noProof/>
          <w:lang w:val="ro-RO"/>
        </w:rPr>
        <w:t xml:space="preserve">mediului </w:t>
      </w:r>
      <w:r w:rsidRPr="00EF6BEB">
        <w:rPr>
          <w:rFonts w:ascii="ING Me" w:hAnsi="ING Me"/>
          <w:noProof/>
          <w:lang w:val="ro-RO"/>
        </w:rPr>
        <w:t xml:space="preserve">privat este ridicat, adevăratul motor al adaptării pot fi </w:t>
      </w:r>
      <w:r w:rsidR="00A72A76">
        <w:rPr>
          <w:rFonts w:ascii="ING Me" w:hAnsi="ING Me"/>
          <w:noProof/>
          <w:lang w:val="ro-RO"/>
        </w:rPr>
        <w:t>actorii din afara sectorului public</w:t>
      </w:r>
      <w:r w:rsidRPr="00EF6BEB">
        <w:rPr>
          <w:rFonts w:ascii="ING Me" w:hAnsi="ING Me"/>
          <w:noProof/>
          <w:lang w:val="ro-RO"/>
        </w:rPr>
        <w:t>.</w:t>
      </w:r>
    </w:p>
    <w:p w14:paraId="60E296E8" w14:textId="1AD35A38" w:rsidR="00FD62F1" w:rsidRPr="00EF6BEB" w:rsidRDefault="00FD62F1" w:rsidP="00FD62F1">
      <w:pPr>
        <w:rPr>
          <w:rFonts w:ascii="ING Me" w:hAnsi="ING Me"/>
          <w:noProof/>
          <w:lang w:val="ro-RO"/>
        </w:rPr>
      </w:pPr>
      <w:r w:rsidRPr="00EF6BEB">
        <w:rPr>
          <w:rFonts w:ascii="ING Me" w:hAnsi="ING Me"/>
          <w:noProof/>
          <w:lang w:val="ro-RO"/>
        </w:rPr>
        <w:t>Un cadru legal suplu și predictibil, concentrat pe drepturile de proprietate și concurență, poate face mai mult pentru a favoriza progresul decât micromanagementul</w:t>
      </w:r>
      <w:r w:rsidR="001D19E7" w:rsidRPr="00EF6BEB">
        <w:rPr>
          <w:rFonts w:ascii="ING Me" w:hAnsi="ING Me"/>
          <w:noProof/>
          <w:lang w:val="ro-RO"/>
        </w:rPr>
        <w:t xml:space="preserve"> centralizat</w:t>
      </w:r>
      <w:r w:rsidRPr="00EF6BEB">
        <w:rPr>
          <w:rFonts w:ascii="ING Me" w:hAnsi="ING Me"/>
          <w:noProof/>
          <w:lang w:val="ro-RO"/>
        </w:rPr>
        <w:t xml:space="preserve">. Furnizorii privați de </w:t>
      </w:r>
      <w:r w:rsidR="007B4825" w:rsidRPr="00EF6BEB">
        <w:rPr>
          <w:rFonts w:ascii="ING Me" w:hAnsi="ING Me"/>
          <w:noProof/>
          <w:lang w:val="ro-RO"/>
        </w:rPr>
        <w:t xml:space="preserve">soluții de </w:t>
      </w:r>
      <w:r w:rsidRPr="00EF6BEB">
        <w:rPr>
          <w:rFonts w:ascii="ING Me" w:hAnsi="ING Me"/>
          <w:noProof/>
          <w:lang w:val="ro-RO"/>
        </w:rPr>
        <w:t>educație, platformele online</w:t>
      </w:r>
      <w:r w:rsidR="00CA1FC5">
        <w:rPr>
          <w:rFonts w:ascii="ING Me" w:hAnsi="ING Me"/>
          <w:noProof/>
          <w:lang w:val="ro-RO"/>
        </w:rPr>
        <w:t xml:space="preserve">, </w:t>
      </w:r>
      <w:r w:rsidR="008C65D9">
        <w:rPr>
          <w:rFonts w:ascii="ING Me" w:hAnsi="ING Me"/>
          <w:noProof/>
          <w:lang w:val="ro-RO"/>
        </w:rPr>
        <w:t>platforme de micro-certificare</w:t>
      </w:r>
      <w:r w:rsidRPr="00EF6BEB">
        <w:rPr>
          <w:rFonts w:ascii="ING Me" w:hAnsi="ING Me"/>
          <w:noProof/>
          <w:lang w:val="ro-RO"/>
        </w:rPr>
        <w:t xml:space="preserve"> </w:t>
      </w:r>
      <w:r w:rsidR="008C65D9">
        <w:rPr>
          <w:rFonts w:ascii="ING Me" w:hAnsi="ING Me"/>
          <w:noProof/>
          <w:lang w:val="ro-RO"/>
        </w:rPr>
        <w:t>sau</w:t>
      </w:r>
      <w:r w:rsidRPr="00EF6BEB">
        <w:rPr>
          <w:rFonts w:ascii="ING Me" w:hAnsi="ING Me"/>
          <w:noProof/>
          <w:lang w:val="ro-RO"/>
        </w:rPr>
        <w:t xml:space="preserve"> inițiativele de formare conduse de </w:t>
      </w:r>
      <w:r w:rsidR="007B4825" w:rsidRPr="00EF6BEB">
        <w:rPr>
          <w:rFonts w:ascii="ING Me" w:hAnsi="ING Me"/>
          <w:noProof/>
          <w:lang w:val="ro-RO"/>
        </w:rPr>
        <w:t xml:space="preserve">firmele din </w:t>
      </w:r>
      <w:r w:rsidRPr="00EF6BEB">
        <w:rPr>
          <w:rFonts w:ascii="ING Me" w:hAnsi="ING Me"/>
          <w:noProof/>
          <w:lang w:val="ro-RO"/>
        </w:rPr>
        <w:t xml:space="preserve">industrie pot răspunde mai rapid nevoilor pieței decât </w:t>
      </w:r>
      <w:r w:rsidR="00D342B3" w:rsidRPr="00EF6BEB">
        <w:rPr>
          <w:rFonts w:ascii="ING Me" w:hAnsi="ING Me"/>
          <w:noProof/>
          <w:lang w:val="ro-RO"/>
        </w:rPr>
        <w:t>s</w:t>
      </w:r>
      <w:r w:rsidR="007F32AC" w:rsidRPr="00EF6BEB">
        <w:rPr>
          <w:rFonts w:ascii="ING Me" w:hAnsi="ING Me"/>
          <w:noProof/>
          <w:lang w:val="ro-RO"/>
        </w:rPr>
        <w:t>chemele</w:t>
      </w:r>
      <w:r w:rsidRPr="00EF6BEB">
        <w:rPr>
          <w:rFonts w:ascii="ING Me" w:hAnsi="ING Me"/>
          <w:noProof/>
          <w:lang w:val="ro-RO"/>
        </w:rPr>
        <w:t xml:space="preserve"> guvernamentale de recalificare. </w:t>
      </w:r>
      <w:r w:rsidR="008E7DD0" w:rsidRPr="00EF6BEB">
        <w:rPr>
          <w:rFonts w:ascii="ING Me" w:hAnsi="ING Me"/>
          <w:noProof/>
          <w:lang w:val="ro-RO"/>
        </w:rPr>
        <w:t>Încurajarea acestor inițiative accelerează adaptabilitatea forței de muncă, în timp ce încercările de a îngheța piața muncii sau de a subvenționa sectoarele în declin nu fac decât să amâne schimbarea.</w:t>
      </w:r>
    </w:p>
    <w:p w14:paraId="6FC43D3C" w14:textId="0AB45B3D" w:rsidR="00FD62F1" w:rsidRPr="00EF6BEB" w:rsidRDefault="00FD62F1" w:rsidP="00FD62F1">
      <w:pPr>
        <w:rPr>
          <w:rFonts w:ascii="ING Me" w:hAnsi="ING Me"/>
          <w:noProof/>
          <w:lang w:val="ro-RO"/>
        </w:rPr>
      </w:pPr>
      <w:r w:rsidRPr="00EF6BEB">
        <w:rPr>
          <w:rFonts w:ascii="ING Me" w:hAnsi="ING Me"/>
          <w:noProof/>
          <w:lang w:val="ro-RO"/>
        </w:rPr>
        <w:t xml:space="preserve">Comunitățile, ONG-urile și cooperativele pot juca un rol vital în recalificarea lucrătorilor dislocați și în dezvoltarea piețelor de nișă fără a aștepta intervenția statului. Aceste soluții "de jos în sus" sunt adesea mai flexibile și mai </w:t>
      </w:r>
      <w:r w:rsidR="0057794A" w:rsidRPr="00EF6BEB">
        <w:rPr>
          <w:rFonts w:ascii="ING Me" w:hAnsi="ING Me"/>
          <w:noProof/>
          <w:lang w:val="ro-RO"/>
        </w:rPr>
        <w:t>bine adaptate realităților economice și culturale locale</w:t>
      </w:r>
      <w:r w:rsidRPr="00EF6BEB">
        <w:rPr>
          <w:rFonts w:ascii="ING Me" w:hAnsi="ING Me"/>
          <w:noProof/>
          <w:lang w:val="ro-RO"/>
        </w:rPr>
        <w:t> </w:t>
      </w:r>
      <w:r w:rsidR="0044585F" w:rsidRPr="00EF6BEB">
        <w:rPr>
          <w:rFonts w:ascii="ING Me" w:hAnsi="ING Me"/>
          <w:noProof/>
          <w:lang w:val="ro-RO"/>
        </w:rPr>
        <w:t xml:space="preserve">decât cele ”de sus în jos”. </w:t>
      </w:r>
      <w:r w:rsidR="00D4597C" w:rsidRPr="00EF6BEB">
        <w:rPr>
          <w:rFonts w:ascii="ING Me" w:hAnsi="ING Me"/>
          <w:noProof/>
          <w:lang w:val="ro-RO"/>
        </w:rPr>
        <w:t xml:space="preserve"> Prin urmare, succesul României în era IA va depinde nu numai de acțiunile guvernului ci în special de dinamismul piețe</w:t>
      </w:r>
      <w:r w:rsidR="000005DD" w:rsidRPr="00EF6BEB">
        <w:rPr>
          <w:rFonts w:ascii="ING Me" w:hAnsi="ING Me"/>
          <w:noProof/>
          <w:lang w:val="ro-RO"/>
        </w:rPr>
        <w:t xml:space="preserve">lor și reziliența societății civile. Statul poate fi parte a soluției dar nu poate controla întregul </w:t>
      </w:r>
      <w:r w:rsidR="00B5541D" w:rsidRPr="00EF6BEB">
        <w:rPr>
          <w:rFonts w:ascii="ING Me" w:hAnsi="ING Me"/>
          <w:noProof/>
          <w:lang w:val="ro-RO"/>
        </w:rPr>
        <w:t>proces</w:t>
      </w:r>
      <w:r w:rsidR="000005DD" w:rsidRPr="00EF6BEB">
        <w:rPr>
          <w:rFonts w:ascii="ING Me" w:hAnsi="ING Me"/>
          <w:noProof/>
          <w:lang w:val="ro-RO"/>
        </w:rPr>
        <w:t xml:space="preserve">. </w:t>
      </w:r>
    </w:p>
    <w:p w14:paraId="01568EA8" w14:textId="38AC0526" w:rsidR="00FD74AF" w:rsidRPr="00EF6BEB" w:rsidRDefault="0090564B" w:rsidP="00FD62F1">
      <w:pPr>
        <w:rPr>
          <w:rFonts w:ascii="ING Me" w:hAnsi="ING Me"/>
          <w:b/>
          <w:bCs/>
          <w:noProof/>
          <w:lang w:val="ro-RO"/>
        </w:rPr>
      </w:pPr>
      <w:r w:rsidRPr="00EF6BEB">
        <w:rPr>
          <w:rFonts w:ascii="ING Me" w:hAnsi="ING Me"/>
          <w:b/>
          <w:bCs/>
          <w:noProof/>
          <w:lang w:val="ro-RO"/>
        </w:rPr>
        <w:t>Drumul</w:t>
      </w:r>
      <w:r w:rsidR="00FD74AF" w:rsidRPr="00EF6BEB">
        <w:rPr>
          <w:rFonts w:ascii="ING Me" w:hAnsi="ING Me"/>
          <w:b/>
          <w:bCs/>
          <w:noProof/>
          <w:lang w:val="ro-RO"/>
        </w:rPr>
        <w:t xml:space="preserve"> înainte</w:t>
      </w:r>
    </w:p>
    <w:p w14:paraId="56658DCA" w14:textId="2750FE26" w:rsidR="00B0724E" w:rsidRPr="00EF6BEB" w:rsidRDefault="0023013D">
      <w:pPr>
        <w:rPr>
          <w:rFonts w:ascii="ING Me" w:hAnsi="ING Me"/>
          <w:noProof/>
          <w:lang w:val="ro-RO"/>
        </w:rPr>
      </w:pPr>
      <w:r w:rsidRPr="00EF6BEB">
        <w:rPr>
          <w:rFonts w:ascii="ING Me" w:hAnsi="ING Me"/>
          <w:noProof/>
          <w:lang w:val="ro-RO"/>
        </w:rPr>
        <w:t xml:space="preserve">În fața unei revoluții tehnologice care pare să rescrie regulile economiei și ale societății, România se </w:t>
      </w:r>
      <w:r w:rsidR="00A35DD8" w:rsidRPr="00EF6BEB">
        <w:rPr>
          <w:rFonts w:ascii="ING Me" w:hAnsi="ING Me"/>
          <w:noProof/>
          <w:lang w:val="ro-RO"/>
        </w:rPr>
        <w:t>va afla și ea</w:t>
      </w:r>
      <w:r w:rsidRPr="00EF6BEB">
        <w:rPr>
          <w:rFonts w:ascii="ING Me" w:hAnsi="ING Me"/>
          <w:noProof/>
          <w:lang w:val="ro-RO"/>
        </w:rPr>
        <w:t xml:space="preserve"> la o răscruce de drumuri. </w:t>
      </w:r>
      <w:r w:rsidR="00496AAF">
        <w:rPr>
          <w:rFonts w:ascii="ING Me" w:hAnsi="ING Me"/>
          <w:noProof/>
          <w:lang w:val="ro-RO"/>
        </w:rPr>
        <w:t>Implementarea i</w:t>
      </w:r>
      <w:r w:rsidRPr="00EF6BEB">
        <w:rPr>
          <w:rFonts w:ascii="ING Me" w:hAnsi="ING Me"/>
          <w:noProof/>
          <w:lang w:val="ro-RO"/>
        </w:rPr>
        <w:t>nteligenț</w:t>
      </w:r>
      <w:r w:rsidR="00496AAF">
        <w:rPr>
          <w:rFonts w:ascii="ING Me" w:hAnsi="ING Me"/>
          <w:noProof/>
          <w:lang w:val="ro-RO"/>
        </w:rPr>
        <w:t>ei</w:t>
      </w:r>
      <w:r w:rsidRPr="00EF6BEB">
        <w:rPr>
          <w:rFonts w:ascii="ING Me" w:hAnsi="ING Me"/>
          <w:noProof/>
          <w:lang w:val="ro-RO"/>
        </w:rPr>
        <w:t xml:space="preserve"> artificial</w:t>
      </w:r>
      <w:r w:rsidR="00496AAF">
        <w:rPr>
          <w:rFonts w:ascii="ING Me" w:hAnsi="ING Me"/>
          <w:noProof/>
          <w:lang w:val="ro-RO"/>
        </w:rPr>
        <w:t>e</w:t>
      </w:r>
      <w:r w:rsidRPr="00EF6BEB">
        <w:rPr>
          <w:rFonts w:ascii="ING Me" w:hAnsi="ING Me"/>
          <w:noProof/>
          <w:lang w:val="ro-RO"/>
        </w:rPr>
        <w:t xml:space="preserve"> nu este doar o provocare tehnologică, ci și un test al valorilor noastre umane.</w:t>
      </w:r>
      <w:r w:rsidR="00EF7146" w:rsidRPr="00EF6BEB">
        <w:rPr>
          <w:rFonts w:ascii="ING Me" w:hAnsi="ING Me"/>
          <w:noProof/>
          <w:lang w:val="ro-RO"/>
        </w:rPr>
        <w:t xml:space="preserve"> Într-o lume în care algoritmii pot calcula, optimiza și automatiza aproape orice,</w:t>
      </w:r>
      <w:r w:rsidR="00FC784C" w:rsidRPr="00EF6BEB">
        <w:rPr>
          <w:rFonts w:ascii="ING Me" w:hAnsi="ING Me"/>
          <w:noProof/>
          <w:lang w:val="ro-RO"/>
        </w:rPr>
        <w:t xml:space="preserve"> puterea comunității, generozitatea și solidaritatea devin resurse esențiale. </w:t>
      </w:r>
      <w:r w:rsidR="00FC13D0" w:rsidRPr="00EF6BEB">
        <w:rPr>
          <w:rFonts w:ascii="ING Me" w:hAnsi="ING Me"/>
          <w:noProof/>
          <w:lang w:val="ro-RO"/>
        </w:rPr>
        <w:t>În cele din urmă, viitorul României în era IA va fi modelat nu doar de algoritmi, ci de alegerile noastre colective. Dacă vom reuși să transformăm șocul tehnologic într-o oportunitate pentru toți, să investim în educație, să cultivăm solidaritatea și să valorificăm autenticitatea, vom putea construi o economie mai rezilientă și o societate mai echitabilă. Pentru că, dincolo de orice progres tehnologic,</w:t>
      </w:r>
      <w:r w:rsidR="00617E0D" w:rsidRPr="00EF6BEB">
        <w:rPr>
          <w:rFonts w:ascii="ING Me" w:hAnsi="ING Me"/>
          <w:lang w:val="ro-RO"/>
        </w:rPr>
        <w:t xml:space="preserve"> </w:t>
      </w:r>
      <w:r w:rsidR="001C4B21" w:rsidRPr="00EF6BEB">
        <w:rPr>
          <w:rFonts w:ascii="ING Me" w:hAnsi="ING Me"/>
          <w:lang w:val="ro-RO"/>
        </w:rPr>
        <w:t xml:space="preserve">adevărata măsura a succesului va fi dată </w:t>
      </w:r>
      <w:r w:rsidR="00617E0D" w:rsidRPr="00EF6BEB">
        <w:rPr>
          <w:rFonts w:ascii="ING Me" w:hAnsi="ING Me"/>
          <w:lang w:val="ro-RO"/>
        </w:rPr>
        <w:t>de capacitatea noastră de a construi punți între regiuni, între urban și rural, între tineri și vârstnici,</w:t>
      </w:r>
      <w:r w:rsidR="00617E0D" w:rsidRPr="00EF6BEB">
        <w:rPr>
          <w:rFonts w:ascii="ING Me" w:hAnsi="ING Me"/>
          <w:sz w:val="22"/>
          <w:szCs w:val="22"/>
          <w:lang w:val="ro-RO"/>
        </w:rPr>
        <w:t xml:space="preserve"> </w:t>
      </w:r>
      <w:r w:rsidR="00617E0D" w:rsidRPr="00EF6BEB">
        <w:rPr>
          <w:rFonts w:ascii="ING Me" w:hAnsi="ING Me"/>
          <w:lang w:val="ro-RO"/>
        </w:rPr>
        <w:t>astfel încât modernizarea să nu lase pe nimeni în urmă.</w:t>
      </w:r>
    </w:p>
    <w:sectPr w:rsidR="00B0724E" w:rsidRPr="00EF6BEB" w:rsidSect="00832046">
      <w:pgSz w:w="11906" w:h="16838"/>
      <w:pgMar w:top="567"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G Me">
    <w:panose1 w:val="02000506040000020004"/>
    <w:charset w:val="00"/>
    <w:family w:val="auto"/>
    <w:pitch w:val="variable"/>
    <w:sig w:usb0="A10002AF" w:usb1="5000607A"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76A"/>
    <w:multiLevelType w:val="hybridMultilevel"/>
    <w:tmpl w:val="E3F86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817D4"/>
    <w:multiLevelType w:val="hybridMultilevel"/>
    <w:tmpl w:val="95741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34B8D"/>
    <w:multiLevelType w:val="hybridMultilevel"/>
    <w:tmpl w:val="C7045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91BB0"/>
    <w:multiLevelType w:val="hybridMultilevel"/>
    <w:tmpl w:val="0B700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2A7BF8"/>
    <w:multiLevelType w:val="multilevel"/>
    <w:tmpl w:val="7CFE9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50B24"/>
    <w:multiLevelType w:val="hybridMultilevel"/>
    <w:tmpl w:val="07DA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832E5A"/>
    <w:multiLevelType w:val="hybridMultilevel"/>
    <w:tmpl w:val="BB122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4528A2"/>
    <w:multiLevelType w:val="multilevel"/>
    <w:tmpl w:val="0AD85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D07067"/>
    <w:multiLevelType w:val="hybridMultilevel"/>
    <w:tmpl w:val="EAE4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224B4A"/>
    <w:multiLevelType w:val="hybridMultilevel"/>
    <w:tmpl w:val="4522B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179488">
    <w:abstractNumId w:val="8"/>
  </w:num>
  <w:num w:numId="2" w16cid:durableId="1063020497">
    <w:abstractNumId w:val="3"/>
  </w:num>
  <w:num w:numId="3" w16cid:durableId="2005280603">
    <w:abstractNumId w:val="2"/>
  </w:num>
  <w:num w:numId="4" w16cid:durableId="1823887752">
    <w:abstractNumId w:val="0"/>
  </w:num>
  <w:num w:numId="5" w16cid:durableId="786436900">
    <w:abstractNumId w:val="1"/>
  </w:num>
  <w:num w:numId="6" w16cid:durableId="457266599">
    <w:abstractNumId w:val="5"/>
  </w:num>
  <w:num w:numId="7" w16cid:durableId="416906511">
    <w:abstractNumId w:val="9"/>
  </w:num>
  <w:num w:numId="8" w16cid:durableId="2146774153">
    <w:abstractNumId w:val="4"/>
  </w:num>
  <w:num w:numId="9" w16cid:durableId="1948809668">
    <w:abstractNumId w:val="7"/>
  </w:num>
  <w:num w:numId="10" w16cid:durableId="1070881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24E"/>
    <w:rsid w:val="000005DD"/>
    <w:rsid w:val="00020827"/>
    <w:rsid w:val="0002212C"/>
    <w:rsid w:val="00023B57"/>
    <w:rsid w:val="00033A4A"/>
    <w:rsid w:val="00034A77"/>
    <w:rsid w:val="00043AE7"/>
    <w:rsid w:val="000577B6"/>
    <w:rsid w:val="0007593F"/>
    <w:rsid w:val="0007715D"/>
    <w:rsid w:val="000A2FB1"/>
    <w:rsid w:val="000B5E1A"/>
    <w:rsid w:val="000B6225"/>
    <w:rsid w:val="000B731D"/>
    <w:rsid w:val="000D23B2"/>
    <w:rsid w:val="000E5FA4"/>
    <w:rsid w:val="000E6CE7"/>
    <w:rsid w:val="000F1EAD"/>
    <w:rsid w:val="000F768F"/>
    <w:rsid w:val="001010D8"/>
    <w:rsid w:val="00110827"/>
    <w:rsid w:val="0013104F"/>
    <w:rsid w:val="0013494E"/>
    <w:rsid w:val="0015173F"/>
    <w:rsid w:val="001631EF"/>
    <w:rsid w:val="001641A2"/>
    <w:rsid w:val="00170F7D"/>
    <w:rsid w:val="0018432D"/>
    <w:rsid w:val="00184F0F"/>
    <w:rsid w:val="00193AD1"/>
    <w:rsid w:val="00193AD5"/>
    <w:rsid w:val="00197EA1"/>
    <w:rsid w:val="001A35FF"/>
    <w:rsid w:val="001A68F1"/>
    <w:rsid w:val="001A6981"/>
    <w:rsid w:val="001A7F38"/>
    <w:rsid w:val="001C0000"/>
    <w:rsid w:val="001C4B21"/>
    <w:rsid w:val="001D19E7"/>
    <w:rsid w:val="001E0EA4"/>
    <w:rsid w:val="001F382C"/>
    <w:rsid w:val="002037D5"/>
    <w:rsid w:val="00210EB8"/>
    <w:rsid w:val="00215EC6"/>
    <w:rsid w:val="00217F92"/>
    <w:rsid w:val="0023013D"/>
    <w:rsid w:val="002477B1"/>
    <w:rsid w:val="002644F1"/>
    <w:rsid w:val="0027063A"/>
    <w:rsid w:val="002715B2"/>
    <w:rsid w:val="00275568"/>
    <w:rsid w:val="002777B6"/>
    <w:rsid w:val="00277DFC"/>
    <w:rsid w:val="002A0A05"/>
    <w:rsid w:val="002A1AC5"/>
    <w:rsid w:val="002A1BC3"/>
    <w:rsid w:val="002A2475"/>
    <w:rsid w:val="002A3C88"/>
    <w:rsid w:val="002A6249"/>
    <w:rsid w:val="002A6557"/>
    <w:rsid w:val="002D6B93"/>
    <w:rsid w:val="00314D10"/>
    <w:rsid w:val="00323DDB"/>
    <w:rsid w:val="00334820"/>
    <w:rsid w:val="00345ECE"/>
    <w:rsid w:val="00345EFE"/>
    <w:rsid w:val="00346103"/>
    <w:rsid w:val="0034722E"/>
    <w:rsid w:val="00350DBA"/>
    <w:rsid w:val="00387D48"/>
    <w:rsid w:val="00393887"/>
    <w:rsid w:val="003B2F3F"/>
    <w:rsid w:val="003B75E1"/>
    <w:rsid w:val="003D2B18"/>
    <w:rsid w:val="003D5DB8"/>
    <w:rsid w:val="003E2B76"/>
    <w:rsid w:val="003F05BF"/>
    <w:rsid w:val="003F6197"/>
    <w:rsid w:val="00417FC5"/>
    <w:rsid w:val="0044166B"/>
    <w:rsid w:val="00441BB6"/>
    <w:rsid w:val="0044585F"/>
    <w:rsid w:val="00450A11"/>
    <w:rsid w:val="004657A4"/>
    <w:rsid w:val="00473CE9"/>
    <w:rsid w:val="00480D7E"/>
    <w:rsid w:val="00482F15"/>
    <w:rsid w:val="00483879"/>
    <w:rsid w:val="004872A1"/>
    <w:rsid w:val="004900FE"/>
    <w:rsid w:val="00493FDD"/>
    <w:rsid w:val="00496AAF"/>
    <w:rsid w:val="004D06E4"/>
    <w:rsid w:val="004D26FD"/>
    <w:rsid w:val="004F11CA"/>
    <w:rsid w:val="0050272B"/>
    <w:rsid w:val="00505B62"/>
    <w:rsid w:val="00540D43"/>
    <w:rsid w:val="0057794A"/>
    <w:rsid w:val="00586D96"/>
    <w:rsid w:val="005935E6"/>
    <w:rsid w:val="005A3813"/>
    <w:rsid w:val="005C04C7"/>
    <w:rsid w:val="005C77BE"/>
    <w:rsid w:val="005D0C39"/>
    <w:rsid w:val="005D717B"/>
    <w:rsid w:val="005E4210"/>
    <w:rsid w:val="005F03BE"/>
    <w:rsid w:val="005F568B"/>
    <w:rsid w:val="00606DC4"/>
    <w:rsid w:val="00607D23"/>
    <w:rsid w:val="00611F9C"/>
    <w:rsid w:val="00617E0D"/>
    <w:rsid w:val="0062037D"/>
    <w:rsid w:val="006374EC"/>
    <w:rsid w:val="0063799A"/>
    <w:rsid w:val="00645928"/>
    <w:rsid w:val="00653B2F"/>
    <w:rsid w:val="00663C1C"/>
    <w:rsid w:val="00667C88"/>
    <w:rsid w:val="00680DD6"/>
    <w:rsid w:val="0068101F"/>
    <w:rsid w:val="00684522"/>
    <w:rsid w:val="00686DE6"/>
    <w:rsid w:val="00695DF9"/>
    <w:rsid w:val="006979AF"/>
    <w:rsid w:val="006A0F2A"/>
    <w:rsid w:val="006A6903"/>
    <w:rsid w:val="006A6D6C"/>
    <w:rsid w:val="006C4B52"/>
    <w:rsid w:val="006E3BC4"/>
    <w:rsid w:val="006F0B7F"/>
    <w:rsid w:val="00703181"/>
    <w:rsid w:val="00706B56"/>
    <w:rsid w:val="00712588"/>
    <w:rsid w:val="00727FCE"/>
    <w:rsid w:val="007439C8"/>
    <w:rsid w:val="00763B18"/>
    <w:rsid w:val="00783319"/>
    <w:rsid w:val="00784CFC"/>
    <w:rsid w:val="00785CD6"/>
    <w:rsid w:val="0079425B"/>
    <w:rsid w:val="00794ACC"/>
    <w:rsid w:val="00797F6F"/>
    <w:rsid w:val="007A24BB"/>
    <w:rsid w:val="007B29AA"/>
    <w:rsid w:val="007B3BBF"/>
    <w:rsid w:val="007B4825"/>
    <w:rsid w:val="007C1C04"/>
    <w:rsid w:val="007C5E51"/>
    <w:rsid w:val="007C7A45"/>
    <w:rsid w:val="007D3E8F"/>
    <w:rsid w:val="007E251F"/>
    <w:rsid w:val="007F32AC"/>
    <w:rsid w:val="00807F1D"/>
    <w:rsid w:val="008116EA"/>
    <w:rsid w:val="008131DB"/>
    <w:rsid w:val="008261AD"/>
    <w:rsid w:val="00832046"/>
    <w:rsid w:val="008461A5"/>
    <w:rsid w:val="00855ED8"/>
    <w:rsid w:val="00860EE4"/>
    <w:rsid w:val="00872517"/>
    <w:rsid w:val="00876746"/>
    <w:rsid w:val="00883C5C"/>
    <w:rsid w:val="00886078"/>
    <w:rsid w:val="00892F32"/>
    <w:rsid w:val="00894C5F"/>
    <w:rsid w:val="008A665A"/>
    <w:rsid w:val="008C65CE"/>
    <w:rsid w:val="008C65D9"/>
    <w:rsid w:val="008C6672"/>
    <w:rsid w:val="008D5B86"/>
    <w:rsid w:val="008E0C9F"/>
    <w:rsid w:val="008E15C6"/>
    <w:rsid w:val="008E7DD0"/>
    <w:rsid w:val="008F01C6"/>
    <w:rsid w:val="008F59FF"/>
    <w:rsid w:val="0090564B"/>
    <w:rsid w:val="00912F52"/>
    <w:rsid w:val="0092250F"/>
    <w:rsid w:val="00923C42"/>
    <w:rsid w:val="0095111C"/>
    <w:rsid w:val="00960AE3"/>
    <w:rsid w:val="00970DA5"/>
    <w:rsid w:val="00996528"/>
    <w:rsid w:val="009C0C3F"/>
    <w:rsid w:val="009C0DDB"/>
    <w:rsid w:val="009C1412"/>
    <w:rsid w:val="009C3F88"/>
    <w:rsid w:val="009D6BA7"/>
    <w:rsid w:val="009E4088"/>
    <w:rsid w:val="009E4BF3"/>
    <w:rsid w:val="009E6139"/>
    <w:rsid w:val="00A11295"/>
    <w:rsid w:val="00A35DD8"/>
    <w:rsid w:val="00A40C39"/>
    <w:rsid w:val="00A44820"/>
    <w:rsid w:val="00A448F7"/>
    <w:rsid w:val="00A47EA4"/>
    <w:rsid w:val="00A53647"/>
    <w:rsid w:val="00A564D3"/>
    <w:rsid w:val="00A617FC"/>
    <w:rsid w:val="00A6275F"/>
    <w:rsid w:val="00A70C73"/>
    <w:rsid w:val="00A71325"/>
    <w:rsid w:val="00A72A76"/>
    <w:rsid w:val="00A775A2"/>
    <w:rsid w:val="00A85B79"/>
    <w:rsid w:val="00AB3A7D"/>
    <w:rsid w:val="00AC2766"/>
    <w:rsid w:val="00AD5448"/>
    <w:rsid w:val="00AE6F38"/>
    <w:rsid w:val="00B0724E"/>
    <w:rsid w:val="00B2774C"/>
    <w:rsid w:val="00B27975"/>
    <w:rsid w:val="00B32B0E"/>
    <w:rsid w:val="00B41C8B"/>
    <w:rsid w:val="00B43589"/>
    <w:rsid w:val="00B5541D"/>
    <w:rsid w:val="00B64C52"/>
    <w:rsid w:val="00B7031C"/>
    <w:rsid w:val="00B843DA"/>
    <w:rsid w:val="00BA4425"/>
    <w:rsid w:val="00BC33A8"/>
    <w:rsid w:val="00BD27E8"/>
    <w:rsid w:val="00BE400F"/>
    <w:rsid w:val="00BE5E88"/>
    <w:rsid w:val="00C24660"/>
    <w:rsid w:val="00C269EC"/>
    <w:rsid w:val="00C341C0"/>
    <w:rsid w:val="00C36854"/>
    <w:rsid w:val="00C54A91"/>
    <w:rsid w:val="00C71A97"/>
    <w:rsid w:val="00C7612B"/>
    <w:rsid w:val="00C76FFB"/>
    <w:rsid w:val="00CA1FC5"/>
    <w:rsid w:val="00CA23BB"/>
    <w:rsid w:val="00CC3AD6"/>
    <w:rsid w:val="00CD2C83"/>
    <w:rsid w:val="00CD7523"/>
    <w:rsid w:val="00CE2D9D"/>
    <w:rsid w:val="00D0752F"/>
    <w:rsid w:val="00D13F83"/>
    <w:rsid w:val="00D21484"/>
    <w:rsid w:val="00D342B3"/>
    <w:rsid w:val="00D359E1"/>
    <w:rsid w:val="00D37279"/>
    <w:rsid w:val="00D4597C"/>
    <w:rsid w:val="00D500CC"/>
    <w:rsid w:val="00D50588"/>
    <w:rsid w:val="00D77C85"/>
    <w:rsid w:val="00D96341"/>
    <w:rsid w:val="00DA00AF"/>
    <w:rsid w:val="00DA30FD"/>
    <w:rsid w:val="00DB3898"/>
    <w:rsid w:val="00DB44E7"/>
    <w:rsid w:val="00DB7F06"/>
    <w:rsid w:val="00DC4BAC"/>
    <w:rsid w:val="00DC5CD0"/>
    <w:rsid w:val="00DD6D6F"/>
    <w:rsid w:val="00DD6F26"/>
    <w:rsid w:val="00DE2AD0"/>
    <w:rsid w:val="00DF5344"/>
    <w:rsid w:val="00E069EE"/>
    <w:rsid w:val="00E21511"/>
    <w:rsid w:val="00E21B63"/>
    <w:rsid w:val="00E34734"/>
    <w:rsid w:val="00E35E60"/>
    <w:rsid w:val="00E43F31"/>
    <w:rsid w:val="00E631D9"/>
    <w:rsid w:val="00EB213D"/>
    <w:rsid w:val="00ED24A0"/>
    <w:rsid w:val="00EF6BEB"/>
    <w:rsid w:val="00EF7146"/>
    <w:rsid w:val="00F13FED"/>
    <w:rsid w:val="00F325EB"/>
    <w:rsid w:val="00F354F0"/>
    <w:rsid w:val="00F445EF"/>
    <w:rsid w:val="00F46AB0"/>
    <w:rsid w:val="00F6676F"/>
    <w:rsid w:val="00F72C7C"/>
    <w:rsid w:val="00F760EB"/>
    <w:rsid w:val="00F84E9B"/>
    <w:rsid w:val="00F96BAC"/>
    <w:rsid w:val="00F97D06"/>
    <w:rsid w:val="00FA1557"/>
    <w:rsid w:val="00FC0621"/>
    <w:rsid w:val="00FC13D0"/>
    <w:rsid w:val="00FC784C"/>
    <w:rsid w:val="00FD62F1"/>
    <w:rsid w:val="00FD74AF"/>
    <w:rsid w:val="00FE551A"/>
    <w:rsid w:val="00FE6B1C"/>
    <w:rsid w:val="00FF5CD6"/>
    <w:rsid w:val="00FF7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0731"/>
  <w15:chartTrackingRefBased/>
  <w15:docId w15:val="{63A670E2-BD3E-456E-96EC-0E5CE0DC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2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2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2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24E"/>
    <w:rPr>
      <w:rFonts w:eastAsiaTheme="majorEastAsia" w:cstheme="majorBidi"/>
      <w:color w:val="272727" w:themeColor="text1" w:themeTint="D8"/>
    </w:rPr>
  </w:style>
  <w:style w:type="paragraph" w:styleId="Title">
    <w:name w:val="Title"/>
    <w:basedOn w:val="Normal"/>
    <w:next w:val="Normal"/>
    <w:link w:val="TitleChar"/>
    <w:uiPriority w:val="10"/>
    <w:qFormat/>
    <w:rsid w:val="00B07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24E"/>
    <w:pPr>
      <w:spacing w:before="160"/>
      <w:jc w:val="center"/>
    </w:pPr>
    <w:rPr>
      <w:i/>
      <w:iCs/>
      <w:color w:val="404040" w:themeColor="text1" w:themeTint="BF"/>
    </w:rPr>
  </w:style>
  <w:style w:type="character" w:customStyle="1" w:styleId="QuoteChar">
    <w:name w:val="Quote Char"/>
    <w:basedOn w:val="DefaultParagraphFont"/>
    <w:link w:val="Quote"/>
    <w:uiPriority w:val="29"/>
    <w:rsid w:val="00B0724E"/>
    <w:rPr>
      <w:i/>
      <w:iCs/>
      <w:color w:val="404040" w:themeColor="text1" w:themeTint="BF"/>
    </w:rPr>
  </w:style>
  <w:style w:type="paragraph" w:styleId="ListParagraph">
    <w:name w:val="List Paragraph"/>
    <w:basedOn w:val="Normal"/>
    <w:uiPriority w:val="34"/>
    <w:qFormat/>
    <w:rsid w:val="00B0724E"/>
    <w:pPr>
      <w:ind w:left="720"/>
      <w:contextualSpacing/>
    </w:pPr>
  </w:style>
  <w:style w:type="character" w:styleId="IntenseEmphasis">
    <w:name w:val="Intense Emphasis"/>
    <w:basedOn w:val="DefaultParagraphFont"/>
    <w:uiPriority w:val="21"/>
    <w:qFormat/>
    <w:rsid w:val="00B0724E"/>
    <w:rPr>
      <w:i/>
      <w:iCs/>
      <w:color w:val="0F4761" w:themeColor="accent1" w:themeShade="BF"/>
    </w:rPr>
  </w:style>
  <w:style w:type="paragraph" w:styleId="IntenseQuote">
    <w:name w:val="Intense Quote"/>
    <w:basedOn w:val="Normal"/>
    <w:next w:val="Normal"/>
    <w:link w:val="IntenseQuoteChar"/>
    <w:uiPriority w:val="30"/>
    <w:qFormat/>
    <w:rsid w:val="00B07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24E"/>
    <w:rPr>
      <w:i/>
      <w:iCs/>
      <w:color w:val="0F4761" w:themeColor="accent1" w:themeShade="BF"/>
    </w:rPr>
  </w:style>
  <w:style w:type="character" w:styleId="IntenseReference">
    <w:name w:val="Intense Reference"/>
    <w:basedOn w:val="DefaultParagraphFont"/>
    <w:uiPriority w:val="32"/>
    <w:qFormat/>
    <w:rsid w:val="00B0724E"/>
    <w:rPr>
      <w:b/>
      <w:bCs/>
      <w:smallCaps/>
      <w:color w:val="0F4761" w:themeColor="accent1" w:themeShade="BF"/>
      <w:spacing w:val="5"/>
    </w:rPr>
  </w:style>
  <w:style w:type="character" w:styleId="Hyperlink">
    <w:name w:val="Hyperlink"/>
    <w:basedOn w:val="DefaultParagraphFont"/>
    <w:uiPriority w:val="99"/>
    <w:unhideWhenUsed/>
    <w:rsid w:val="0013104F"/>
    <w:rPr>
      <w:color w:val="467886" w:themeColor="hyperlink"/>
      <w:u w:val="single"/>
    </w:rPr>
  </w:style>
  <w:style w:type="character" w:styleId="UnresolvedMention">
    <w:name w:val="Unresolved Mention"/>
    <w:basedOn w:val="DefaultParagraphFont"/>
    <w:uiPriority w:val="99"/>
    <w:semiHidden/>
    <w:unhideWhenUsed/>
    <w:rsid w:val="00131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mf.org/en/publications/wp/issues/2025/04/11/the-global-impact-of-ai-mind-the-gap-56612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nr.ro/uploads/2025-12-09raportasuprastabilit%C4%83%C8%9Biifinanciare-decembrie2025_documentpdf_545_1765290572.pdf" TargetMode="External"/><Relationship Id="rId5" Type="http://schemas.openxmlformats.org/officeDocument/2006/relationships/styles" Target="styles.xml"/><Relationship Id="rId10" Type="http://schemas.openxmlformats.org/officeDocument/2006/relationships/chart" Target="charts/chart3.xml"/><Relationship Id="rId4" Type="http://schemas.openxmlformats.org/officeDocument/2006/relationships/numbering" Target="numbering.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ing.sharepoint.com/sites/GRRO200463_FS/Shared%20Documents/Main/Prophet/Special%20Reports/2025/database%20AI%20artic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ing.sharepoint.com/sites/GRRO200463_FS/Shared%20Documents/Main/Prophet/Special%20Reports/2025/Data_Family_farming_in_the_EU_26-10-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ing.sharepoint.com/sites/GRRO200463_FS/Shared%20Documents/Main/Prophet/Special%20Reports/2025/Data_Family_farming_in_the_EU_26-10-202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'AI usage'!$B$11</c:f>
              <c:strCache>
                <c:ptCount val="1"/>
                <c:pt idx="0">
                  <c:v>2024</c:v>
                </c:pt>
              </c:strCache>
            </c:strRef>
          </c:tx>
          <c:spPr>
            <a:solidFill>
              <a:srgbClr val="A69F98"/>
            </a:solidFill>
            <a:ln w="25400">
              <a:noFill/>
            </a:ln>
            <a:effectLst/>
          </c:spPr>
          <c:invertIfNegative val="0"/>
          <c:dPt>
            <c:idx val="11"/>
            <c:invertIfNegative val="0"/>
            <c:bubble3D val="0"/>
            <c:spPr>
              <a:solidFill>
                <a:srgbClr val="185A7B"/>
              </a:solidFill>
              <a:ln w="25400">
                <a:noFill/>
              </a:ln>
              <a:effectLst/>
            </c:spPr>
            <c:extLst>
              <c:ext xmlns:c16="http://schemas.microsoft.com/office/drawing/2014/chart" uri="{C3380CC4-5D6E-409C-BE32-E72D297353CC}">
                <c16:uniqueId val="{00000001-D365-4E1D-B991-6F3278AD6C77}"/>
              </c:ext>
            </c:extLst>
          </c:dPt>
          <c:dPt>
            <c:idx val="13"/>
            <c:invertIfNegative val="0"/>
            <c:bubble3D val="0"/>
            <c:spPr>
              <a:solidFill>
                <a:srgbClr val="89D6FD"/>
              </a:solidFill>
              <a:ln w="25400">
                <a:noFill/>
              </a:ln>
              <a:effectLst/>
            </c:spPr>
            <c:extLst>
              <c:ext xmlns:c16="http://schemas.microsoft.com/office/drawing/2014/chart" uri="{C3380CC4-5D6E-409C-BE32-E72D297353CC}">
                <c16:uniqueId val="{00000003-D365-4E1D-B991-6F3278AD6C77}"/>
              </c:ext>
            </c:extLst>
          </c:dPt>
          <c:dPt>
            <c:idx val="28"/>
            <c:invertIfNegative val="0"/>
            <c:bubble3D val="0"/>
            <c:spPr>
              <a:solidFill>
                <a:srgbClr val="FF6200"/>
              </a:solidFill>
              <a:ln w="25400">
                <a:noFill/>
              </a:ln>
              <a:effectLst/>
            </c:spPr>
            <c:extLst>
              <c:ext xmlns:c16="http://schemas.microsoft.com/office/drawing/2014/chart" uri="{C3380CC4-5D6E-409C-BE32-E72D297353CC}">
                <c16:uniqueId val="{00000005-D365-4E1D-B991-6F3278AD6C77}"/>
              </c:ext>
            </c:extLst>
          </c:dPt>
          <c:dLbls>
            <c:dLbl>
              <c:idx val="1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65-4E1D-B991-6F3278AD6C77}"/>
                </c:ext>
              </c:extLst>
            </c:dLbl>
            <c:dLbl>
              <c:idx val="1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365-4E1D-B991-6F3278AD6C77}"/>
                </c:ext>
              </c:extLst>
            </c:dLbl>
            <c:dLbl>
              <c:idx val="2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365-4E1D-B991-6F3278AD6C77}"/>
                </c:ext>
              </c:extLst>
            </c:dLbl>
            <c:spPr>
              <a:noFill/>
              <a:ln>
                <a:noFill/>
              </a:ln>
              <a:effectLst/>
            </c:spPr>
            <c:txPr>
              <a:bodyPr rot="0" spcFirstLastPara="1" vertOverflow="ellipsis" vert="horz" wrap="square" lIns="38100" tIns="19050" rIns="38100" bIns="19050" anchor="ctr" anchorCtr="1">
                <a:spAutoFit/>
              </a:bodyPr>
              <a:lstStyle/>
              <a:p>
                <a:pPr>
                  <a:defRPr sz="750" b="0" i="0" u="none" strike="noStrike" kern="1200" baseline="0">
                    <a:solidFill>
                      <a:srgbClr val="000000"/>
                    </a:solidFill>
                    <a:latin typeface="ING Me" panose="02000506040000020004" pitchFamily="2" charset="0"/>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'AI usage'!$A$12:$A$40</c:f>
              <c:strCache>
                <c:ptCount val="29"/>
                <c:pt idx="0">
                  <c:v>Denmark</c:v>
                </c:pt>
                <c:pt idx="1">
                  <c:v>Sweden</c:v>
                </c:pt>
                <c:pt idx="2">
                  <c:v>Belgium</c:v>
                </c:pt>
                <c:pt idx="3">
                  <c:v>Finland</c:v>
                </c:pt>
                <c:pt idx="4">
                  <c:v>Luxembourg</c:v>
                </c:pt>
                <c:pt idx="5">
                  <c:v>Netherlands</c:v>
                </c:pt>
                <c:pt idx="6">
                  <c:v>Slovenia</c:v>
                </c:pt>
                <c:pt idx="7">
                  <c:v>Austria</c:v>
                </c:pt>
                <c:pt idx="8">
                  <c:v>Germany</c:v>
                </c:pt>
                <c:pt idx="9">
                  <c:v>Malta</c:v>
                </c:pt>
                <c:pt idx="10">
                  <c:v>Ireland</c:v>
                </c:pt>
                <c:pt idx="11">
                  <c:v>Eurozone</c:v>
                </c:pt>
                <c:pt idx="12">
                  <c:v>Estonia</c:v>
                </c:pt>
                <c:pt idx="13">
                  <c:v>EU27</c:v>
                </c:pt>
                <c:pt idx="14">
                  <c:v>Croatia</c:v>
                </c:pt>
                <c:pt idx="15">
                  <c:v>Spain</c:v>
                </c:pt>
                <c:pt idx="16">
                  <c:v>Czechia</c:v>
                </c:pt>
                <c:pt idx="17">
                  <c:v>Slovakia</c:v>
                </c:pt>
                <c:pt idx="18">
                  <c:v>France</c:v>
                </c:pt>
                <c:pt idx="19">
                  <c:v>Greece</c:v>
                </c:pt>
                <c:pt idx="20">
                  <c:v>Latvia</c:v>
                </c:pt>
                <c:pt idx="21">
                  <c:v>Lithuania</c:v>
                </c:pt>
                <c:pt idx="22">
                  <c:v>Portugal</c:v>
                </c:pt>
                <c:pt idx="23">
                  <c:v>Italy</c:v>
                </c:pt>
                <c:pt idx="24">
                  <c:v>Cyprus</c:v>
                </c:pt>
                <c:pt idx="25">
                  <c:v>Hungary</c:v>
                </c:pt>
                <c:pt idx="26">
                  <c:v>Bulgaria</c:v>
                </c:pt>
                <c:pt idx="27">
                  <c:v>Poland</c:v>
                </c:pt>
                <c:pt idx="28">
                  <c:v>Romania</c:v>
                </c:pt>
              </c:strCache>
            </c:strRef>
          </c:cat>
          <c:val>
            <c:numRef>
              <c:f>'AI usage'!$B$12:$B$40</c:f>
              <c:numCache>
                <c:formatCode>#,##0.0</c:formatCode>
                <c:ptCount val="29"/>
                <c:pt idx="0">
                  <c:v>27.58</c:v>
                </c:pt>
                <c:pt idx="1">
                  <c:v>25.09</c:v>
                </c:pt>
                <c:pt idx="2">
                  <c:v>24.71</c:v>
                </c:pt>
                <c:pt idx="3">
                  <c:v>24.37</c:v>
                </c:pt>
                <c:pt idx="4">
                  <c:v>23.73</c:v>
                </c:pt>
                <c:pt idx="5">
                  <c:v>23.06</c:v>
                </c:pt>
                <c:pt idx="6">
                  <c:v>20.89</c:v>
                </c:pt>
                <c:pt idx="7">
                  <c:v>20.27</c:v>
                </c:pt>
                <c:pt idx="8">
                  <c:v>19.75</c:v>
                </c:pt>
                <c:pt idx="9">
                  <c:v>17.3</c:v>
                </c:pt>
                <c:pt idx="10">
                  <c:v>14.9</c:v>
                </c:pt>
                <c:pt idx="11">
                  <c:v>14.39</c:v>
                </c:pt>
                <c:pt idx="12">
                  <c:v>13.89</c:v>
                </c:pt>
                <c:pt idx="13">
                  <c:v>13.48</c:v>
                </c:pt>
                <c:pt idx="14">
                  <c:v>11.76</c:v>
                </c:pt>
                <c:pt idx="15">
                  <c:v>11.31</c:v>
                </c:pt>
                <c:pt idx="16">
                  <c:v>11.26</c:v>
                </c:pt>
                <c:pt idx="17">
                  <c:v>10.78</c:v>
                </c:pt>
                <c:pt idx="18">
                  <c:v>9.91</c:v>
                </c:pt>
                <c:pt idx="19">
                  <c:v>9.81</c:v>
                </c:pt>
                <c:pt idx="20">
                  <c:v>8.83</c:v>
                </c:pt>
                <c:pt idx="21">
                  <c:v>8.76</c:v>
                </c:pt>
                <c:pt idx="22">
                  <c:v>8.6300000000000008</c:v>
                </c:pt>
                <c:pt idx="23">
                  <c:v>8.1999999999999993</c:v>
                </c:pt>
                <c:pt idx="24">
                  <c:v>7.9</c:v>
                </c:pt>
                <c:pt idx="25">
                  <c:v>7.41</c:v>
                </c:pt>
                <c:pt idx="26">
                  <c:v>6.47</c:v>
                </c:pt>
                <c:pt idx="27">
                  <c:v>5.9</c:v>
                </c:pt>
                <c:pt idx="28">
                  <c:v>3.07</c:v>
                </c:pt>
              </c:numCache>
            </c:numRef>
          </c:val>
          <c:extLst>
            <c:ext xmlns:c16="http://schemas.microsoft.com/office/drawing/2014/chart" uri="{C3380CC4-5D6E-409C-BE32-E72D297353CC}">
              <c16:uniqueId val="{00000006-D365-4E1D-B991-6F3278AD6C77}"/>
            </c:ext>
          </c:extLst>
        </c:ser>
        <c:dLbls>
          <c:showLegendKey val="0"/>
          <c:showVal val="0"/>
          <c:showCatName val="0"/>
          <c:showSerName val="0"/>
          <c:showPercent val="0"/>
          <c:showBubbleSize val="0"/>
        </c:dLbls>
        <c:gapWidth val="80"/>
        <c:overlap val="4"/>
        <c:axId val="1237349536"/>
        <c:axId val="1266600464"/>
      </c:barChart>
      <c:catAx>
        <c:axId val="1237349536"/>
        <c:scaling>
          <c:orientation val="minMax"/>
        </c:scaling>
        <c:delete val="0"/>
        <c:axPos val="b"/>
        <c:numFmt formatCode="General" sourceLinked="1"/>
        <c:majorTickMark val="out"/>
        <c:minorTickMark val="none"/>
        <c:tickLblPos val="low"/>
        <c:spPr>
          <a:noFill/>
          <a:ln w="3175" cap="flat" cmpd="sng" algn="ctr">
            <a:solidFill>
              <a:srgbClr val="767676"/>
            </a:solidFill>
            <a:round/>
          </a:ln>
          <a:effectLst/>
        </c:spPr>
        <c:txPr>
          <a:bodyPr rot="-60000000" spcFirstLastPara="1" vertOverflow="ellipsis" vert="horz" wrap="square" anchor="ctr" anchorCtr="1"/>
          <a:lstStyle/>
          <a:p>
            <a:pPr>
              <a:defRPr sz="750" b="0" i="0" u="none" strike="noStrike" kern="1200" baseline="0">
                <a:solidFill>
                  <a:srgbClr val="000000"/>
                </a:solidFill>
                <a:latin typeface="ING Me" panose="02000506040000020004" pitchFamily="2" charset="0"/>
                <a:ea typeface="+mn-ea"/>
                <a:cs typeface="+mn-cs"/>
              </a:defRPr>
            </a:pPr>
            <a:endParaRPr lang="en-US"/>
          </a:p>
        </c:txPr>
        <c:crossAx val="1266600464"/>
        <c:crosses val="autoZero"/>
        <c:auto val="1"/>
        <c:lblAlgn val="ctr"/>
        <c:lblOffset val="100"/>
        <c:noMultiLvlLbl val="0"/>
      </c:catAx>
      <c:valAx>
        <c:axId val="1266600464"/>
        <c:scaling>
          <c:orientation val="minMax"/>
        </c:scaling>
        <c:delete val="0"/>
        <c:axPos val="l"/>
        <c:numFmt formatCode="#,##0.0" sourceLinked="1"/>
        <c:majorTickMark val="out"/>
        <c:minorTickMark val="none"/>
        <c:tickLblPos val="nextTo"/>
        <c:spPr>
          <a:noFill/>
          <a:ln w="25400">
            <a:noFill/>
          </a:ln>
          <a:effectLst/>
        </c:spPr>
        <c:txPr>
          <a:bodyPr rot="-60000000" spcFirstLastPara="1" vertOverflow="ellipsis" vert="horz" wrap="square" anchor="ctr" anchorCtr="1"/>
          <a:lstStyle/>
          <a:p>
            <a:pPr>
              <a:defRPr sz="750" b="0" i="0" u="none" strike="noStrike" kern="1200" baseline="0">
                <a:solidFill>
                  <a:srgbClr val="000000"/>
                </a:solidFill>
                <a:latin typeface="ING Me" panose="02000506040000020004" pitchFamily="2" charset="0"/>
                <a:ea typeface="+mn-ea"/>
                <a:cs typeface="+mn-cs"/>
              </a:defRPr>
            </a:pPr>
            <a:endParaRPr lang="en-US"/>
          </a:p>
        </c:txPr>
        <c:crossAx val="12373495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25400" cap="flat" cmpd="sng" algn="ctr">
      <a:noFill/>
      <a:round/>
    </a:ln>
    <a:effectLst/>
  </c:spPr>
  <c:txPr>
    <a:bodyPr/>
    <a:lstStyle/>
    <a:p>
      <a:pPr>
        <a:defRPr sz="750" b="0" i="0">
          <a:solidFill>
            <a:srgbClr val="000000"/>
          </a:solidFill>
          <a:latin typeface="ING Me" panose="02000506040000020004" pitchFamily="2"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t>Average farm size (family-farm)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'Figure 4'!$E$41</c:f>
              <c:strCache>
                <c:ptCount val="1"/>
                <c:pt idx="0">
                  <c:v>Average farm size (hectares, family farm)</c:v>
                </c:pt>
              </c:strCache>
            </c:strRef>
          </c:tx>
          <c:spPr>
            <a:solidFill>
              <a:srgbClr val="A8A8A8"/>
            </a:solidFill>
            <a:ln>
              <a:noFill/>
            </a:ln>
            <a:effectLst/>
          </c:spPr>
          <c:invertIfNegative val="0"/>
          <c:dPt>
            <c:idx val="22"/>
            <c:invertIfNegative val="0"/>
            <c:bubble3D val="0"/>
            <c:spPr>
              <a:solidFill>
                <a:srgbClr val="FF6200"/>
              </a:solidFill>
              <a:ln>
                <a:noFill/>
              </a:ln>
              <a:effectLst/>
            </c:spPr>
            <c:extLst>
              <c:ext xmlns:c16="http://schemas.microsoft.com/office/drawing/2014/chart" uri="{C3380CC4-5D6E-409C-BE32-E72D297353CC}">
                <c16:uniqueId val="{00000001-B71B-4338-9590-C7E3C783D27C}"/>
              </c:ext>
            </c:extLst>
          </c:dPt>
          <c:dLbls>
            <c:dLbl>
              <c:idx val="2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1B-4338-9590-C7E3C783D27C}"/>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4'!$D$42:$D$65</c:f>
              <c:strCache>
                <c:ptCount val="24"/>
                <c:pt idx="0">
                  <c:v>Luxembourg</c:v>
                </c:pt>
                <c:pt idx="1">
                  <c:v>Denmark</c:v>
                </c:pt>
                <c:pt idx="2">
                  <c:v>Finland</c:v>
                </c:pt>
                <c:pt idx="3">
                  <c:v>Germany</c:v>
                </c:pt>
                <c:pt idx="4">
                  <c:v>Sweden</c:v>
                </c:pt>
                <c:pt idx="5">
                  <c:v>France</c:v>
                </c:pt>
                <c:pt idx="6">
                  <c:v>Belgium</c:v>
                </c:pt>
                <c:pt idx="7">
                  <c:v>Czechia</c:v>
                </c:pt>
                <c:pt idx="8">
                  <c:v>Netherlands</c:v>
                </c:pt>
                <c:pt idx="9">
                  <c:v>Estonia</c:v>
                </c:pt>
                <c:pt idx="10">
                  <c:v>Ireland</c:v>
                </c:pt>
                <c:pt idx="11">
                  <c:v>Austria</c:v>
                </c:pt>
                <c:pt idx="12">
                  <c:v>Latvia</c:v>
                </c:pt>
                <c:pt idx="13">
                  <c:v>Slovakia</c:v>
                </c:pt>
                <c:pt idx="14">
                  <c:v>Bulgaria</c:v>
                </c:pt>
                <c:pt idx="15">
                  <c:v>Hungary</c:v>
                </c:pt>
                <c:pt idx="16">
                  <c:v>Poland</c:v>
                </c:pt>
                <c:pt idx="17">
                  <c:v>Italy</c:v>
                </c:pt>
                <c:pt idx="18">
                  <c:v>Portugal</c:v>
                </c:pt>
                <c:pt idx="19">
                  <c:v>Croatia</c:v>
                </c:pt>
                <c:pt idx="20">
                  <c:v>Greece</c:v>
                </c:pt>
                <c:pt idx="21">
                  <c:v>Cyprus</c:v>
                </c:pt>
                <c:pt idx="22">
                  <c:v>Romania</c:v>
                </c:pt>
                <c:pt idx="23">
                  <c:v>Malta</c:v>
                </c:pt>
              </c:strCache>
            </c:strRef>
          </c:cat>
          <c:val>
            <c:numRef>
              <c:f>'Figure 4'!$E$42:$E$65</c:f>
              <c:numCache>
                <c:formatCode>0</c:formatCode>
                <c:ptCount val="24"/>
                <c:pt idx="0">
                  <c:v>66.832581568402972</c:v>
                </c:pt>
                <c:pt idx="1">
                  <c:v>53.910222378138904</c:v>
                </c:pt>
                <c:pt idx="2">
                  <c:v>46.999841328730461</c:v>
                </c:pt>
                <c:pt idx="3">
                  <c:v>42.282145334724575</c:v>
                </c:pt>
                <c:pt idx="4">
                  <c:v>40.314915772740044</c:v>
                </c:pt>
                <c:pt idx="5">
                  <c:v>38.8832382882999</c:v>
                </c:pt>
                <c:pt idx="6">
                  <c:v>37.459111420707472</c:v>
                </c:pt>
                <c:pt idx="7">
                  <c:v>36.585552566225189</c:v>
                </c:pt>
                <c:pt idx="8">
                  <c:v>34.745911980440155</c:v>
                </c:pt>
                <c:pt idx="9">
                  <c:v>34.067588136865652</c:v>
                </c:pt>
                <c:pt idx="10">
                  <c:v>32.441221779697003</c:v>
                </c:pt>
                <c:pt idx="11">
                  <c:v>22.591715912264483</c:v>
                </c:pt>
                <c:pt idx="12">
                  <c:v>20.58376699518281</c:v>
                </c:pt>
                <c:pt idx="13">
                  <c:v>18.783139933308167</c:v>
                </c:pt>
                <c:pt idx="14">
                  <c:v>13.218267253407758</c:v>
                </c:pt>
                <c:pt idx="15">
                  <c:v>12.199200326717529</c:v>
                </c:pt>
                <c:pt idx="16">
                  <c:v>10.109278974725687</c:v>
                </c:pt>
                <c:pt idx="17">
                  <c:v>9.7494962338187072</c:v>
                </c:pt>
                <c:pt idx="18">
                  <c:v>7.4511174744818112</c:v>
                </c:pt>
                <c:pt idx="19">
                  <c:v>6.6942854790623532</c:v>
                </c:pt>
                <c:pt idx="20">
                  <c:v>5.2611774679318355</c:v>
                </c:pt>
                <c:pt idx="21">
                  <c:v>3.0506169157257235</c:v>
                </c:pt>
                <c:pt idx="22">
                  <c:v>2.7312629823508394</c:v>
                </c:pt>
                <c:pt idx="23">
                  <c:v>1.2607188251001333</c:v>
                </c:pt>
              </c:numCache>
            </c:numRef>
          </c:val>
          <c:extLst>
            <c:ext xmlns:c16="http://schemas.microsoft.com/office/drawing/2014/chart" uri="{C3380CC4-5D6E-409C-BE32-E72D297353CC}">
              <c16:uniqueId val="{00000002-B71B-4338-9590-C7E3C783D27C}"/>
            </c:ext>
          </c:extLst>
        </c:ser>
        <c:dLbls>
          <c:showLegendKey val="0"/>
          <c:showVal val="0"/>
          <c:showCatName val="0"/>
          <c:showSerName val="0"/>
          <c:showPercent val="0"/>
          <c:showBubbleSize val="0"/>
        </c:dLbls>
        <c:gapWidth val="219"/>
        <c:overlap val="-27"/>
        <c:axId val="1615026735"/>
        <c:axId val="1615021455"/>
      </c:barChart>
      <c:catAx>
        <c:axId val="1615026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615021455"/>
        <c:crosses val="autoZero"/>
        <c:auto val="1"/>
        <c:lblAlgn val="ctr"/>
        <c:lblOffset val="100"/>
        <c:noMultiLvlLbl val="0"/>
      </c:catAx>
      <c:valAx>
        <c:axId val="161502145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502673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t>Average farm size (hectares, non-family farm)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'Figure 4'!$C$71</c:f>
              <c:strCache>
                <c:ptCount val="1"/>
                <c:pt idx="0">
                  <c:v>Average farm size (hectares, non-family farm)</c:v>
                </c:pt>
              </c:strCache>
            </c:strRef>
          </c:tx>
          <c:spPr>
            <a:solidFill>
              <a:srgbClr val="A8A8A8"/>
            </a:solidFill>
            <a:ln>
              <a:noFill/>
            </a:ln>
            <a:effectLst/>
          </c:spPr>
          <c:invertIfNegative val="0"/>
          <c:dPt>
            <c:idx val="4"/>
            <c:invertIfNegative val="0"/>
            <c:bubble3D val="0"/>
            <c:spPr>
              <a:solidFill>
                <a:srgbClr val="FF6200"/>
              </a:solidFill>
              <a:ln>
                <a:noFill/>
              </a:ln>
              <a:effectLst/>
            </c:spPr>
            <c:extLst>
              <c:ext xmlns:c16="http://schemas.microsoft.com/office/drawing/2014/chart" uri="{C3380CC4-5D6E-409C-BE32-E72D297353CC}">
                <c16:uniqueId val="{00000001-AF66-49C9-8CE3-18D30AAA454E}"/>
              </c:ext>
            </c:extLst>
          </c:dPt>
          <c:dLbls>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66-49C9-8CE3-18D30AAA454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4'!$B$72:$B$95</c:f>
              <c:strCache>
                <c:ptCount val="24"/>
                <c:pt idx="0">
                  <c:v>Czechia</c:v>
                </c:pt>
                <c:pt idx="1">
                  <c:v>Slovakia</c:v>
                </c:pt>
                <c:pt idx="2">
                  <c:v>Bulgaria</c:v>
                </c:pt>
                <c:pt idx="3">
                  <c:v>Latvia</c:v>
                </c:pt>
                <c:pt idx="4">
                  <c:v>Romania</c:v>
                </c:pt>
                <c:pt idx="5">
                  <c:v>Denmark</c:v>
                </c:pt>
                <c:pt idx="6">
                  <c:v>Hungary</c:v>
                </c:pt>
                <c:pt idx="7">
                  <c:v>Estonia</c:v>
                </c:pt>
                <c:pt idx="8">
                  <c:v>Germany</c:v>
                </c:pt>
                <c:pt idx="9">
                  <c:v>Sweden</c:v>
                </c:pt>
                <c:pt idx="10">
                  <c:v>Poland</c:v>
                </c:pt>
                <c:pt idx="11">
                  <c:v>Luxembourg</c:v>
                </c:pt>
                <c:pt idx="12">
                  <c:v>France</c:v>
                </c:pt>
                <c:pt idx="13">
                  <c:v>Portugal</c:v>
                </c:pt>
                <c:pt idx="14">
                  <c:v>Finland</c:v>
                </c:pt>
                <c:pt idx="15">
                  <c:v>Croatia</c:v>
                </c:pt>
                <c:pt idx="16">
                  <c:v>Ireland</c:v>
                </c:pt>
                <c:pt idx="17">
                  <c:v>Austria</c:v>
                </c:pt>
                <c:pt idx="18">
                  <c:v>Belgium</c:v>
                </c:pt>
                <c:pt idx="19">
                  <c:v>Italy</c:v>
                </c:pt>
                <c:pt idx="20">
                  <c:v>Netherlands</c:v>
                </c:pt>
                <c:pt idx="21">
                  <c:v>Cyprus</c:v>
                </c:pt>
                <c:pt idx="22">
                  <c:v>Greece</c:v>
                </c:pt>
                <c:pt idx="23">
                  <c:v>Malta</c:v>
                </c:pt>
              </c:strCache>
            </c:strRef>
          </c:cat>
          <c:val>
            <c:numRef>
              <c:f>'Figure 4'!$C$72:$C$95</c:f>
              <c:numCache>
                <c:formatCode>0</c:formatCode>
                <c:ptCount val="24"/>
                <c:pt idx="0">
                  <c:v>549.30775321120245</c:v>
                </c:pt>
                <c:pt idx="1">
                  <c:v>418.4361949705725</c:v>
                </c:pt>
                <c:pt idx="2">
                  <c:v>254.98172334566729</c:v>
                </c:pt>
                <c:pt idx="3">
                  <c:v>221.57791904256527</c:v>
                </c:pt>
                <c:pt idx="4">
                  <c:v>193.36244274212487</c:v>
                </c:pt>
                <c:pt idx="5">
                  <c:v>191.2162069904181</c:v>
                </c:pt>
                <c:pt idx="6">
                  <c:v>188.35857438511496</c:v>
                </c:pt>
                <c:pt idx="7">
                  <c:v>183.77027596966431</c:v>
                </c:pt>
                <c:pt idx="8">
                  <c:v>166.87816285337718</c:v>
                </c:pt>
                <c:pt idx="9">
                  <c:v>127.70998007979281</c:v>
                </c:pt>
                <c:pt idx="10">
                  <c:v>120.52803592482135</c:v>
                </c:pt>
                <c:pt idx="11">
                  <c:v>114.77559701492537</c:v>
                </c:pt>
                <c:pt idx="12">
                  <c:v>111.16825945667019</c:v>
                </c:pt>
                <c:pt idx="13">
                  <c:v>97.829111980734552</c:v>
                </c:pt>
                <c:pt idx="14">
                  <c:v>69.614422823870029</c:v>
                </c:pt>
                <c:pt idx="15">
                  <c:v>63.486722182203401</c:v>
                </c:pt>
                <c:pt idx="16">
                  <c:v>61.416001197425174</c:v>
                </c:pt>
                <c:pt idx="17">
                  <c:v>40.728340852994556</c:v>
                </c:pt>
                <c:pt idx="18">
                  <c:v>40.465575239835516</c:v>
                </c:pt>
                <c:pt idx="19">
                  <c:v>37.710414551839612</c:v>
                </c:pt>
                <c:pt idx="20">
                  <c:v>32.754875133785234</c:v>
                </c:pt>
                <c:pt idx="21">
                  <c:v>28.512842724978977</c:v>
                </c:pt>
                <c:pt idx="22">
                  <c:v>12.374098371892716</c:v>
                </c:pt>
                <c:pt idx="23">
                  <c:v>2.26001875</c:v>
                </c:pt>
              </c:numCache>
            </c:numRef>
          </c:val>
          <c:extLst>
            <c:ext xmlns:c16="http://schemas.microsoft.com/office/drawing/2014/chart" uri="{C3380CC4-5D6E-409C-BE32-E72D297353CC}">
              <c16:uniqueId val="{00000002-AF66-49C9-8CE3-18D30AAA454E}"/>
            </c:ext>
          </c:extLst>
        </c:ser>
        <c:dLbls>
          <c:showLegendKey val="0"/>
          <c:showVal val="0"/>
          <c:showCatName val="0"/>
          <c:showSerName val="0"/>
          <c:showPercent val="0"/>
          <c:showBubbleSize val="0"/>
        </c:dLbls>
        <c:gapWidth val="219"/>
        <c:overlap val="-27"/>
        <c:axId val="238541391"/>
        <c:axId val="238541871"/>
      </c:barChart>
      <c:catAx>
        <c:axId val="238541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238541871"/>
        <c:crosses val="autoZero"/>
        <c:auto val="1"/>
        <c:lblAlgn val="ctr"/>
        <c:lblOffset val="100"/>
        <c:noMultiLvlLbl val="0"/>
      </c:catAx>
      <c:valAx>
        <c:axId val="23854187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54139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14F73DC281A4B99508E5A7B23862B" ma:contentTypeVersion="15" ma:contentTypeDescription="Create a new document." ma:contentTypeScope="" ma:versionID="9ea788d94b8159e4ffdeab85d3b8f1c2">
  <xsd:schema xmlns:xsd="http://www.w3.org/2001/XMLSchema" xmlns:xs="http://www.w3.org/2001/XMLSchema" xmlns:p="http://schemas.microsoft.com/office/2006/metadata/properties" xmlns:ns2="811cc77d-6220-4197-bd75-ee08dec2fdcc" xmlns:ns3="a1532d25-7ea0-4c7e-88fd-0715fb6b4cb9" targetNamespace="http://schemas.microsoft.com/office/2006/metadata/properties" ma:root="true" ma:fieldsID="88cb363092e1f1fcfe8da1d98843eebe" ns2:_="" ns3:_="">
    <xsd:import namespace="811cc77d-6220-4197-bd75-ee08dec2fdcc"/>
    <xsd:import namespace="a1532d25-7ea0-4c7e-88fd-0715fb6b4c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cc77d-6220-4197-bd75-ee08dec2f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1dba96-c252-421a-8d24-58690b45a7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32d25-7ea0-4c7e-88fd-0715fb6b4c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77fed9-2e27-4672-b28b-c4c913b2d175}" ma:internalName="TaxCatchAll" ma:showField="CatchAllData" ma:web="a1532d25-7ea0-4c7e-88fd-0715fb6b4cb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1cc77d-6220-4197-bd75-ee08dec2fdcc">
      <Terms xmlns="http://schemas.microsoft.com/office/infopath/2007/PartnerControls"/>
    </lcf76f155ced4ddcb4097134ff3c332f>
    <TaxCatchAll xmlns="a1532d25-7ea0-4c7e-88fd-0715fb6b4c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5426FF-B15B-4479-8E65-65D52B23C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cc77d-6220-4197-bd75-ee08dec2fdcc"/>
    <ds:schemaRef ds:uri="a1532d25-7ea0-4c7e-88fd-0715fb6b4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23C11-F039-4218-8808-29D4B3E1013A}">
  <ds:schemaRefs>
    <ds:schemaRef ds:uri="http://schemas.microsoft.com/office/2006/metadata/properties"/>
    <ds:schemaRef ds:uri="http://schemas.microsoft.com/office/infopath/2007/PartnerControls"/>
    <ds:schemaRef ds:uri="811cc77d-6220-4197-bd75-ee08dec2fdcc"/>
    <ds:schemaRef ds:uri="a1532d25-7ea0-4c7e-88fd-0715fb6b4cb9"/>
  </ds:schemaRefs>
</ds:datastoreItem>
</file>

<file path=customXml/itemProps3.xml><?xml version="1.0" encoding="utf-8"?>
<ds:datastoreItem xmlns:ds="http://schemas.openxmlformats.org/officeDocument/2006/customXml" ds:itemID="{2C3227FF-E6C4-4B9F-8BCC-63BB34D163C1}">
  <ds:schemaRefs>
    <ds:schemaRef ds:uri="http://schemas.microsoft.com/sharepoint/v3/contenttype/forms"/>
  </ds:schemaRefs>
</ds:datastoreItem>
</file>

<file path=docMetadata/LabelInfo.xml><?xml version="1.0" encoding="utf-8"?>
<clbl:labelList xmlns:clbl="http://schemas.microsoft.com/office/2020/mipLabelMetadata">
  <clbl:label id="{587b6ea1-3db9-4fe1-a9d7-85d4c64ce5cc}" enabled="0" method="" siteId="{587b6ea1-3db9-4fe1-a9d7-85d4c64ce5cc}" removed="1"/>
</clbl:labelList>
</file>

<file path=docProps/app.xml><?xml version="1.0" encoding="utf-8"?>
<Properties xmlns="http://schemas.openxmlformats.org/officeDocument/2006/extended-properties" xmlns:vt="http://schemas.openxmlformats.org/officeDocument/2006/docPropsVTypes">
  <Template>Normal</Template>
  <TotalTime>335</TotalTime>
  <Pages>1</Pages>
  <Words>4033</Words>
  <Characters>22993</Characters>
  <Application>Microsoft Office Word</Application>
  <DocSecurity>0</DocSecurity>
  <Lines>343</Lines>
  <Paragraphs>95</Paragraphs>
  <ScaleCrop>false</ScaleCrop>
  <Company/>
  <LinksUpToDate>false</LinksUpToDate>
  <CharactersWithSpaces>26931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Tataru, V.C. (Valentin Catalin)</dc:creator>
  <cp:keywords/>
  <dc:description/>
  <cp:lastModifiedBy>Tataru, V.C. (Valentin Catalin)</cp:lastModifiedBy>
  <cp:revision>283</cp:revision>
  <dcterms:created xsi:type="dcterms:W3CDTF">2025-12-09T08:58:00Z</dcterms:created>
  <dcterms:modified xsi:type="dcterms:W3CDTF">2025-12-19T07:51:00Z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0x010100D8214F73DC281A4B99508E5A7B23862B</vt:lpwstr>
  </property>
  <property fmtid="{D5CDD505-2E9C-101B-9397-08002B2CF9AE}" pid="3" name="MediaServiceImageTags">
    <vt:lpwstr/>
  </property>
  <property fmtid="{D5CDD505-2E9C-101B-9397-08002B2CF9AE}" pid="4" name="docLang">
    <vt:lpwstr>ro</vt:lpwstr>
  </property>
</Properties>
</file>