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03A5" w14:textId="4FAA3F7C" w:rsidR="008C5B9E" w:rsidRPr="00443D59" w:rsidRDefault="00443D59" w:rsidP="00443D59">
      <w:pPr>
        <w:jc w:val="left"/>
        <w:rPr>
          <w:rFonts w:ascii="Times New Roman" w:hAnsi="Times New Roman" w:cs="Times New Roman"/>
          <w:b/>
          <w:bCs/>
          <w:sz w:val="28"/>
          <w:szCs w:val="28"/>
          <w:lang w:val="ro-RO"/>
        </w:rPr>
      </w:pPr>
      <w:r w:rsidRPr="00443D59">
        <w:rPr>
          <w:rFonts w:ascii="Times New Roman" w:hAnsi="Times New Roman" w:cs="Times New Roman"/>
          <w:b/>
          <w:bCs/>
          <w:sz w:val="28"/>
          <w:szCs w:val="28"/>
        </w:rPr>
        <w:t>Leonardo Badea, Prim-viceguvernator BNR:</w:t>
      </w:r>
      <w:r w:rsidRPr="00443D59">
        <w:rPr>
          <w:rFonts w:ascii="Times New Roman" w:hAnsi="Times New Roman" w:cs="Times New Roman"/>
          <w:b/>
          <w:bCs/>
          <w:sz w:val="28"/>
          <w:szCs w:val="28"/>
        </w:rPr>
        <w:t xml:space="preserve"> </w:t>
      </w:r>
      <w:r w:rsidR="003D64FD" w:rsidRPr="00443D59">
        <w:rPr>
          <w:rFonts w:ascii="Times New Roman" w:hAnsi="Times New Roman" w:cs="Times New Roman"/>
          <w:b/>
          <w:bCs/>
          <w:sz w:val="28"/>
          <w:szCs w:val="28"/>
          <w:lang w:val="ro-RO"/>
        </w:rPr>
        <w:t>Economia României în oglinda OCD</w:t>
      </w:r>
      <w:r w:rsidR="00EE11FB" w:rsidRPr="00443D59">
        <w:rPr>
          <w:rFonts w:ascii="Times New Roman" w:hAnsi="Times New Roman" w:cs="Times New Roman"/>
          <w:b/>
          <w:bCs/>
          <w:sz w:val="28"/>
          <w:szCs w:val="28"/>
          <w:lang w:val="ro-RO"/>
        </w:rPr>
        <w:t>E</w:t>
      </w:r>
      <w:r>
        <w:rPr>
          <w:rFonts w:ascii="Times New Roman" w:hAnsi="Times New Roman" w:cs="Times New Roman"/>
          <w:b/>
          <w:bCs/>
          <w:sz w:val="28"/>
          <w:szCs w:val="28"/>
          <w:lang w:val="ro-RO"/>
        </w:rPr>
        <w:t xml:space="preserve"> -</w:t>
      </w:r>
      <w:r w:rsidR="008C5B9E" w:rsidRPr="00443D59">
        <w:rPr>
          <w:rFonts w:ascii="Times New Roman" w:hAnsi="Times New Roman" w:cs="Times New Roman"/>
          <w:b/>
          <w:bCs/>
          <w:sz w:val="28"/>
          <w:szCs w:val="28"/>
          <w:lang w:val="ro-RO"/>
        </w:rPr>
        <w:t xml:space="preserve"> </w:t>
      </w:r>
      <w:r w:rsidR="003D64FD" w:rsidRPr="00443D59">
        <w:rPr>
          <w:rFonts w:ascii="Times New Roman" w:hAnsi="Times New Roman" w:cs="Times New Roman"/>
          <w:b/>
          <w:bCs/>
          <w:sz w:val="28"/>
          <w:szCs w:val="28"/>
          <w:lang w:val="ro-RO"/>
        </w:rPr>
        <w:t>c</w:t>
      </w:r>
      <w:r w:rsidR="008C5B9E" w:rsidRPr="00443D59">
        <w:rPr>
          <w:rFonts w:ascii="Times New Roman" w:hAnsi="Times New Roman" w:cs="Times New Roman"/>
          <w:b/>
          <w:bCs/>
          <w:sz w:val="28"/>
          <w:szCs w:val="28"/>
          <w:lang w:val="ro-RO"/>
        </w:rPr>
        <w:t xml:space="preserve">atalizatori pentru o </w:t>
      </w:r>
      <w:r w:rsidR="00FB6AEC" w:rsidRPr="00443D59">
        <w:rPr>
          <w:rFonts w:ascii="Times New Roman" w:hAnsi="Times New Roman" w:cs="Times New Roman"/>
          <w:b/>
          <w:bCs/>
          <w:sz w:val="28"/>
          <w:szCs w:val="28"/>
          <w:lang w:val="ro-RO"/>
        </w:rPr>
        <w:t>n</w:t>
      </w:r>
      <w:r w:rsidR="008C5B9E" w:rsidRPr="00443D59">
        <w:rPr>
          <w:rFonts w:ascii="Times New Roman" w:hAnsi="Times New Roman" w:cs="Times New Roman"/>
          <w:b/>
          <w:bCs/>
          <w:sz w:val="28"/>
          <w:szCs w:val="28"/>
          <w:lang w:val="ro-RO"/>
        </w:rPr>
        <w:t xml:space="preserve">ouă </w:t>
      </w:r>
      <w:r w:rsidR="00FB6AEC" w:rsidRPr="00443D59">
        <w:rPr>
          <w:rFonts w:ascii="Times New Roman" w:hAnsi="Times New Roman" w:cs="Times New Roman"/>
          <w:b/>
          <w:bCs/>
          <w:sz w:val="28"/>
          <w:szCs w:val="28"/>
          <w:lang w:val="ro-RO"/>
        </w:rPr>
        <w:t>e</w:t>
      </w:r>
      <w:r w:rsidR="008C5B9E" w:rsidRPr="00443D59">
        <w:rPr>
          <w:rFonts w:ascii="Times New Roman" w:hAnsi="Times New Roman" w:cs="Times New Roman"/>
          <w:b/>
          <w:bCs/>
          <w:sz w:val="28"/>
          <w:szCs w:val="28"/>
          <w:lang w:val="ro-RO"/>
        </w:rPr>
        <w:t xml:space="preserve">tapă de </w:t>
      </w:r>
      <w:r w:rsidR="00FB6AEC" w:rsidRPr="00443D59">
        <w:rPr>
          <w:rFonts w:ascii="Times New Roman" w:hAnsi="Times New Roman" w:cs="Times New Roman"/>
          <w:b/>
          <w:bCs/>
          <w:sz w:val="28"/>
          <w:szCs w:val="28"/>
          <w:lang w:val="ro-RO"/>
        </w:rPr>
        <w:t>d</w:t>
      </w:r>
      <w:r w:rsidR="008C5B9E" w:rsidRPr="00443D59">
        <w:rPr>
          <w:rFonts w:ascii="Times New Roman" w:hAnsi="Times New Roman" w:cs="Times New Roman"/>
          <w:b/>
          <w:bCs/>
          <w:sz w:val="28"/>
          <w:szCs w:val="28"/>
          <w:lang w:val="ro-RO"/>
        </w:rPr>
        <w:t>ezvoltare</w:t>
      </w:r>
    </w:p>
    <w:p w14:paraId="2962A60B" w14:textId="77777777" w:rsidR="003D64FD" w:rsidRDefault="003D64FD" w:rsidP="003D64FD">
      <w:pPr>
        <w:rPr>
          <w:lang w:val="ro-RO"/>
        </w:rPr>
      </w:pPr>
    </w:p>
    <w:p w14:paraId="4B7092F2" w14:textId="0DF07E21" w:rsidR="003D64FD" w:rsidRPr="00443D59" w:rsidRDefault="003D64FD" w:rsidP="003D64FD">
      <w:pPr>
        <w:rPr>
          <w:rFonts w:ascii="Times New Roman" w:hAnsi="Times New Roman" w:cs="Times New Roman"/>
          <w:b/>
          <w:bCs/>
          <w:lang w:val="ro-RO"/>
        </w:rPr>
      </w:pPr>
      <w:r w:rsidRPr="00443D59">
        <w:rPr>
          <w:rFonts w:ascii="Times New Roman" w:hAnsi="Times New Roman" w:cs="Times New Roman"/>
          <w:b/>
          <w:bCs/>
          <w:lang w:val="ro-RO"/>
        </w:rPr>
        <w:t>Aderarea la o organizație percepută drept un „</w:t>
      </w:r>
      <w:r w:rsidRPr="00443D59">
        <w:rPr>
          <w:rFonts w:ascii="Times New Roman" w:hAnsi="Times New Roman" w:cs="Times New Roman"/>
          <w:b/>
          <w:bCs/>
          <w:i/>
          <w:iCs/>
          <w:lang w:val="ro-RO"/>
        </w:rPr>
        <w:t>club al economiilor dezvoltate</w:t>
      </w:r>
      <w:r w:rsidRPr="00443D59">
        <w:rPr>
          <w:rFonts w:ascii="Times New Roman" w:hAnsi="Times New Roman" w:cs="Times New Roman"/>
          <w:b/>
          <w:bCs/>
          <w:lang w:val="ro-RO"/>
        </w:rPr>
        <w:t>” transmite un semnal puternic privind angajamentul unei țări față de standarde ridicate în domenii precum guvernanța corporativă, combaterea corupției</w:t>
      </w:r>
      <w:r w:rsidR="001A0E66" w:rsidRPr="00443D59">
        <w:rPr>
          <w:rFonts w:ascii="Times New Roman" w:hAnsi="Times New Roman" w:cs="Times New Roman"/>
          <w:b/>
          <w:bCs/>
          <w:lang w:val="ro-RO"/>
        </w:rPr>
        <w:t>, stimularea concurenței, facilitarea comerțului</w:t>
      </w:r>
      <w:r w:rsidRPr="00443D59">
        <w:rPr>
          <w:rFonts w:ascii="Times New Roman" w:hAnsi="Times New Roman" w:cs="Times New Roman"/>
          <w:b/>
          <w:bCs/>
          <w:lang w:val="ro-RO"/>
        </w:rPr>
        <w:t xml:space="preserve"> și reglementarea investițiilor. Acest lucru contribuie la consolidarea încrederii investitorilor și poate reduce costul capitalului pentru economie.</w:t>
      </w:r>
    </w:p>
    <w:p w14:paraId="784CC0C4" w14:textId="49DC7B5A" w:rsidR="001A0E66" w:rsidRPr="00443D59" w:rsidRDefault="003D64FD" w:rsidP="003D64FD">
      <w:pPr>
        <w:rPr>
          <w:rFonts w:ascii="Times New Roman" w:hAnsi="Times New Roman" w:cs="Times New Roman"/>
          <w:lang w:val="ro-RO"/>
        </w:rPr>
      </w:pPr>
      <w:r w:rsidRPr="00443D59">
        <w:rPr>
          <w:rFonts w:ascii="Times New Roman" w:hAnsi="Times New Roman" w:cs="Times New Roman"/>
          <w:lang w:val="ro-RO"/>
        </w:rPr>
        <w:t>Procesul de aderare implică evaluări extinse și</w:t>
      </w:r>
      <w:r w:rsidR="00443D59" w:rsidRPr="00443D59">
        <w:rPr>
          <w:rFonts w:ascii="Times New Roman" w:hAnsi="Times New Roman" w:cs="Times New Roman"/>
          <w:lang w:val="ro-RO"/>
        </w:rPr>
        <w:t xml:space="preserve"> </w:t>
      </w:r>
      <w:r w:rsidRPr="00443D59">
        <w:rPr>
          <w:rFonts w:ascii="Times New Roman" w:hAnsi="Times New Roman" w:cs="Times New Roman"/>
          <w:lang w:val="ro-RO"/>
        </w:rPr>
        <w:t xml:space="preserve">multidimensionale ale cadrului legislativ și instituțional, ceea ce accelerează implementarea unor reforme structurale cu impact asupra productivității. </w:t>
      </w:r>
      <w:r w:rsidR="001A0E66" w:rsidRPr="00443D59">
        <w:rPr>
          <w:rFonts w:ascii="Times New Roman" w:hAnsi="Times New Roman" w:cs="Times New Roman"/>
          <w:lang w:val="ro-RO"/>
        </w:rPr>
        <w:t>Studiile</w:t>
      </w:r>
      <w:r w:rsidRPr="00443D59">
        <w:rPr>
          <w:rFonts w:ascii="Times New Roman" w:hAnsi="Times New Roman" w:cs="Times New Roman"/>
          <w:lang w:val="ro-RO"/>
        </w:rPr>
        <w:t xml:space="preserve"> arată că eliminarea vulnerabilităților de politică publică, definite ca acele </w:t>
      </w:r>
      <w:r w:rsidR="001A0E66" w:rsidRPr="00443D59">
        <w:rPr>
          <w:rFonts w:ascii="Times New Roman" w:hAnsi="Times New Roman" w:cs="Times New Roman"/>
          <w:lang w:val="ro-RO"/>
        </w:rPr>
        <w:t>abordări</w:t>
      </w:r>
      <w:r w:rsidRPr="00443D59">
        <w:rPr>
          <w:rFonts w:ascii="Times New Roman" w:hAnsi="Times New Roman" w:cs="Times New Roman"/>
          <w:lang w:val="ro-RO"/>
        </w:rPr>
        <w:t xml:space="preserve"> care, potrivit indicatorilor OCD</w:t>
      </w:r>
      <w:r w:rsidR="00EE11FB" w:rsidRPr="00443D59">
        <w:rPr>
          <w:rFonts w:ascii="Times New Roman" w:hAnsi="Times New Roman" w:cs="Times New Roman"/>
          <w:lang w:val="ro-RO"/>
        </w:rPr>
        <w:t>E</w:t>
      </w:r>
      <w:r w:rsidRPr="00443D59">
        <w:rPr>
          <w:rFonts w:ascii="Times New Roman" w:hAnsi="Times New Roman" w:cs="Times New Roman"/>
          <w:lang w:val="ro-RO"/>
        </w:rPr>
        <w:t xml:space="preserve">, </w:t>
      </w:r>
      <w:r w:rsidR="001A0E66" w:rsidRPr="00443D59">
        <w:rPr>
          <w:rFonts w:ascii="Times New Roman" w:hAnsi="Times New Roman" w:cs="Times New Roman"/>
          <w:lang w:val="ro-RO"/>
        </w:rPr>
        <w:t xml:space="preserve">se plasează </w:t>
      </w:r>
      <w:r w:rsidRPr="00443D59">
        <w:rPr>
          <w:rFonts w:ascii="Times New Roman" w:hAnsi="Times New Roman" w:cs="Times New Roman"/>
          <w:lang w:val="ro-RO"/>
        </w:rPr>
        <w:t xml:space="preserve">sub nivelul mediu observat la nivel internațional, ar putea genera câștiguri economice semnificative. </w:t>
      </w:r>
      <w:r w:rsidR="001A0E66" w:rsidRPr="00443D59">
        <w:rPr>
          <w:rFonts w:ascii="Times New Roman" w:hAnsi="Times New Roman" w:cs="Times New Roman"/>
          <w:lang w:val="ro-RO"/>
        </w:rPr>
        <w:t>De exemplu, p</w:t>
      </w:r>
      <w:r w:rsidRPr="00443D59">
        <w:rPr>
          <w:rFonts w:ascii="Times New Roman" w:hAnsi="Times New Roman" w:cs="Times New Roman"/>
          <w:lang w:val="ro-RO"/>
        </w:rPr>
        <w:t xml:space="preserve">otrivit </w:t>
      </w:r>
      <w:r w:rsidR="001A0E66" w:rsidRPr="00443D59">
        <w:rPr>
          <w:rFonts w:ascii="Times New Roman" w:hAnsi="Times New Roman" w:cs="Times New Roman"/>
          <w:lang w:val="ro-RO"/>
        </w:rPr>
        <w:t>analizei „</w:t>
      </w:r>
      <w:r w:rsidRPr="00443D59">
        <w:rPr>
          <w:rFonts w:ascii="Times New Roman" w:hAnsi="Times New Roman" w:cs="Times New Roman"/>
          <w:i/>
          <w:iCs/>
          <w:lang w:val="ro-RO"/>
        </w:rPr>
        <w:t xml:space="preserve">OECD Economics Department Working Papers </w:t>
      </w:r>
      <w:r w:rsidR="001A0E66" w:rsidRPr="00443D59">
        <w:rPr>
          <w:rFonts w:ascii="Times New Roman" w:hAnsi="Times New Roman" w:cs="Times New Roman"/>
          <w:i/>
          <w:iCs/>
          <w:lang w:val="ro-RO"/>
        </w:rPr>
        <w:t>no</w:t>
      </w:r>
      <w:r w:rsidRPr="00443D59">
        <w:rPr>
          <w:rFonts w:ascii="Times New Roman" w:hAnsi="Times New Roman" w:cs="Times New Roman"/>
          <w:i/>
          <w:iCs/>
          <w:lang w:val="ro-RO"/>
        </w:rPr>
        <w:t>. 834</w:t>
      </w:r>
      <w:r w:rsidR="001A0E66" w:rsidRPr="00443D59">
        <w:rPr>
          <w:rFonts w:ascii="Times New Roman" w:hAnsi="Times New Roman" w:cs="Times New Roman"/>
          <w:lang w:val="ro-RO"/>
        </w:rPr>
        <w:t>”</w:t>
      </w:r>
      <w:r w:rsidRPr="00443D59">
        <w:rPr>
          <w:rFonts w:ascii="Times New Roman" w:hAnsi="Times New Roman" w:cs="Times New Roman"/>
          <w:lang w:val="ro-RO"/>
        </w:rPr>
        <w:t>, alinierea politicilor naționale la nivelul mediu al țărilor OCD</w:t>
      </w:r>
      <w:r w:rsidR="00EE11FB" w:rsidRPr="00443D59">
        <w:rPr>
          <w:rFonts w:ascii="Times New Roman" w:hAnsi="Times New Roman" w:cs="Times New Roman"/>
          <w:lang w:val="ro-RO"/>
        </w:rPr>
        <w:t>E</w:t>
      </w:r>
      <w:r w:rsidRPr="00443D59">
        <w:rPr>
          <w:rFonts w:ascii="Times New Roman" w:hAnsi="Times New Roman" w:cs="Times New Roman"/>
          <w:lang w:val="ro-RO"/>
        </w:rPr>
        <w:t xml:space="preserve"> ar putea conduce, în cazul unei economii tipice, la o creștere pe termen lung de aproximativ 25% a PIB-ului pe cap de locuitor.</w:t>
      </w:r>
      <w:r w:rsidR="001A0E66" w:rsidRPr="00443D59">
        <w:rPr>
          <w:rFonts w:ascii="Times New Roman" w:hAnsi="Times New Roman" w:cs="Times New Roman"/>
          <w:lang w:val="ro-RO"/>
        </w:rPr>
        <w:t xml:space="preserve"> </w:t>
      </w:r>
    </w:p>
    <w:p w14:paraId="09B5BD39" w14:textId="2C8852D4" w:rsidR="003D64FD" w:rsidRPr="00443D59" w:rsidRDefault="003D64FD" w:rsidP="003D64FD">
      <w:pPr>
        <w:rPr>
          <w:rFonts w:ascii="Times New Roman" w:hAnsi="Times New Roman" w:cs="Times New Roman"/>
          <w:lang w:val="ro-RO"/>
        </w:rPr>
      </w:pPr>
      <w:r w:rsidRPr="00443D59">
        <w:rPr>
          <w:rFonts w:ascii="Times New Roman" w:hAnsi="Times New Roman" w:cs="Times New Roman"/>
          <w:lang w:val="ro-RO"/>
        </w:rPr>
        <w:t>O parte importantă a acestui impact provine din reforme specifice</w:t>
      </w:r>
      <w:r w:rsidR="001A0E66" w:rsidRPr="00443D59">
        <w:rPr>
          <w:rFonts w:ascii="Times New Roman" w:hAnsi="Times New Roman" w:cs="Times New Roman"/>
          <w:lang w:val="ro-RO"/>
        </w:rPr>
        <w:t xml:space="preserve"> promovate de OCD</w:t>
      </w:r>
      <w:r w:rsidR="00EE11FB" w:rsidRPr="00443D59">
        <w:rPr>
          <w:rFonts w:ascii="Times New Roman" w:hAnsi="Times New Roman" w:cs="Times New Roman"/>
          <w:lang w:val="ro-RO"/>
        </w:rPr>
        <w:t>E</w:t>
      </w:r>
      <w:r w:rsidRPr="00443D59">
        <w:rPr>
          <w:rFonts w:ascii="Times New Roman" w:hAnsi="Times New Roman" w:cs="Times New Roman"/>
          <w:lang w:val="ro-RO"/>
        </w:rPr>
        <w:t xml:space="preserve">. </w:t>
      </w:r>
      <w:r w:rsidR="001A0E66" w:rsidRPr="00443D59">
        <w:rPr>
          <w:rFonts w:ascii="Times New Roman" w:hAnsi="Times New Roman" w:cs="Times New Roman"/>
          <w:lang w:val="ro-RO"/>
        </w:rPr>
        <w:t>Astfel, a</w:t>
      </w:r>
      <w:r w:rsidRPr="00443D59">
        <w:rPr>
          <w:rFonts w:ascii="Times New Roman" w:hAnsi="Times New Roman" w:cs="Times New Roman"/>
          <w:lang w:val="ro-RO"/>
        </w:rPr>
        <w:t xml:space="preserve">proximativ o cincime din creșterea estimată (circa 5 puncte procentuale) este asociată reformelor în domeniul reglementării piețelor de </w:t>
      </w:r>
      <w:r w:rsidR="001A0E66" w:rsidRPr="00443D59">
        <w:rPr>
          <w:rFonts w:ascii="Times New Roman" w:hAnsi="Times New Roman" w:cs="Times New Roman"/>
          <w:lang w:val="ro-RO"/>
        </w:rPr>
        <w:t>bunuri</w:t>
      </w:r>
      <w:r w:rsidRPr="00443D59">
        <w:rPr>
          <w:rFonts w:ascii="Times New Roman" w:hAnsi="Times New Roman" w:cs="Times New Roman"/>
          <w:lang w:val="ro-RO"/>
        </w:rPr>
        <w:t>. Un impact similar ar rezulta din ajustarea nivelului mediu al poverii fiscale asupra muncii (</w:t>
      </w:r>
      <w:r w:rsidR="001A0E66" w:rsidRPr="00443D59">
        <w:rPr>
          <w:rFonts w:ascii="Times New Roman" w:hAnsi="Times New Roman" w:cs="Times New Roman"/>
          <w:lang w:val="ro-RO"/>
        </w:rPr>
        <w:t>„</w:t>
      </w:r>
      <w:r w:rsidRPr="00443D59">
        <w:rPr>
          <w:rFonts w:ascii="Times New Roman" w:hAnsi="Times New Roman" w:cs="Times New Roman"/>
          <w:i/>
          <w:iCs/>
          <w:lang w:val="ro-RO"/>
        </w:rPr>
        <w:t>tax wedge</w:t>
      </w:r>
      <w:r w:rsidR="001A0E66" w:rsidRPr="00443D59">
        <w:rPr>
          <w:rFonts w:ascii="Times New Roman" w:hAnsi="Times New Roman" w:cs="Times New Roman"/>
          <w:lang w:val="ro-RO"/>
        </w:rPr>
        <w:t>”</w:t>
      </w:r>
      <w:r w:rsidRPr="00443D59">
        <w:rPr>
          <w:rFonts w:ascii="Times New Roman" w:hAnsi="Times New Roman" w:cs="Times New Roman"/>
          <w:lang w:val="ro-RO"/>
        </w:rPr>
        <w:t xml:space="preserve">). Beneficii economice semnificative ar putea apărea, de asemenea, din investiții în capitalul uman și din reforme ale sistemelor de </w:t>
      </w:r>
      <w:r w:rsidR="001A0E66" w:rsidRPr="00443D59">
        <w:rPr>
          <w:rFonts w:ascii="Times New Roman" w:hAnsi="Times New Roman" w:cs="Times New Roman"/>
          <w:lang w:val="ro-RO"/>
        </w:rPr>
        <w:t>ajutor de</w:t>
      </w:r>
      <w:r w:rsidRPr="00443D59">
        <w:rPr>
          <w:rFonts w:ascii="Times New Roman" w:hAnsi="Times New Roman" w:cs="Times New Roman"/>
          <w:lang w:val="ro-RO"/>
        </w:rPr>
        <w:t xml:space="preserve"> șomaj, care pot îmbunătăți funcționarea pieței muncii.</w:t>
      </w:r>
    </w:p>
    <w:p w14:paraId="1C28E5B0" w14:textId="5E61A52B" w:rsidR="003D64FD" w:rsidRPr="00443D59" w:rsidRDefault="003D64FD" w:rsidP="003D64FD">
      <w:pPr>
        <w:rPr>
          <w:rFonts w:ascii="Times New Roman" w:hAnsi="Times New Roman" w:cs="Times New Roman"/>
          <w:b/>
          <w:bCs/>
          <w:lang w:val="ro-RO"/>
        </w:rPr>
      </w:pPr>
      <w:r w:rsidRPr="00443D59">
        <w:rPr>
          <w:rFonts w:ascii="Times New Roman" w:hAnsi="Times New Roman" w:cs="Times New Roman"/>
          <w:b/>
          <w:bCs/>
          <w:lang w:val="ro-RO"/>
        </w:rPr>
        <w:t>În același timp, apartenența la OCD</w:t>
      </w:r>
      <w:r w:rsidR="00EE11FB" w:rsidRPr="00443D59">
        <w:rPr>
          <w:rFonts w:ascii="Times New Roman" w:hAnsi="Times New Roman" w:cs="Times New Roman"/>
          <w:b/>
          <w:bCs/>
          <w:lang w:val="ro-RO"/>
        </w:rPr>
        <w:t>E</w:t>
      </w:r>
      <w:r w:rsidRPr="00443D59">
        <w:rPr>
          <w:rFonts w:ascii="Times New Roman" w:hAnsi="Times New Roman" w:cs="Times New Roman"/>
          <w:b/>
          <w:bCs/>
          <w:lang w:val="ro-RO"/>
        </w:rPr>
        <w:t xml:space="preserve"> încurajează adoptarea celor mai bune practici în domenii precum educația</w:t>
      </w:r>
      <w:r w:rsidR="001A0E66" w:rsidRPr="00443D59">
        <w:rPr>
          <w:rFonts w:ascii="Times New Roman" w:hAnsi="Times New Roman" w:cs="Times New Roman"/>
          <w:b/>
          <w:bCs/>
          <w:lang w:val="ro-RO"/>
        </w:rPr>
        <w:t>,</w:t>
      </w:r>
      <w:r w:rsidRPr="00443D59">
        <w:rPr>
          <w:rFonts w:ascii="Times New Roman" w:hAnsi="Times New Roman" w:cs="Times New Roman"/>
          <w:b/>
          <w:bCs/>
          <w:lang w:val="ro-RO"/>
        </w:rPr>
        <w:t xml:space="preserve"> sănătatea publică</w:t>
      </w:r>
      <w:r w:rsidR="001A0E66" w:rsidRPr="00443D59">
        <w:rPr>
          <w:rFonts w:ascii="Times New Roman" w:hAnsi="Times New Roman" w:cs="Times New Roman"/>
          <w:b/>
          <w:bCs/>
          <w:lang w:val="ro-RO"/>
        </w:rPr>
        <w:t xml:space="preserve"> și piața muncii</w:t>
      </w:r>
      <w:r w:rsidRPr="00443D59">
        <w:rPr>
          <w:rFonts w:ascii="Times New Roman" w:hAnsi="Times New Roman" w:cs="Times New Roman"/>
          <w:b/>
          <w:bCs/>
          <w:lang w:val="ro-RO"/>
        </w:rPr>
        <w:t>, contribuind astfel la creșterea calității vieții și la dezvoltarea capitalului uman. De asemenea, aderarea facilitează implementarea unor mecanisme de cheltuire a fondurilor publice mai transparente, eficiente și responsabile.</w:t>
      </w:r>
    </w:p>
    <w:p w14:paraId="68004A55" w14:textId="1B65050A" w:rsidR="003D64FD" w:rsidRPr="00443D59" w:rsidRDefault="003D64FD" w:rsidP="003D64FD">
      <w:pPr>
        <w:rPr>
          <w:rFonts w:ascii="Times New Roman" w:hAnsi="Times New Roman" w:cs="Times New Roman"/>
          <w:b/>
          <w:bCs/>
          <w:lang w:val="ro-RO"/>
        </w:rPr>
      </w:pPr>
      <w:r w:rsidRPr="00443D59">
        <w:rPr>
          <w:rFonts w:ascii="Times New Roman" w:hAnsi="Times New Roman" w:cs="Times New Roman"/>
          <w:b/>
          <w:bCs/>
          <w:lang w:val="ro-RO"/>
        </w:rPr>
        <w:t>În plus, respectarea standardelor OCD</w:t>
      </w:r>
      <w:r w:rsidR="00EE11FB" w:rsidRPr="00443D59">
        <w:rPr>
          <w:rFonts w:ascii="Times New Roman" w:hAnsi="Times New Roman" w:cs="Times New Roman"/>
          <w:b/>
          <w:bCs/>
          <w:lang w:val="ro-RO"/>
        </w:rPr>
        <w:t>E</w:t>
      </w:r>
      <w:r w:rsidRPr="00443D59">
        <w:rPr>
          <w:rFonts w:ascii="Times New Roman" w:hAnsi="Times New Roman" w:cs="Times New Roman"/>
          <w:b/>
          <w:bCs/>
          <w:lang w:val="ro-RO"/>
        </w:rPr>
        <w:t xml:space="preserve"> consolidează funcționarea piețelor financiare și sprijină capacitatea economiei de a face față șocurilor economice externe, sporind reziliența macroeconomică.</w:t>
      </w:r>
    </w:p>
    <w:p w14:paraId="3634A005" w14:textId="6128C5AA" w:rsidR="0020169C" w:rsidRPr="00443D59" w:rsidRDefault="008C5B9E" w:rsidP="008C5B9E">
      <w:pPr>
        <w:rPr>
          <w:rFonts w:ascii="Times New Roman" w:hAnsi="Times New Roman" w:cs="Times New Roman"/>
          <w:lang w:val="ro-RO"/>
        </w:rPr>
      </w:pPr>
      <w:r w:rsidRPr="00443D59">
        <w:rPr>
          <w:rFonts w:ascii="Times New Roman" w:hAnsi="Times New Roman" w:cs="Times New Roman"/>
          <w:lang w:val="ro-RO"/>
        </w:rPr>
        <w:t>Parcurgând studiul recent al OCD</w:t>
      </w:r>
      <w:r w:rsidR="00EE11FB" w:rsidRPr="00443D59">
        <w:rPr>
          <w:rFonts w:ascii="Times New Roman" w:hAnsi="Times New Roman" w:cs="Times New Roman"/>
          <w:lang w:val="ro-RO"/>
        </w:rPr>
        <w:t>E</w:t>
      </w:r>
      <w:r w:rsidRPr="00443D59">
        <w:rPr>
          <w:rFonts w:ascii="Times New Roman" w:hAnsi="Times New Roman" w:cs="Times New Roman"/>
          <w:lang w:val="ro-RO"/>
        </w:rPr>
        <w:t xml:space="preserve">, elementul cel mai încurajator nu este doar rata de </w:t>
      </w:r>
      <w:r w:rsidR="00753B5C" w:rsidRPr="00443D59">
        <w:rPr>
          <w:rFonts w:ascii="Times New Roman" w:hAnsi="Times New Roman" w:cs="Times New Roman"/>
          <w:lang w:val="ro-RO"/>
        </w:rPr>
        <w:t>convergență impresionantă a veniturilor</w:t>
      </w:r>
      <w:r w:rsidR="0020169C" w:rsidRPr="00443D59">
        <w:rPr>
          <w:rFonts w:ascii="Times New Roman" w:hAnsi="Times New Roman" w:cs="Times New Roman"/>
          <w:lang w:val="ro-RO"/>
        </w:rPr>
        <w:t xml:space="preserve"> (indicator utilizat adesea pentru a oferi o imagine de ansamblu asupra progresului economic)</w:t>
      </w:r>
      <w:r w:rsidRPr="00443D59">
        <w:rPr>
          <w:rFonts w:ascii="Times New Roman" w:hAnsi="Times New Roman" w:cs="Times New Roman"/>
          <w:lang w:val="ro-RO"/>
        </w:rPr>
        <w:t xml:space="preserve">, ci diagnosticul precis al potențialului de integrare superioară în economia globală. </w:t>
      </w:r>
    </w:p>
    <w:p w14:paraId="75847055" w14:textId="2E906B0F" w:rsidR="0020169C" w:rsidRPr="00443D59" w:rsidRDefault="008C5B9E" w:rsidP="008C5B9E">
      <w:pPr>
        <w:rPr>
          <w:rFonts w:ascii="Times New Roman" w:hAnsi="Times New Roman" w:cs="Times New Roman"/>
          <w:lang w:val="ro-RO"/>
        </w:rPr>
      </w:pPr>
      <w:r w:rsidRPr="00443D59">
        <w:rPr>
          <w:rFonts w:ascii="Times New Roman" w:hAnsi="Times New Roman" w:cs="Times New Roman"/>
          <w:lang w:val="ro-RO"/>
        </w:rPr>
        <w:t xml:space="preserve">România ocupă în prezent o poziție de „platou intermediar” în lanțurile valorice globale, </w:t>
      </w:r>
      <w:r w:rsidR="00FB6AEC" w:rsidRPr="00443D59">
        <w:rPr>
          <w:rFonts w:ascii="Times New Roman" w:hAnsi="Times New Roman" w:cs="Times New Roman"/>
          <w:lang w:val="ro-RO"/>
        </w:rPr>
        <w:t>fiind caracterizată de o integrare asimetrică: exporturile sunt dominate de entități mari, cu capital străin, în timp ce legăturile dintre întreprinderile străine și furnizorii autohtoni rămân reduse</w:t>
      </w:r>
      <w:r w:rsidR="0020169C" w:rsidRPr="00443D59">
        <w:rPr>
          <w:rFonts w:ascii="Times New Roman" w:hAnsi="Times New Roman" w:cs="Times New Roman"/>
          <w:lang w:val="ro-RO"/>
        </w:rPr>
        <w:t>. Din aceast</w:t>
      </w:r>
      <w:r w:rsidR="00EE11FB" w:rsidRPr="00443D59">
        <w:rPr>
          <w:rFonts w:ascii="Times New Roman" w:hAnsi="Times New Roman" w:cs="Times New Roman"/>
          <w:lang w:val="ro-RO"/>
        </w:rPr>
        <w:t>ă</w:t>
      </w:r>
      <w:r w:rsidR="0020169C" w:rsidRPr="00443D59">
        <w:rPr>
          <w:rFonts w:ascii="Times New Roman" w:hAnsi="Times New Roman" w:cs="Times New Roman"/>
          <w:lang w:val="ro-RO"/>
        </w:rPr>
        <w:t xml:space="preserve"> </w:t>
      </w:r>
      <w:r w:rsidR="0020169C" w:rsidRPr="00443D59">
        <w:rPr>
          <w:rFonts w:ascii="Times New Roman" w:hAnsi="Times New Roman" w:cs="Times New Roman"/>
          <w:lang w:val="ro-RO"/>
        </w:rPr>
        <w:lastRenderedPageBreak/>
        <w:t>perspectivă</w:t>
      </w:r>
      <w:r w:rsidR="00EE11FB" w:rsidRPr="00443D59">
        <w:rPr>
          <w:rFonts w:ascii="Times New Roman" w:hAnsi="Times New Roman" w:cs="Times New Roman"/>
          <w:lang w:val="ro-RO"/>
        </w:rPr>
        <w:t>,</w:t>
      </w:r>
      <w:r w:rsidR="0020169C" w:rsidRPr="00443D59">
        <w:rPr>
          <w:rFonts w:ascii="Times New Roman" w:hAnsi="Times New Roman" w:cs="Times New Roman"/>
          <w:lang w:val="ro-RO"/>
        </w:rPr>
        <w:t xml:space="preserve"> </w:t>
      </w:r>
      <w:r w:rsidRPr="00443D59">
        <w:rPr>
          <w:rFonts w:ascii="Times New Roman" w:hAnsi="Times New Roman" w:cs="Times New Roman"/>
          <w:lang w:val="ro-RO"/>
        </w:rPr>
        <w:t xml:space="preserve">analiza </w:t>
      </w:r>
      <w:r w:rsidR="0020169C" w:rsidRPr="00443D59">
        <w:rPr>
          <w:rFonts w:ascii="Times New Roman" w:hAnsi="Times New Roman" w:cs="Times New Roman"/>
          <w:lang w:val="ro-RO"/>
        </w:rPr>
        <w:t xml:space="preserve">complexă și cuprinzătoare realizată în cadrul raportului </w:t>
      </w:r>
      <w:r w:rsidRPr="00443D59">
        <w:rPr>
          <w:rFonts w:ascii="Times New Roman" w:hAnsi="Times New Roman" w:cs="Times New Roman"/>
          <w:lang w:val="ro-RO"/>
        </w:rPr>
        <w:t xml:space="preserve">oferă o foaie de parcurs clară pentru a depăși acest stadiu. </w:t>
      </w:r>
    </w:p>
    <w:p w14:paraId="19E12AC8" w14:textId="5118D9D0" w:rsidR="009F4E67" w:rsidRPr="00443D59" w:rsidRDefault="0020169C" w:rsidP="0020169C">
      <w:pPr>
        <w:rPr>
          <w:rFonts w:ascii="Times New Roman" w:hAnsi="Times New Roman" w:cs="Times New Roman"/>
          <w:b/>
          <w:bCs/>
          <w:lang w:val="ro-RO"/>
        </w:rPr>
      </w:pPr>
      <w:r w:rsidRPr="00443D59">
        <w:rPr>
          <w:rFonts w:ascii="Times New Roman" w:hAnsi="Times New Roman" w:cs="Times New Roman"/>
          <w:b/>
          <w:bCs/>
          <w:lang w:val="ro-RO"/>
        </w:rPr>
        <w:t xml:space="preserve">Consider că unul dintre elementele importante evidențiate în cadrul raportului, </w:t>
      </w:r>
      <w:r w:rsidR="008C5B9E" w:rsidRPr="00443D59">
        <w:rPr>
          <w:rFonts w:ascii="Times New Roman" w:hAnsi="Times New Roman" w:cs="Times New Roman"/>
          <w:b/>
          <w:bCs/>
          <w:lang w:val="ro-RO"/>
        </w:rPr>
        <w:t>ca o oportunitate majoră</w:t>
      </w:r>
      <w:r w:rsidRPr="00443D59">
        <w:rPr>
          <w:rFonts w:ascii="Times New Roman" w:hAnsi="Times New Roman" w:cs="Times New Roman"/>
          <w:b/>
          <w:bCs/>
          <w:lang w:val="ro-RO"/>
        </w:rPr>
        <w:t xml:space="preserve"> pentru România, </w:t>
      </w:r>
      <w:r w:rsidR="008C5B9E" w:rsidRPr="00443D59">
        <w:rPr>
          <w:rFonts w:ascii="Times New Roman" w:hAnsi="Times New Roman" w:cs="Times New Roman"/>
          <w:b/>
          <w:bCs/>
          <w:lang w:val="ro-RO"/>
        </w:rPr>
        <w:t>este stimularea legăturilor organice între capitalul străin și furnizorii autohtoni. Această „infuzie de capilaritate” poate transforma firmele locale din furnizori de componente simple în parteneri de inovație, accelerând transferul tehnologic și consolidând un ecosistem economic mult mai rezilient și interconectat</w:t>
      </w:r>
      <w:r w:rsidR="009A1091" w:rsidRPr="00443D59">
        <w:rPr>
          <w:rFonts w:ascii="Times New Roman" w:hAnsi="Times New Roman" w:cs="Times New Roman"/>
          <w:b/>
          <w:bCs/>
          <w:lang w:val="ro-RO"/>
        </w:rPr>
        <w:t>.</w:t>
      </w:r>
      <w:r w:rsidRPr="00443D59">
        <w:rPr>
          <w:rFonts w:ascii="Times New Roman" w:hAnsi="Times New Roman" w:cs="Times New Roman"/>
          <w:b/>
          <w:bCs/>
          <w:lang w:val="ro-RO"/>
        </w:rPr>
        <w:t xml:space="preserve"> </w:t>
      </w:r>
    </w:p>
    <w:p w14:paraId="5756949A" w14:textId="2B5EBBEC" w:rsidR="008C5B9E" w:rsidRPr="00443D59" w:rsidRDefault="009F4E67" w:rsidP="0020169C">
      <w:pPr>
        <w:rPr>
          <w:rFonts w:ascii="Times New Roman" w:hAnsi="Times New Roman" w:cs="Times New Roman"/>
          <w:lang w:val="ro-RO"/>
        </w:rPr>
      </w:pPr>
      <w:r w:rsidRPr="00443D59">
        <w:rPr>
          <w:rFonts w:ascii="Times New Roman" w:hAnsi="Times New Roman" w:cs="Times New Roman"/>
          <w:lang w:val="ro-RO"/>
        </w:rPr>
        <w:t>Astfel, d</w:t>
      </w:r>
      <w:r w:rsidR="0020169C" w:rsidRPr="00443D59">
        <w:rPr>
          <w:rFonts w:ascii="Times New Roman" w:hAnsi="Times New Roman" w:cs="Times New Roman"/>
          <w:lang w:val="ro-RO"/>
        </w:rPr>
        <w:t>in experiența internațională s-a observat că, în multe economii emergente, inclusiv în Europa Centrală și de Est, investițiile străine creează uneori „insule de productivitate” prea puțin conectate la economia locală în ansamblu. Ace</w:t>
      </w:r>
      <w:r w:rsidR="00BB659B" w:rsidRPr="00443D59">
        <w:rPr>
          <w:rFonts w:ascii="Times New Roman" w:hAnsi="Times New Roman" w:cs="Times New Roman"/>
          <w:lang w:val="ro-RO"/>
        </w:rPr>
        <w:t>a</w:t>
      </w:r>
      <w:r w:rsidR="0020169C" w:rsidRPr="00443D59">
        <w:rPr>
          <w:rFonts w:ascii="Times New Roman" w:hAnsi="Times New Roman" w:cs="Times New Roman"/>
          <w:lang w:val="ro-RO"/>
        </w:rPr>
        <w:t>sta descrie situația în care unele companiile multinaționale c</w:t>
      </w:r>
      <w:r w:rsidR="00EE11FB" w:rsidRPr="00443D59">
        <w:rPr>
          <w:rFonts w:ascii="Times New Roman" w:hAnsi="Times New Roman" w:cs="Times New Roman"/>
          <w:lang w:val="ro-RO"/>
        </w:rPr>
        <w:t>are</w:t>
      </w:r>
      <w:r w:rsidR="0020169C" w:rsidRPr="00443D59">
        <w:rPr>
          <w:rFonts w:ascii="Times New Roman" w:hAnsi="Times New Roman" w:cs="Times New Roman"/>
          <w:lang w:val="ro-RO"/>
        </w:rPr>
        <w:t xml:space="preserve"> operează cu lanțuri de aprovizionare globalizate creează o facilitate punctuală de producție în economia locală, atrase poate de forța de muncă mai ieftină sau de proximitatea pieței de desfacere, dar aceste firmele locale rămân limitate la activități cu valoare adăugată scăzută sau nu se integrează pe verticală în activitatea economică locală. De aceea, contribuția lor la difuzia tehnologiei, inovare și dezvoltarea multidirecțională a afacerilor locale se plasează sub nivelul optim. Beneficiile sunt așadar limitate pentru țara gazdă.</w:t>
      </w:r>
      <w:r w:rsidRPr="00443D59">
        <w:rPr>
          <w:rFonts w:ascii="Times New Roman" w:hAnsi="Times New Roman" w:cs="Times New Roman"/>
          <w:lang w:val="ro-RO"/>
        </w:rPr>
        <w:t xml:space="preserve"> </w:t>
      </w:r>
    </w:p>
    <w:p w14:paraId="30F3D03D" w14:textId="2DB46F56" w:rsidR="009F4E67" w:rsidRPr="00443D59" w:rsidRDefault="009F4E67" w:rsidP="009F4E67">
      <w:pPr>
        <w:rPr>
          <w:rFonts w:ascii="Times New Roman" w:hAnsi="Times New Roman" w:cs="Times New Roman"/>
          <w:lang w:val="ro-RO"/>
        </w:rPr>
      </w:pPr>
      <w:r w:rsidRPr="00443D59">
        <w:rPr>
          <w:rFonts w:ascii="Times New Roman" w:hAnsi="Times New Roman" w:cs="Times New Roman"/>
          <w:lang w:val="ro-RO"/>
        </w:rPr>
        <w:t>Ceea ce avem nevoie, în schimb, este să gândim mecanisme prin care firmele românești deja existente să devină un argument în plus pentru atragerea de investiții străine directe. Acestea trebuie să fie capabile să se integreze în lanțurile de producție ale noilor facilități productive proiectate de investitorii străini și să ofere opțiuni competitive pentru aprovizionare, transport și desfacere. Un pas important pentru dezvoltarea unor relații stabile de colaborare industrială va putea fi realizat doar atunci când firmele locale și-ar crește rolul în cadrul parteneriatelor cu investitorii străini, de la simpli furnizori la parteneri de dezvoltare și integrare tehnologică.</w:t>
      </w:r>
    </w:p>
    <w:p w14:paraId="6CF50E9F" w14:textId="74B7EB6F" w:rsidR="00152E53" w:rsidRPr="00443D59" w:rsidRDefault="008C5B9E" w:rsidP="00152E53">
      <w:pPr>
        <w:rPr>
          <w:rFonts w:ascii="Times New Roman" w:hAnsi="Times New Roman" w:cs="Times New Roman"/>
          <w:lang w:val="ro-RO"/>
        </w:rPr>
      </w:pPr>
      <w:r w:rsidRPr="00443D59">
        <w:rPr>
          <w:rFonts w:ascii="Times New Roman" w:hAnsi="Times New Roman" w:cs="Times New Roman"/>
          <w:lang w:val="ro-RO"/>
        </w:rPr>
        <w:t xml:space="preserve">În plan social, analiza </w:t>
      </w:r>
      <w:r w:rsidR="009F4E67" w:rsidRPr="00443D59">
        <w:rPr>
          <w:rFonts w:ascii="Times New Roman" w:hAnsi="Times New Roman" w:cs="Times New Roman"/>
          <w:lang w:val="ro-RO"/>
        </w:rPr>
        <w:t>OCD</w:t>
      </w:r>
      <w:r w:rsidR="00EE11FB" w:rsidRPr="00443D59">
        <w:rPr>
          <w:rFonts w:ascii="Times New Roman" w:hAnsi="Times New Roman" w:cs="Times New Roman"/>
          <w:lang w:val="ro-RO"/>
        </w:rPr>
        <w:t>E</w:t>
      </w:r>
      <w:r w:rsidR="009F4E67" w:rsidRPr="00443D59">
        <w:rPr>
          <w:rFonts w:ascii="Times New Roman" w:hAnsi="Times New Roman" w:cs="Times New Roman"/>
          <w:lang w:val="ro-RO"/>
        </w:rPr>
        <w:t xml:space="preserve"> pledează</w:t>
      </w:r>
      <w:r w:rsidRPr="00443D59">
        <w:rPr>
          <w:rFonts w:ascii="Times New Roman" w:hAnsi="Times New Roman" w:cs="Times New Roman"/>
          <w:lang w:val="ro-RO"/>
        </w:rPr>
        <w:t xml:space="preserve"> </w:t>
      </w:r>
      <w:r w:rsidR="009A1891" w:rsidRPr="00443D59">
        <w:rPr>
          <w:rFonts w:ascii="Times New Roman" w:hAnsi="Times New Roman" w:cs="Times New Roman"/>
          <w:lang w:val="ro-RO"/>
        </w:rPr>
        <w:t xml:space="preserve">pentru </w:t>
      </w:r>
      <w:r w:rsidRPr="00443D59">
        <w:rPr>
          <w:rFonts w:ascii="Times New Roman" w:hAnsi="Times New Roman" w:cs="Times New Roman"/>
          <w:lang w:val="ro-RO"/>
        </w:rPr>
        <w:t xml:space="preserve">o schimbare de paradigmă </w:t>
      </w:r>
      <w:r w:rsidR="009F4E67" w:rsidRPr="00443D59">
        <w:rPr>
          <w:rFonts w:ascii="Times New Roman" w:hAnsi="Times New Roman" w:cs="Times New Roman"/>
          <w:lang w:val="ro-RO"/>
        </w:rPr>
        <w:t>pe piața muncii, în care deficiențele și decalajele din prezent s</w:t>
      </w:r>
      <w:r w:rsidR="00EE11FB" w:rsidRPr="00443D59">
        <w:rPr>
          <w:rFonts w:ascii="Times New Roman" w:hAnsi="Times New Roman" w:cs="Times New Roman"/>
          <w:lang w:val="ro-RO"/>
        </w:rPr>
        <w:t>ă</w:t>
      </w:r>
      <w:r w:rsidR="009F4E67" w:rsidRPr="00443D59">
        <w:rPr>
          <w:rFonts w:ascii="Times New Roman" w:hAnsi="Times New Roman" w:cs="Times New Roman"/>
          <w:lang w:val="ro-RO"/>
        </w:rPr>
        <w:t xml:space="preserve"> fie abordate ca oportunități de dezvoltare. Din această perspectivă, </w:t>
      </w:r>
      <w:r w:rsidRPr="00443D59">
        <w:rPr>
          <w:rFonts w:ascii="Times New Roman" w:hAnsi="Times New Roman" w:cs="Times New Roman"/>
          <w:lang w:val="ro-RO"/>
        </w:rPr>
        <w:t xml:space="preserve">inegalitatea și fragmentarea pieței muncii </w:t>
      </w:r>
      <w:r w:rsidR="00152E53" w:rsidRPr="00443D59">
        <w:rPr>
          <w:rFonts w:ascii="Times New Roman" w:hAnsi="Times New Roman" w:cs="Times New Roman"/>
          <w:lang w:val="ro-RO"/>
        </w:rPr>
        <w:t>devin</w:t>
      </w:r>
      <w:r w:rsidRPr="00443D59">
        <w:rPr>
          <w:rFonts w:ascii="Times New Roman" w:hAnsi="Times New Roman" w:cs="Times New Roman"/>
          <w:lang w:val="ro-RO"/>
        </w:rPr>
        <w:t xml:space="preserve"> rezerve de creștere neexploatate. Identificarea segmentelor deconectate </w:t>
      </w:r>
      <w:r w:rsidR="00152E53" w:rsidRPr="00443D59">
        <w:rPr>
          <w:rFonts w:ascii="Times New Roman" w:hAnsi="Times New Roman" w:cs="Times New Roman"/>
          <w:lang w:val="ro-RO"/>
        </w:rPr>
        <w:t>sau implicate pe piața muncii sub nivelul potențial (de exemplu</w:t>
      </w:r>
      <w:r w:rsidR="00D438B5" w:rsidRPr="00443D59">
        <w:rPr>
          <w:rFonts w:ascii="Times New Roman" w:hAnsi="Times New Roman" w:cs="Times New Roman"/>
          <w:lang w:val="ro-RO"/>
        </w:rPr>
        <w:t>,</w:t>
      </w:r>
      <w:r w:rsidRPr="00443D59">
        <w:rPr>
          <w:rFonts w:ascii="Times New Roman" w:hAnsi="Times New Roman" w:cs="Times New Roman"/>
          <w:lang w:val="ro-RO"/>
        </w:rPr>
        <w:t xml:space="preserve"> </w:t>
      </w:r>
      <w:r w:rsidR="00152E53" w:rsidRPr="00443D59">
        <w:rPr>
          <w:rFonts w:ascii="Times New Roman" w:hAnsi="Times New Roman" w:cs="Times New Roman"/>
          <w:lang w:val="ro-RO"/>
        </w:rPr>
        <w:t xml:space="preserve">al </w:t>
      </w:r>
      <w:r w:rsidRPr="00443D59">
        <w:rPr>
          <w:rFonts w:ascii="Times New Roman" w:hAnsi="Times New Roman" w:cs="Times New Roman"/>
          <w:lang w:val="ro-RO"/>
        </w:rPr>
        <w:t>tineri</w:t>
      </w:r>
      <w:r w:rsidR="00152E53" w:rsidRPr="00443D59">
        <w:rPr>
          <w:rFonts w:ascii="Times New Roman" w:hAnsi="Times New Roman" w:cs="Times New Roman"/>
          <w:lang w:val="ro-RO"/>
        </w:rPr>
        <w:t>lor</w:t>
      </w:r>
      <w:r w:rsidRPr="00443D59">
        <w:rPr>
          <w:rFonts w:ascii="Times New Roman" w:hAnsi="Times New Roman" w:cs="Times New Roman"/>
          <w:lang w:val="ro-RO"/>
        </w:rPr>
        <w:t>, femei</w:t>
      </w:r>
      <w:r w:rsidR="00152E53" w:rsidRPr="00443D59">
        <w:rPr>
          <w:rFonts w:ascii="Times New Roman" w:hAnsi="Times New Roman" w:cs="Times New Roman"/>
          <w:lang w:val="ro-RO"/>
        </w:rPr>
        <w:t>lor</w:t>
      </w:r>
      <w:r w:rsidRPr="00443D59">
        <w:rPr>
          <w:rFonts w:ascii="Times New Roman" w:hAnsi="Times New Roman" w:cs="Times New Roman"/>
          <w:lang w:val="ro-RO"/>
        </w:rPr>
        <w:t xml:space="preserve"> sau </w:t>
      </w:r>
      <w:r w:rsidR="00D438B5" w:rsidRPr="00443D59">
        <w:rPr>
          <w:rFonts w:ascii="Times New Roman" w:hAnsi="Times New Roman" w:cs="Times New Roman"/>
          <w:lang w:val="ro-RO"/>
        </w:rPr>
        <w:t xml:space="preserve">al </w:t>
      </w:r>
      <w:r w:rsidRPr="00443D59">
        <w:rPr>
          <w:rFonts w:ascii="Times New Roman" w:hAnsi="Times New Roman" w:cs="Times New Roman"/>
          <w:lang w:val="ro-RO"/>
        </w:rPr>
        <w:t>populație</w:t>
      </w:r>
      <w:r w:rsidR="00152E53" w:rsidRPr="00443D59">
        <w:rPr>
          <w:rFonts w:ascii="Times New Roman" w:hAnsi="Times New Roman" w:cs="Times New Roman"/>
          <w:lang w:val="ro-RO"/>
        </w:rPr>
        <w:t>i din mediul</w:t>
      </w:r>
      <w:r w:rsidRPr="00443D59">
        <w:rPr>
          <w:rFonts w:ascii="Times New Roman" w:hAnsi="Times New Roman" w:cs="Times New Roman"/>
          <w:lang w:val="ro-RO"/>
        </w:rPr>
        <w:t xml:space="preserve"> rural</w:t>
      </w:r>
      <w:r w:rsidR="00152E53" w:rsidRPr="00443D59">
        <w:rPr>
          <w:rFonts w:ascii="Times New Roman" w:hAnsi="Times New Roman" w:cs="Times New Roman"/>
          <w:lang w:val="ro-RO"/>
        </w:rPr>
        <w:t>)</w:t>
      </w:r>
      <w:r w:rsidRPr="00443D59">
        <w:rPr>
          <w:rFonts w:ascii="Times New Roman" w:hAnsi="Times New Roman" w:cs="Times New Roman"/>
          <w:lang w:val="ro-RO"/>
        </w:rPr>
        <w:t xml:space="preserve"> — ne oferă de fapt pârghiile pentru a </w:t>
      </w:r>
      <w:r w:rsidR="00FB6AEC" w:rsidRPr="00443D59">
        <w:rPr>
          <w:rFonts w:ascii="Times New Roman" w:hAnsi="Times New Roman" w:cs="Times New Roman"/>
          <w:lang w:val="ro-RO"/>
        </w:rPr>
        <w:t>accelera</w:t>
      </w:r>
      <w:r w:rsidRPr="00443D59">
        <w:rPr>
          <w:rFonts w:ascii="Times New Roman" w:hAnsi="Times New Roman" w:cs="Times New Roman"/>
          <w:lang w:val="ro-RO"/>
        </w:rPr>
        <w:t xml:space="preserve"> </w:t>
      </w:r>
      <w:r w:rsidR="009A1091" w:rsidRPr="00443D59">
        <w:rPr>
          <w:rFonts w:ascii="Times New Roman" w:hAnsi="Times New Roman" w:cs="Times New Roman"/>
          <w:lang w:val="ro-RO"/>
        </w:rPr>
        <w:t>creșterea</w:t>
      </w:r>
      <w:r w:rsidRPr="00443D59">
        <w:rPr>
          <w:rFonts w:ascii="Times New Roman" w:hAnsi="Times New Roman" w:cs="Times New Roman"/>
          <w:lang w:val="ro-RO"/>
        </w:rPr>
        <w:t xml:space="preserve"> potențial</w:t>
      </w:r>
      <w:r w:rsidR="009A1091" w:rsidRPr="00443D59">
        <w:rPr>
          <w:rFonts w:ascii="Times New Roman" w:hAnsi="Times New Roman" w:cs="Times New Roman"/>
          <w:lang w:val="ro-RO"/>
        </w:rPr>
        <w:t>ă</w:t>
      </w:r>
      <w:r w:rsidRPr="00443D59">
        <w:rPr>
          <w:rFonts w:ascii="Times New Roman" w:hAnsi="Times New Roman" w:cs="Times New Roman"/>
          <w:lang w:val="ro-RO"/>
        </w:rPr>
        <w:t xml:space="preserve"> a </w:t>
      </w:r>
      <w:r w:rsidR="009A1091" w:rsidRPr="00443D59">
        <w:rPr>
          <w:rFonts w:ascii="Times New Roman" w:hAnsi="Times New Roman" w:cs="Times New Roman"/>
          <w:lang w:val="ro-RO"/>
        </w:rPr>
        <w:t>economiei</w:t>
      </w:r>
      <w:r w:rsidRPr="00443D59">
        <w:rPr>
          <w:rFonts w:ascii="Times New Roman" w:hAnsi="Times New Roman" w:cs="Times New Roman"/>
          <w:lang w:val="ro-RO"/>
        </w:rPr>
        <w:t xml:space="preserve">. </w:t>
      </w:r>
      <w:r w:rsidR="00152E53" w:rsidRPr="00443D59">
        <w:rPr>
          <w:rFonts w:ascii="Times New Roman" w:hAnsi="Times New Roman" w:cs="Times New Roman"/>
          <w:lang w:val="ro-RO"/>
        </w:rPr>
        <w:t>Integrarea lor mai puternică în activitatea economică ar crește oferta de forță de muncă, productivitatea și nivelul de ansamblu al veniturilor în economie. Pentru atingerea acestor obiective, politicile publice s-ar putea concentra mai mult asupra unor instrumente recomandate de practica țărilor membre OCD</w:t>
      </w:r>
      <w:r w:rsidR="00EE11FB" w:rsidRPr="00443D59">
        <w:rPr>
          <w:rFonts w:ascii="Times New Roman" w:hAnsi="Times New Roman" w:cs="Times New Roman"/>
          <w:lang w:val="ro-RO"/>
        </w:rPr>
        <w:t>E</w:t>
      </w:r>
      <w:r w:rsidR="00152E53" w:rsidRPr="00443D59">
        <w:rPr>
          <w:rFonts w:ascii="Times New Roman" w:hAnsi="Times New Roman" w:cs="Times New Roman"/>
          <w:lang w:val="ro-RO"/>
        </w:rPr>
        <w:t>, precum sisteme duale de educație (școală + companie), servicii active de ocupare, extinderea serviciilor de îngrijire a copiilor, programe de lucru flexibile</w:t>
      </w:r>
      <w:r w:rsidR="000F2427" w:rsidRPr="00443D59">
        <w:rPr>
          <w:rFonts w:ascii="Times New Roman" w:hAnsi="Times New Roman" w:cs="Times New Roman"/>
          <w:lang w:val="ro-RO"/>
        </w:rPr>
        <w:t xml:space="preserve">, </w:t>
      </w:r>
      <w:r w:rsidR="00152E53" w:rsidRPr="00443D59">
        <w:rPr>
          <w:rFonts w:ascii="Times New Roman" w:hAnsi="Times New Roman" w:cs="Times New Roman"/>
          <w:lang w:val="ro-RO"/>
        </w:rPr>
        <w:t>politici de combatere a discriminării salariale</w:t>
      </w:r>
      <w:r w:rsidR="000F2427" w:rsidRPr="00443D59">
        <w:rPr>
          <w:rFonts w:ascii="Times New Roman" w:hAnsi="Times New Roman" w:cs="Times New Roman"/>
          <w:lang w:val="ro-RO"/>
        </w:rPr>
        <w:t xml:space="preserve">, </w:t>
      </w:r>
      <w:r w:rsidR="00152E53" w:rsidRPr="00443D59">
        <w:rPr>
          <w:rFonts w:ascii="Times New Roman" w:hAnsi="Times New Roman" w:cs="Times New Roman"/>
          <w:lang w:val="ro-RO"/>
        </w:rPr>
        <w:t>dezvoltarea infrastructurii de transport și digitale</w:t>
      </w:r>
      <w:r w:rsidR="000F2427" w:rsidRPr="00443D59">
        <w:rPr>
          <w:rFonts w:ascii="Times New Roman" w:hAnsi="Times New Roman" w:cs="Times New Roman"/>
          <w:lang w:val="ro-RO"/>
        </w:rPr>
        <w:t xml:space="preserve">, </w:t>
      </w:r>
      <w:r w:rsidR="00152E53" w:rsidRPr="00443D59">
        <w:rPr>
          <w:rFonts w:ascii="Times New Roman" w:hAnsi="Times New Roman" w:cs="Times New Roman"/>
          <w:lang w:val="ro-RO"/>
        </w:rPr>
        <w:t>sprijin pentru antreprenoriat rural și IMM-uri</w:t>
      </w:r>
      <w:r w:rsidR="000F2427" w:rsidRPr="00443D59">
        <w:rPr>
          <w:rFonts w:ascii="Times New Roman" w:hAnsi="Times New Roman" w:cs="Times New Roman"/>
          <w:lang w:val="ro-RO"/>
        </w:rPr>
        <w:t xml:space="preserve">, </w:t>
      </w:r>
      <w:r w:rsidR="00152E53" w:rsidRPr="00443D59">
        <w:rPr>
          <w:rFonts w:ascii="Times New Roman" w:hAnsi="Times New Roman" w:cs="Times New Roman"/>
          <w:lang w:val="ro-RO"/>
        </w:rPr>
        <w:t>programe de mobilitate regională a forței de muncă</w:t>
      </w:r>
      <w:r w:rsidR="000F2427" w:rsidRPr="00443D59">
        <w:rPr>
          <w:rFonts w:ascii="Times New Roman" w:hAnsi="Times New Roman" w:cs="Times New Roman"/>
          <w:lang w:val="ro-RO"/>
        </w:rPr>
        <w:t xml:space="preserve">, </w:t>
      </w:r>
      <w:r w:rsidR="00152E53" w:rsidRPr="00443D59">
        <w:rPr>
          <w:rFonts w:ascii="Times New Roman" w:hAnsi="Times New Roman" w:cs="Times New Roman"/>
          <w:lang w:val="ro-RO"/>
        </w:rPr>
        <w:t xml:space="preserve">formare profesională adaptată </w:t>
      </w:r>
      <w:r w:rsidR="000F2427" w:rsidRPr="00443D59">
        <w:rPr>
          <w:rFonts w:ascii="Times New Roman" w:hAnsi="Times New Roman" w:cs="Times New Roman"/>
          <w:lang w:val="ro-RO"/>
        </w:rPr>
        <w:t>nevoilor comunității locale etc</w:t>
      </w:r>
      <w:r w:rsidR="00152E53" w:rsidRPr="00443D59">
        <w:rPr>
          <w:rFonts w:ascii="Times New Roman" w:hAnsi="Times New Roman" w:cs="Times New Roman"/>
          <w:lang w:val="ro-RO"/>
        </w:rPr>
        <w:t>.</w:t>
      </w:r>
    </w:p>
    <w:p w14:paraId="2F8FB29C" w14:textId="5EACB4AC" w:rsidR="008C5B9E" w:rsidRPr="00443D59" w:rsidRDefault="008C5B9E" w:rsidP="008C5B9E">
      <w:pPr>
        <w:rPr>
          <w:rFonts w:ascii="Times New Roman" w:hAnsi="Times New Roman" w:cs="Times New Roman"/>
          <w:lang w:val="ro-RO"/>
        </w:rPr>
      </w:pPr>
      <w:r w:rsidRPr="00443D59">
        <w:rPr>
          <w:rFonts w:ascii="Times New Roman" w:hAnsi="Times New Roman" w:cs="Times New Roman"/>
          <w:lang w:val="ro-RO"/>
        </w:rPr>
        <w:t>OCD</w:t>
      </w:r>
      <w:r w:rsidR="00EE11FB" w:rsidRPr="00443D59">
        <w:rPr>
          <w:rFonts w:ascii="Times New Roman" w:hAnsi="Times New Roman" w:cs="Times New Roman"/>
          <w:lang w:val="ro-RO"/>
        </w:rPr>
        <w:t>E</w:t>
      </w:r>
      <w:r w:rsidRPr="00443D59">
        <w:rPr>
          <w:rFonts w:ascii="Times New Roman" w:hAnsi="Times New Roman" w:cs="Times New Roman"/>
          <w:lang w:val="ro-RO"/>
        </w:rPr>
        <w:t xml:space="preserve"> su</w:t>
      </w:r>
      <w:r w:rsidR="009A1091" w:rsidRPr="00443D59">
        <w:rPr>
          <w:rFonts w:ascii="Times New Roman" w:hAnsi="Times New Roman" w:cs="Times New Roman"/>
          <w:lang w:val="ro-RO"/>
        </w:rPr>
        <w:t>bliniază</w:t>
      </w:r>
      <w:r w:rsidRPr="00443D59">
        <w:rPr>
          <w:rFonts w:ascii="Times New Roman" w:hAnsi="Times New Roman" w:cs="Times New Roman"/>
          <w:lang w:val="ro-RO"/>
        </w:rPr>
        <w:t xml:space="preserve"> că investițiile țintite în preven</w:t>
      </w:r>
      <w:r w:rsidR="009A1091" w:rsidRPr="00443D59">
        <w:rPr>
          <w:rFonts w:ascii="Times New Roman" w:hAnsi="Times New Roman" w:cs="Times New Roman"/>
          <w:lang w:val="ro-RO"/>
        </w:rPr>
        <w:t xml:space="preserve">ție în sănătate </w:t>
      </w:r>
      <w:r w:rsidRPr="00443D59">
        <w:rPr>
          <w:rFonts w:ascii="Times New Roman" w:hAnsi="Times New Roman" w:cs="Times New Roman"/>
          <w:lang w:val="ro-RO"/>
        </w:rPr>
        <w:t>și în adaptarea competențelor la era digitală nu sunt doar măsuri de protecție</w:t>
      </w:r>
      <w:r w:rsidR="00FB6AEC" w:rsidRPr="00443D59">
        <w:rPr>
          <w:rFonts w:ascii="Times New Roman" w:hAnsi="Times New Roman" w:cs="Times New Roman"/>
          <w:lang w:val="ro-RO"/>
        </w:rPr>
        <w:t xml:space="preserve"> sau imperative sociale</w:t>
      </w:r>
      <w:r w:rsidRPr="00443D59">
        <w:rPr>
          <w:rFonts w:ascii="Times New Roman" w:hAnsi="Times New Roman" w:cs="Times New Roman"/>
          <w:lang w:val="ro-RO"/>
        </w:rPr>
        <w:t>, ci motoare de productivitate</w:t>
      </w:r>
      <w:r w:rsidR="00FB6AEC" w:rsidRPr="00443D59">
        <w:rPr>
          <w:rFonts w:ascii="Times New Roman" w:hAnsi="Times New Roman" w:cs="Times New Roman"/>
          <w:lang w:val="ro-RO"/>
        </w:rPr>
        <w:t>, asigurând reziliența modelului de creștere în fața îmbătrânirii populației</w:t>
      </w:r>
      <w:r w:rsidRPr="00443D59">
        <w:rPr>
          <w:rFonts w:ascii="Times New Roman" w:hAnsi="Times New Roman" w:cs="Times New Roman"/>
          <w:lang w:val="ro-RO"/>
        </w:rPr>
        <w:t xml:space="preserve">. Adresarea acestor </w:t>
      </w:r>
      <w:r w:rsidRPr="00443D59">
        <w:rPr>
          <w:rFonts w:ascii="Times New Roman" w:hAnsi="Times New Roman" w:cs="Times New Roman"/>
          <w:lang w:val="ro-RO"/>
        </w:rPr>
        <w:lastRenderedPageBreak/>
        <w:t>vulnerabilități demografice prin reforme structurale va permite României să își mențină avantajul competitiv, trecând de la costuri scăzute la o forță de muncă înalt calificată și adaptabilă.</w:t>
      </w:r>
    </w:p>
    <w:p w14:paraId="57ABE5D4" w14:textId="1D452484" w:rsidR="002008B8" w:rsidRPr="00443D59" w:rsidRDefault="008C5B9E" w:rsidP="002008B8">
      <w:pPr>
        <w:rPr>
          <w:rFonts w:ascii="Times New Roman" w:hAnsi="Times New Roman" w:cs="Times New Roman"/>
          <w:b/>
          <w:bCs/>
          <w:lang w:val="ro-RO"/>
        </w:rPr>
      </w:pPr>
      <w:r w:rsidRPr="00443D59">
        <w:rPr>
          <w:rFonts w:ascii="Times New Roman" w:hAnsi="Times New Roman" w:cs="Times New Roman"/>
          <w:b/>
          <w:bCs/>
          <w:lang w:val="ro-RO"/>
        </w:rPr>
        <w:t xml:space="preserve">O altă observație valoroasă a experților </w:t>
      </w:r>
      <w:r w:rsidR="000F2427" w:rsidRPr="00443D59">
        <w:rPr>
          <w:rFonts w:ascii="Times New Roman" w:hAnsi="Times New Roman" w:cs="Times New Roman"/>
          <w:b/>
          <w:bCs/>
          <w:lang w:val="ro-RO"/>
        </w:rPr>
        <w:t>OCD</w:t>
      </w:r>
      <w:r w:rsidR="00EE11FB" w:rsidRPr="00443D59">
        <w:rPr>
          <w:rFonts w:ascii="Times New Roman" w:hAnsi="Times New Roman" w:cs="Times New Roman"/>
          <w:b/>
          <w:bCs/>
          <w:lang w:val="ro-RO"/>
        </w:rPr>
        <w:t>E</w:t>
      </w:r>
      <w:r w:rsidR="000F2427" w:rsidRPr="00443D59">
        <w:rPr>
          <w:rFonts w:ascii="Times New Roman" w:hAnsi="Times New Roman" w:cs="Times New Roman"/>
          <w:b/>
          <w:bCs/>
          <w:lang w:val="ro-RO"/>
        </w:rPr>
        <w:t xml:space="preserve"> inclusă în raport </w:t>
      </w:r>
      <w:r w:rsidRPr="00443D59">
        <w:rPr>
          <w:rFonts w:ascii="Times New Roman" w:hAnsi="Times New Roman" w:cs="Times New Roman"/>
          <w:b/>
          <w:bCs/>
          <w:lang w:val="ro-RO"/>
        </w:rPr>
        <w:t xml:space="preserve">vizează saltul tehnologic pe care economia </w:t>
      </w:r>
      <w:r w:rsidR="000F2427" w:rsidRPr="00443D59">
        <w:rPr>
          <w:rFonts w:ascii="Times New Roman" w:hAnsi="Times New Roman" w:cs="Times New Roman"/>
          <w:b/>
          <w:bCs/>
          <w:lang w:val="ro-RO"/>
        </w:rPr>
        <w:t>României are capacitatea de a-l</w:t>
      </w:r>
      <w:r w:rsidRPr="00443D59">
        <w:rPr>
          <w:rFonts w:ascii="Times New Roman" w:hAnsi="Times New Roman" w:cs="Times New Roman"/>
          <w:b/>
          <w:bCs/>
          <w:lang w:val="ro-RO"/>
        </w:rPr>
        <w:t xml:space="preserve"> realiza. Deși adoptarea tehnologiilor avansate în business-ul local a fost </w:t>
      </w:r>
      <w:r w:rsidR="009A1091" w:rsidRPr="00443D59">
        <w:rPr>
          <w:rFonts w:ascii="Times New Roman" w:hAnsi="Times New Roman" w:cs="Times New Roman"/>
          <w:b/>
          <w:bCs/>
          <w:lang w:val="ro-RO"/>
        </w:rPr>
        <w:t>modestă</w:t>
      </w:r>
      <w:r w:rsidRPr="00443D59">
        <w:rPr>
          <w:rFonts w:ascii="Times New Roman" w:hAnsi="Times New Roman" w:cs="Times New Roman"/>
          <w:b/>
          <w:bCs/>
          <w:lang w:val="ro-RO"/>
        </w:rPr>
        <w:t xml:space="preserve">, </w:t>
      </w:r>
      <w:r w:rsidR="00FB6AEC" w:rsidRPr="00443D59">
        <w:rPr>
          <w:rFonts w:ascii="Times New Roman" w:hAnsi="Times New Roman" w:cs="Times New Roman"/>
          <w:b/>
          <w:bCs/>
          <w:lang w:val="ro-RO"/>
        </w:rPr>
        <w:t xml:space="preserve">fiind limitată </w:t>
      </w:r>
      <w:r w:rsidR="00EE11FB" w:rsidRPr="00443D59">
        <w:rPr>
          <w:rFonts w:ascii="Times New Roman" w:hAnsi="Times New Roman" w:cs="Times New Roman"/>
          <w:b/>
          <w:bCs/>
          <w:lang w:val="ro-RO"/>
        </w:rPr>
        <w:t xml:space="preserve">de </w:t>
      </w:r>
      <w:r w:rsidR="000F2427" w:rsidRPr="00443D59">
        <w:rPr>
          <w:rFonts w:ascii="Times New Roman" w:hAnsi="Times New Roman" w:cs="Times New Roman"/>
          <w:b/>
          <w:bCs/>
          <w:lang w:val="ro-RO"/>
        </w:rPr>
        <w:t>experiența</w:t>
      </w:r>
      <w:r w:rsidR="00FB6AEC" w:rsidRPr="00443D59">
        <w:rPr>
          <w:rFonts w:ascii="Times New Roman" w:hAnsi="Times New Roman" w:cs="Times New Roman"/>
          <w:b/>
          <w:bCs/>
          <w:lang w:val="ro-RO"/>
        </w:rPr>
        <w:t xml:space="preserve"> managerial</w:t>
      </w:r>
      <w:r w:rsidR="000F2427" w:rsidRPr="00443D59">
        <w:rPr>
          <w:rFonts w:ascii="Times New Roman" w:hAnsi="Times New Roman" w:cs="Times New Roman"/>
          <w:b/>
          <w:bCs/>
          <w:lang w:val="ro-RO"/>
        </w:rPr>
        <w:t>ă inerent</w:t>
      </w:r>
      <w:r w:rsidR="00FB6AEC" w:rsidRPr="00443D59">
        <w:rPr>
          <w:rFonts w:ascii="Times New Roman" w:hAnsi="Times New Roman" w:cs="Times New Roman"/>
          <w:b/>
          <w:bCs/>
          <w:lang w:val="ro-RO"/>
        </w:rPr>
        <w:t xml:space="preserve"> deficitar</w:t>
      </w:r>
      <w:r w:rsidR="000F2427" w:rsidRPr="00443D59">
        <w:rPr>
          <w:rFonts w:ascii="Times New Roman" w:hAnsi="Times New Roman" w:cs="Times New Roman"/>
          <w:b/>
          <w:bCs/>
          <w:lang w:val="ro-RO"/>
        </w:rPr>
        <w:t>ă</w:t>
      </w:r>
      <w:r w:rsidR="00FB6AEC" w:rsidRPr="00443D59">
        <w:rPr>
          <w:rFonts w:ascii="Times New Roman" w:hAnsi="Times New Roman" w:cs="Times New Roman"/>
          <w:b/>
          <w:bCs/>
          <w:lang w:val="ro-RO"/>
        </w:rPr>
        <w:t xml:space="preserve"> și de un acces restrâns la finanțare, </w:t>
      </w:r>
      <w:r w:rsidRPr="00443D59">
        <w:rPr>
          <w:rFonts w:ascii="Times New Roman" w:hAnsi="Times New Roman" w:cs="Times New Roman"/>
          <w:b/>
          <w:bCs/>
          <w:lang w:val="ro-RO"/>
        </w:rPr>
        <w:t xml:space="preserve">infrastructura digitală </w:t>
      </w:r>
      <w:r w:rsidR="000F2427" w:rsidRPr="00443D59">
        <w:rPr>
          <w:rFonts w:ascii="Times New Roman" w:hAnsi="Times New Roman" w:cs="Times New Roman"/>
          <w:b/>
          <w:bCs/>
          <w:lang w:val="ro-RO"/>
        </w:rPr>
        <w:t xml:space="preserve">generalizată și </w:t>
      </w:r>
      <w:r w:rsidRPr="00443D59">
        <w:rPr>
          <w:rFonts w:ascii="Times New Roman" w:hAnsi="Times New Roman" w:cs="Times New Roman"/>
          <w:b/>
          <w:bCs/>
          <w:lang w:val="ro-RO"/>
        </w:rPr>
        <w:t xml:space="preserve">de </w:t>
      </w:r>
      <w:r w:rsidR="000F2427" w:rsidRPr="00443D59">
        <w:rPr>
          <w:rFonts w:ascii="Times New Roman" w:hAnsi="Times New Roman" w:cs="Times New Roman"/>
          <w:b/>
          <w:bCs/>
          <w:lang w:val="ro-RO"/>
        </w:rPr>
        <w:t>nivel ridicat</w:t>
      </w:r>
      <w:r w:rsidRPr="00443D59">
        <w:rPr>
          <w:rFonts w:ascii="Times New Roman" w:hAnsi="Times New Roman" w:cs="Times New Roman"/>
          <w:b/>
          <w:bCs/>
          <w:lang w:val="ro-RO"/>
        </w:rPr>
        <w:t xml:space="preserve"> a României oferă fundația ideală pentru o accelerare rapidă a productivității. </w:t>
      </w:r>
      <w:r w:rsidR="000F2427" w:rsidRPr="00443D59">
        <w:rPr>
          <w:rFonts w:ascii="Times New Roman" w:hAnsi="Times New Roman" w:cs="Times New Roman"/>
          <w:b/>
          <w:bCs/>
          <w:lang w:val="ro-RO"/>
        </w:rPr>
        <w:t>Demersurile pentru întărirea</w:t>
      </w:r>
      <w:r w:rsidRPr="00443D59">
        <w:rPr>
          <w:rFonts w:ascii="Times New Roman" w:hAnsi="Times New Roman" w:cs="Times New Roman"/>
          <w:b/>
          <w:bCs/>
          <w:lang w:val="ro-RO"/>
        </w:rPr>
        <w:t xml:space="preserve"> guvernanței</w:t>
      </w:r>
      <w:r w:rsidR="009A1091" w:rsidRPr="00443D59">
        <w:rPr>
          <w:rFonts w:ascii="Times New Roman" w:hAnsi="Times New Roman" w:cs="Times New Roman"/>
          <w:b/>
          <w:bCs/>
          <w:lang w:val="ro-RO"/>
        </w:rPr>
        <w:t>,</w:t>
      </w:r>
      <w:r w:rsidRPr="00443D59">
        <w:rPr>
          <w:rFonts w:ascii="Times New Roman" w:hAnsi="Times New Roman" w:cs="Times New Roman"/>
          <w:b/>
          <w:bCs/>
          <w:lang w:val="ro-RO"/>
        </w:rPr>
        <w:t xml:space="preserve"> </w:t>
      </w:r>
      <w:r w:rsidR="000F2427" w:rsidRPr="00443D59">
        <w:rPr>
          <w:rFonts w:ascii="Times New Roman" w:hAnsi="Times New Roman" w:cs="Times New Roman"/>
          <w:b/>
          <w:bCs/>
          <w:lang w:val="ro-RO"/>
        </w:rPr>
        <w:t xml:space="preserve">creșterea </w:t>
      </w:r>
      <w:r w:rsidR="009A1091" w:rsidRPr="00443D59">
        <w:rPr>
          <w:rFonts w:ascii="Times New Roman" w:hAnsi="Times New Roman" w:cs="Times New Roman"/>
          <w:b/>
          <w:bCs/>
          <w:lang w:val="ro-RO"/>
        </w:rPr>
        <w:t>predictibilit</w:t>
      </w:r>
      <w:r w:rsidR="000F2427" w:rsidRPr="00443D59">
        <w:rPr>
          <w:rFonts w:ascii="Times New Roman" w:hAnsi="Times New Roman" w:cs="Times New Roman"/>
          <w:b/>
          <w:bCs/>
          <w:lang w:val="ro-RO"/>
        </w:rPr>
        <w:t>ății cadrului de reglementare și fiscal, precum și mai multă claritate în</w:t>
      </w:r>
      <w:r w:rsidR="009A1091" w:rsidRPr="00443D59">
        <w:rPr>
          <w:rFonts w:ascii="Times New Roman" w:hAnsi="Times New Roman" w:cs="Times New Roman"/>
          <w:b/>
          <w:bCs/>
          <w:lang w:val="ro-RO"/>
        </w:rPr>
        <w:t xml:space="preserve"> procesul de autorizare</w:t>
      </w:r>
      <w:r w:rsidRPr="00443D59">
        <w:rPr>
          <w:rFonts w:ascii="Times New Roman" w:hAnsi="Times New Roman" w:cs="Times New Roman"/>
          <w:b/>
          <w:bCs/>
          <w:lang w:val="ro-RO"/>
        </w:rPr>
        <w:t xml:space="preserve">, vor </w:t>
      </w:r>
      <w:r w:rsidR="000F2427" w:rsidRPr="00443D59">
        <w:rPr>
          <w:rFonts w:ascii="Times New Roman" w:hAnsi="Times New Roman" w:cs="Times New Roman"/>
          <w:b/>
          <w:bCs/>
          <w:lang w:val="ro-RO"/>
        </w:rPr>
        <w:t xml:space="preserve">contribui la </w:t>
      </w:r>
      <w:r w:rsidRPr="00443D59">
        <w:rPr>
          <w:rFonts w:ascii="Times New Roman" w:hAnsi="Times New Roman" w:cs="Times New Roman"/>
          <w:b/>
          <w:bCs/>
          <w:lang w:val="ro-RO"/>
        </w:rPr>
        <w:t xml:space="preserve">acest dinamism latent al sectorului privat. Astfel, aderarea la OCDE devine instrumentul prin care România își </w:t>
      </w:r>
      <w:r w:rsidR="009A1091" w:rsidRPr="00443D59">
        <w:rPr>
          <w:rFonts w:ascii="Times New Roman" w:hAnsi="Times New Roman" w:cs="Times New Roman"/>
          <w:b/>
          <w:bCs/>
          <w:lang w:val="ro-RO"/>
        </w:rPr>
        <w:t xml:space="preserve">poate </w:t>
      </w:r>
      <w:r w:rsidRPr="00443D59">
        <w:rPr>
          <w:rFonts w:ascii="Times New Roman" w:hAnsi="Times New Roman" w:cs="Times New Roman"/>
          <w:b/>
          <w:bCs/>
          <w:lang w:val="ro-RO"/>
        </w:rPr>
        <w:t>rafin</w:t>
      </w:r>
      <w:r w:rsidR="009A1091" w:rsidRPr="00443D59">
        <w:rPr>
          <w:rFonts w:ascii="Times New Roman" w:hAnsi="Times New Roman" w:cs="Times New Roman"/>
          <w:b/>
          <w:bCs/>
          <w:lang w:val="ro-RO"/>
        </w:rPr>
        <w:t>a</w:t>
      </w:r>
      <w:r w:rsidRPr="00443D59">
        <w:rPr>
          <w:rFonts w:ascii="Times New Roman" w:hAnsi="Times New Roman" w:cs="Times New Roman"/>
          <w:b/>
          <w:bCs/>
          <w:lang w:val="ro-RO"/>
        </w:rPr>
        <w:t xml:space="preserve"> mediul de afaceri, transformând încrederea investitorilor într-un capital productiv capabil să susțină o convergență reală și de durată cu cele mai avansate economii ale lumii.</w:t>
      </w:r>
    </w:p>
    <w:p w14:paraId="6C8939FD" w14:textId="4347F974" w:rsidR="00F01CED" w:rsidRPr="00443D59" w:rsidRDefault="00200B5D" w:rsidP="000F2427">
      <w:pPr>
        <w:rPr>
          <w:rFonts w:ascii="Times New Roman" w:hAnsi="Times New Roman" w:cs="Times New Roman"/>
          <w:lang w:val="ro-RO"/>
        </w:rPr>
      </w:pPr>
      <w:r w:rsidRPr="00443D59">
        <w:rPr>
          <w:rFonts w:ascii="Times New Roman" w:hAnsi="Times New Roman" w:cs="Times New Roman"/>
          <w:lang w:val="ro-RO"/>
        </w:rPr>
        <w:t>Pentru a monitoriza dacă succesul diplomatic</w:t>
      </w:r>
      <w:r w:rsidR="000F2427" w:rsidRPr="00443D59">
        <w:rPr>
          <w:rFonts w:ascii="Times New Roman" w:hAnsi="Times New Roman" w:cs="Times New Roman"/>
          <w:lang w:val="ro-RO"/>
        </w:rPr>
        <w:t xml:space="preserve"> și administrativ de până acum al demersurilor de aderare la OCD</w:t>
      </w:r>
      <w:r w:rsidR="009A1891" w:rsidRPr="00443D59">
        <w:rPr>
          <w:rFonts w:ascii="Times New Roman" w:hAnsi="Times New Roman" w:cs="Times New Roman"/>
          <w:lang w:val="ro-RO"/>
        </w:rPr>
        <w:t>E</w:t>
      </w:r>
      <w:r w:rsidR="000F2427" w:rsidRPr="00443D59">
        <w:rPr>
          <w:rFonts w:ascii="Times New Roman" w:hAnsi="Times New Roman" w:cs="Times New Roman"/>
          <w:lang w:val="ro-RO"/>
        </w:rPr>
        <w:t xml:space="preserve"> </w:t>
      </w:r>
      <w:r w:rsidRPr="00443D59">
        <w:rPr>
          <w:rFonts w:ascii="Times New Roman" w:hAnsi="Times New Roman" w:cs="Times New Roman"/>
          <w:lang w:val="ro-RO"/>
        </w:rPr>
        <w:t xml:space="preserve">se traduce în succes economic real, </w:t>
      </w:r>
      <w:r w:rsidR="000F2427" w:rsidRPr="00443D59">
        <w:rPr>
          <w:rFonts w:ascii="Times New Roman" w:hAnsi="Times New Roman" w:cs="Times New Roman"/>
          <w:lang w:val="ro-RO"/>
        </w:rPr>
        <w:t xml:space="preserve">se poate utiliza </w:t>
      </w:r>
      <w:r w:rsidRPr="00443D59">
        <w:rPr>
          <w:rFonts w:ascii="Times New Roman" w:hAnsi="Times New Roman" w:cs="Times New Roman"/>
          <w:lang w:val="ro-RO"/>
        </w:rPr>
        <w:t xml:space="preserve">un mix de indicatori </w:t>
      </w:r>
      <w:r w:rsidR="000F2427" w:rsidRPr="00443D59">
        <w:rPr>
          <w:rFonts w:ascii="Times New Roman" w:hAnsi="Times New Roman" w:cs="Times New Roman"/>
          <w:lang w:val="ro-RO"/>
        </w:rPr>
        <w:t xml:space="preserve">utilizat în raport și </w:t>
      </w:r>
      <w:r w:rsidRPr="00443D59">
        <w:rPr>
          <w:rFonts w:ascii="Times New Roman" w:hAnsi="Times New Roman" w:cs="Times New Roman"/>
          <w:lang w:val="ro-RO"/>
        </w:rPr>
        <w:t xml:space="preserve">care </w:t>
      </w:r>
      <w:r w:rsidR="00CB73CE" w:rsidRPr="00443D59">
        <w:rPr>
          <w:rFonts w:ascii="Times New Roman" w:hAnsi="Times New Roman" w:cs="Times New Roman"/>
          <w:lang w:val="ro-RO"/>
        </w:rPr>
        <w:t xml:space="preserve">reflectă cel mai bine </w:t>
      </w:r>
      <w:r w:rsidRPr="00443D59">
        <w:rPr>
          <w:rFonts w:ascii="Times New Roman" w:hAnsi="Times New Roman" w:cs="Times New Roman"/>
          <w:lang w:val="ro-RO"/>
        </w:rPr>
        <w:t xml:space="preserve">canalele de transmisie menționate </w:t>
      </w:r>
      <w:r w:rsidR="00CB73CE" w:rsidRPr="00443D59">
        <w:rPr>
          <w:rFonts w:ascii="Times New Roman" w:hAnsi="Times New Roman" w:cs="Times New Roman"/>
          <w:lang w:val="ro-RO"/>
        </w:rPr>
        <w:t>anterior</w:t>
      </w:r>
      <w:r w:rsidR="000F2427" w:rsidRPr="00443D59">
        <w:rPr>
          <w:rFonts w:ascii="Times New Roman" w:hAnsi="Times New Roman" w:cs="Times New Roman"/>
          <w:lang w:val="ro-RO"/>
        </w:rPr>
        <w:t>, reprezentativi pentru cele mai importante categorii:</w:t>
      </w:r>
      <w:r w:rsidR="00CB73CE" w:rsidRPr="00443D59">
        <w:rPr>
          <w:rFonts w:ascii="Times New Roman" w:hAnsi="Times New Roman" w:cs="Times New Roman"/>
          <w:b/>
          <w:bCs/>
          <w:lang w:val="ro-RO"/>
        </w:rPr>
        <w:t xml:space="preserve"> </w:t>
      </w:r>
      <w:r w:rsidR="006E19D5" w:rsidRPr="00443D59">
        <w:rPr>
          <w:rFonts w:ascii="Times New Roman" w:hAnsi="Times New Roman" w:cs="Times New Roman"/>
          <w:lang w:val="ro-RO"/>
        </w:rPr>
        <w:t>r</w:t>
      </w:r>
      <w:r w:rsidR="00CB73CE" w:rsidRPr="00443D59">
        <w:rPr>
          <w:rFonts w:ascii="Times New Roman" w:hAnsi="Times New Roman" w:cs="Times New Roman"/>
          <w:lang w:val="ro-RO"/>
        </w:rPr>
        <w:t xml:space="preserve">isc și </w:t>
      </w:r>
      <w:r w:rsidR="006E19D5" w:rsidRPr="00443D59">
        <w:rPr>
          <w:rFonts w:ascii="Times New Roman" w:hAnsi="Times New Roman" w:cs="Times New Roman"/>
          <w:lang w:val="ro-RO"/>
        </w:rPr>
        <w:t>s</w:t>
      </w:r>
      <w:r w:rsidR="00CB73CE" w:rsidRPr="00443D59">
        <w:rPr>
          <w:rFonts w:ascii="Times New Roman" w:hAnsi="Times New Roman" w:cs="Times New Roman"/>
          <w:lang w:val="ro-RO"/>
        </w:rPr>
        <w:t xml:space="preserve">tabilitate </w:t>
      </w:r>
      <w:r w:rsidR="006E19D5" w:rsidRPr="00443D59">
        <w:rPr>
          <w:rFonts w:ascii="Times New Roman" w:hAnsi="Times New Roman" w:cs="Times New Roman"/>
          <w:lang w:val="ro-RO"/>
        </w:rPr>
        <w:t>f</w:t>
      </w:r>
      <w:r w:rsidR="00CB73CE" w:rsidRPr="00443D59">
        <w:rPr>
          <w:rFonts w:ascii="Times New Roman" w:hAnsi="Times New Roman" w:cs="Times New Roman"/>
          <w:lang w:val="ro-RO"/>
        </w:rPr>
        <w:t>inanciară</w:t>
      </w:r>
      <w:r w:rsidR="000F2427" w:rsidRPr="00443D59">
        <w:rPr>
          <w:rFonts w:ascii="Times New Roman" w:hAnsi="Times New Roman" w:cs="Times New Roman"/>
          <w:lang w:val="ro-RO"/>
        </w:rPr>
        <w:t xml:space="preserve">, </w:t>
      </w:r>
      <w:r w:rsidR="00FD3E6C" w:rsidRPr="00443D59">
        <w:rPr>
          <w:rFonts w:ascii="Times New Roman" w:hAnsi="Times New Roman" w:cs="Times New Roman"/>
          <w:lang w:val="ro-RO"/>
        </w:rPr>
        <w:t>f</w:t>
      </w:r>
      <w:r w:rsidR="00CB73CE" w:rsidRPr="00443D59">
        <w:rPr>
          <w:rFonts w:ascii="Times New Roman" w:hAnsi="Times New Roman" w:cs="Times New Roman"/>
          <w:lang w:val="ro-RO"/>
        </w:rPr>
        <w:t xml:space="preserve">luxuri de </w:t>
      </w:r>
      <w:r w:rsidR="00FD3E6C" w:rsidRPr="00443D59">
        <w:rPr>
          <w:rFonts w:ascii="Times New Roman" w:hAnsi="Times New Roman" w:cs="Times New Roman"/>
          <w:lang w:val="ro-RO"/>
        </w:rPr>
        <w:t>c</w:t>
      </w:r>
      <w:r w:rsidR="00CB73CE" w:rsidRPr="00443D59">
        <w:rPr>
          <w:rFonts w:ascii="Times New Roman" w:hAnsi="Times New Roman" w:cs="Times New Roman"/>
          <w:lang w:val="ro-RO"/>
        </w:rPr>
        <w:t xml:space="preserve">apital și </w:t>
      </w:r>
      <w:r w:rsidR="00FD3E6C" w:rsidRPr="00443D59">
        <w:rPr>
          <w:rFonts w:ascii="Times New Roman" w:hAnsi="Times New Roman" w:cs="Times New Roman"/>
          <w:lang w:val="ro-RO"/>
        </w:rPr>
        <w:t>i</w:t>
      </w:r>
      <w:r w:rsidR="00CB73CE" w:rsidRPr="00443D59">
        <w:rPr>
          <w:rFonts w:ascii="Times New Roman" w:hAnsi="Times New Roman" w:cs="Times New Roman"/>
          <w:lang w:val="ro-RO"/>
        </w:rPr>
        <w:t>nvestiții</w:t>
      </w:r>
      <w:r w:rsidR="000F2427" w:rsidRPr="00443D59">
        <w:rPr>
          <w:rFonts w:ascii="Times New Roman" w:hAnsi="Times New Roman" w:cs="Times New Roman"/>
          <w:lang w:val="ro-RO"/>
        </w:rPr>
        <w:t xml:space="preserve">, </w:t>
      </w:r>
      <w:r w:rsidR="00AB15B9" w:rsidRPr="00443D59">
        <w:rPr>
          <w:rFonts w:ascii="Times New Roman" w:hAnsi="Times New Roman" w:cs="Times New Roman"/>
          <w:lang w:val="ro-RO"/>
        </w:rPr>
        <w:t>p</w:t>
      </w:r>
      <w:r w:rsidR="00E42DC6" w:rsidRPr="00443D59">
        <w:rPr>
          <w:rFonts w:ascii="Times New Roman" w:hAnsi="Times New Roman" w:cs="Times New Roman"/>
          <w:lang w:val="ro-RO"/>
        </w:rPr>
        <w:t xml:space="preserve">roductivitate și </w:t>
      </w:r>
      <w:r w:rsidR="00AB15B9" w:rsidRPr="00443D59">
        <w:rPr>
          <w:rFonts w:ascii="Times New Roman" w:hAnsi="Times New Roman" w:cs="Times New Roman"/>
          <w:lang w:val="ro-RO"/>
        </w:rPr>
        <w:t>s</w:t>
      </w:r>
      <w:r w:rsidR="00E42DC6" w:rsidRPr="00443D59">
        <w:rPr>
          <w:rFonts w:ascii="Times New Roman" w:hAnsi="Times New Roman" w:cs="Times New Roman"/>
          <w:lang w:val="ro-RO"/>
        </w:rPr>
        <w:t xml:space="preserve">tructură </w:t>
      </w:r>
      <w:r w:rsidR="00AB15B9" w:rsidRPr="00443D59">
        <w:rPr>
          <w:rFonts w:ascii="Times New Roman" w:hAnsi="Times New Roman" w:cs="Times New Roman"/>
          <w:lang w:val="ro-RO"/>
        </w:rPr>
        <w:t>e</w:t>
      </w:r>
      <w:r w:rsidR="00E42DC6" w:rsidRPr="00443D59">
        <w:rPr>
          <w:rFonts w:ascii="Times New Roman" w:hAnsi="Times New Roman" w:cs="Times New Roman"/>
          <w:lang w:val="ro-RO"/>
        </w:rPr>
        <w:t>conomică</w:t>
      </w:r>
      <w:r w:rsidR="000F2427" w:rsidRPr="00443D59">
        <w:rPr>
          <w:rFonts w:ascii="Times New Roman" w:hAnsi="Times New Roman" w:cs="Times New Roman"/>
          <w:lang w:val="ro-RO"/>
        </w:rPr>
        <w:t xml:space="preserve">, </w:t>
      </w:r>
      <w:r w:rsidR="00AB15B9" w:rsidRPr="00443D59">
        <w:rPr>
          <w:rFonts w:ascii="Times New Roman" w:hAnsi="Times New Roman" w:cs="Times New Roman"/>
          <w:lang w:val="ro-RO"/>
        </w:rPr>
        <w:t>guvernanță și eficiență instituțională</w:t>
      </w:r>
      <w:r w:rsidR="000F2427" w:rsidRPr="00443D59">
        <w:rPr>
          <w:rFonts w:ascii="Times New Roman" w:hAnsi="Times New Roman" w:cs="Times New Roman"/>
          <w:lang w:val="ro-RO"/>
        </w:rPr>
        <w:t xml:space="preserve">, </w:t>
      </w:r>
      <w:r w:rsidR="00B770A0" w:rsidRPr="00443D59">
        <w:rPr>
          <w:rFonts w:ascii="Times New Roman" w:hAnsi="Times New Roman" w:cs="Times New Roman"/>
          <w:lang w:val="ro-RO"/>
        </w:rPr>
        <w:t>eficiență a cheltuielilor publice și capital uman</w:t>
      </w:r>
      <w:r w:rsidR="000F2427" w:rsidRPr="00443D59">
        <w:rPr>
          <w:rFonts w:ascii="Times New Roman" w:hAnsi="Times New Roman" w:cs="Times New Roman"/>
          <w:i/>
          <w:iCs/>
          <w:lang w:val="ro-RO"/>
        </w:rPr>
        <w:t>,</w:t>
      </w:r>
      <w:r w:rsidR="00F01CED" w:rsidRPr="00443D59">
        <w:rPr>
          <w:rFonts w:ascii="Times New Roman" w:hAnsi="Times New Roman" w:cs="Times New Roman"/>
          <w:lang w:val="ro-RO"/>
        </w:rPr>
        <w:t xml:space="preserve"> mobilitate și coeziune socială</w:t>
      </w:r>
      <w:r w:rsidR="006E19D5" w:rsidRPr="00443D59">
        <w:rPr>
          <w:rFonts w:ascii="Times New Roman" w:hAnsi="Times New Roman" w:cs="Times New Roman"/>
          <w:lang w:val="ro-RO"/>
        </w:rPr>
        <w:t>.</w:t>
      </w:r>
    </w:p>
    <w:p w14:paraId="7D16C59B" w14:textId="7F9EEDD1" w:rsidR="00DD0755" w:rsidRPr="00443D59" w:rsidRDefault="006E19D5" w:rsidP="0082408E">
      <w:pPr>
        <w:spacing w:after="120"/>
        <w:rPr>
          <w:rFonts w:ascii="Times New Roman" w:hAnsi="Times New Roman" w:cs="Times New Roman"/>
          <w:lang w:val="ro-RO"/>
        </w:rPr>
      </w:pPr>
      <w:r w:rsidRPr="00443D59">
        <w:rPr>
          <w:rFonts w:ascii="Times New Roman" w:hAnsi="Times New Roman" w:cs="Times New Roman"/>
          <w:lang w:val="ro-RO"/>
        </w:rPr>
        <w:t xml:space="preserve">Un element de importanță aparte din perspectiva procesului de ajustare pe care îl parcurge România în prezent </w:t>
      </w:r>
      <w:r w:rsidR="00D438B5" w:rsidRPr="00443D59">
        <w:rPr>
          <w:rFonts w:ascii="Times New Roman" w:hAnsi="Times New Roman" w:cs="Times New Roman"/>
          <w:lang w:val="ro-RO"/>
        </w:rPr>
        <w:t>este reprezentat de</w:t>
      </w:r>
      <w:r w:rsidRPr="00443D59">
        <w:rPr>
          <w:rFonts w:ascii="Times New Roman" w:hAnsi="Times New Roman" w:cs="Times New Roman"/>
          <w:lang w:val="ro-RO"/>
        </w:rPr>
        <w:t xml:space="preserve"> demersurile </w:t>
      </w:r>
      <w:r w:rsidR="00D438B5" w:rsidRPr="00443D59">
        <w:rPr>
          <w:rFonts w:ascii="Times New Roman" w:hAnsi="Times New Roman" w:cs="Times New Roman"/>
          <w:lang w:val="ro-RO"/>
        </w:rPr>
        <w:t xml:space="preserve">pentru </w:t>
      </w:r>
      <w:r w:rsidRPr="00443D59">
        <w:rPr>
          <w:rFonts w:ascii="Times New Roman" w:hAnsi="Times New Roman" w:cs="Times New Roman"/>
          <w:lang w:val="ro-RO"/>
        </w:rPr>
        <w:t>d</w:t>
      </w:r>
      <w:r w:rsidR="00DD0755" w:rsidRPr="00443D59">
        <w:rPr>
          <w:rFonts w:ascii="Times New Roman" w:hAnsi="Times New Roman" w:cs="Times New Roman"/>
          <w:lang w:val="ro-RO"/>
        </w:rPr>
        <w:t>igitalizarea administrației ca vector de accelerare a convergenței</w:t>
      </w:r>
      <w:r w:rsidRPr="00443D59">
        <w:rPr>
          <w:rFonts w:ascii="Times New Roman" w:hAnsi="Times New Roman" w:cs="Times New Roman"/>
          <w:lang w:val="ro-RO"/>
        </w:rPr>
        <w:t xml:space="preserve">. Dincolo de dimensiunea tehnologică propriu-zisă, digitalizarea administrației produce efecte economice favorabile printr-o serie de mecanisme structurale care influențează funcționarea piețelor, eficiența instituțională și sustenabilitatea finanțelor publice. Aceste efecte devin vizibile în mai multe domenii: reducerea costurilor de tranzacție, creșterea transparenței și implicit a credibilității și predictibilității administrației, stimularea inițiativelor economice, </w:t>
      </w:r>
      <w:r w:rsidR="00D438B5" w:rsidRPr="00443D59">
        <w:rPr>
          <w:rFonts w:ascii="Times New Roman" w:hAnsi="Times New Roman" w:cs="Times New Roman"/>
          <w:lang w:val="ro-RO"/>
        </w:rPr>
        <w:t xml:space="preserve">a </w:t>
      </w:r>
      <w:r w:rsidRPr="00443D59">
        <w:rPr>
          <w:rFonts w:ascii="Times New Roman" w:hAnsi="Times New Roman" w:cs="Times New Roman"/>
          <w:lang w:val="ro-RO"/>
        </w:rPr>
        <w:t xml:space="preserve">investițiilor și </w:t>
      </w:r>
      <w:r w:rsidR="00D438B5" w:rsidRPr="00443D59">
        <w:rPr>
          <w:rFonts w:ascii="Times New Roman" w:hAnsi="Times New Roman" w:cs="Times New Roman"/>
          <w:lang w:val="ro-RO"/>
        </w:rPr>
        <w:t xml:space="preserve">a </w:t>
      </w:r>
      <w:r w:rsidRPr="00443D59">
        <w:rPr>
          <w:rFonts w:ascii="Times New Roman" w:hAnsi="Times New Roman" w:cs="Times New Roman"/>
          <w:lang w:val="ro-RO"/>
        </w:rPr>
        <w:t>productivității, îmbunătățirea colectării fiscale. Aceste evoluții pot fi monitorizate prin indicatori precum:</w:t>
      </w:r>
    </w:p>
    <w:p w14:paraId="6DA7CF08" w14:textId="0F165720" w:rsidR="00DD0755" w:rsidRPr="00443D59" w:rsidRDefault="00DD0755" w:rsidP="00EE11FB">
      <w:pPr>
        <w:pStyle w:val="ListParagraph"/>
        <w:numPr>
          <w:ilvl w:val="0"/>
          <w:numId w:val="6"/>
        </w:numPr>
        <w:spacing w:before="120" w:after="120"/>
        <w:contextualSpacing w:val="0"/>
        <w:jc w:val="both"/>
        <w:rPr>
          <w:rFonts w:ascii="Times New Roman" w:hAnsi="Times New Roman" w:cs="Times New Roman"/>
          <w:lang w:val="ro-RO"/>
        </w:rPr>
      </w:pPr>
      <w:r w:rsidRPr="00443D59">
        <w:rPr>
          <w:rFonts w:ascii="Times New Roman" w:hAnsi="Times New Roman" w:cs="Times New Roman"/>
          <w:i/>
          <w:iCs/>
          <w:lang w:val="ro-RO"/>
        </w:rPr>
        <w:t>Interoperabilitatea datelor și reducerea costurilor de tranzacție</w:t>
      </w:r>
      <w:r w:rsidRPr="00443D59">
        <w:rPr>
          <w:rFonts w:ascii="Times New Roman" w:hAnsi="Times New Roman" w:cs="Times New Roman"/>
          <w:lang w:val="ro-RO"/>
        </w:rPr>
        <w:t xml:space="preserve"> – Din perspectivă economică, digitalizarea serviciilor publice funcționează ca un mecanism de reducere a fricțiunilor în piață</w:t>
      </w:r>
      <w:r w:rsidR="00D438B5" w:rsidRPr="00443D59">
        <w:rPr>
          <w:rFonts w:ascii="Times New Roman" w:hAnsi="Times New Roman" w:cs="Times New Roman"/>
          <w:lang w:val="ro-RO"/>
        </w:rPr>
        <w:t>,</w:t>
      </w:r>
      <w:r w:rsidRPr="00443D59">
        <w:rPr>
          <w:rFonts w:ascii="Times New Roman" w:hAnsi="Times New Roman" w:cs="Times New Roman"/>
          <w:lang w:val="ro-RO"/>
        </w:rPr>
        <w:t xml:space="preserve"> iar implementarea standardelor OCDE privind guvernarea digitală (e-government) permite debirocratizarea fluxurilor administrative, reducând semnificativ „taxa pe timp” suportată de sectorul privat. Acest progres se reflectă direct în Eficacitatea Guvernării, transformând interfața stat-cetățean dintr-un centru de cost într-un facilitator de business.</w:t>
      </w:r>
    </w:p>
    <w:p w14:paraId="59BE4C55" w14:textId="2E97BA09" w:rsidR="00DD0755" w:rsidRPr="00443D59" w:rsidRDefault="00DD0755" w:rsidP="00EE11FB">
      <w:pPr>
        <w:pStyle w:val="ListParagraph"/>
        <w:numPr>
          <w:ilvl w:val="0"/>
          <w:numId w:val="6"/>
        </w:numPr>
        <w:spacing w:before="120" w:after="120"/>
        <w:contextualSpacing w:val="0"/>
        <w:jc w:val="both"/>
        <w:rPr>
          <w:rFonts w:ascii="Times New Roman" w:hAnsi="Times New Roman" w:cs="Times New Roman"/>
          <w:lang w:val="ro-RO"/>
        </w:rPr>
      </w:pPr>
      <w:r w:rsidRPr="00443D59">
        <w:rPr>
          <w:rFonts w:ascii="Times New Roman" w:hAnsi="Times New Roman" w:cs="Times New Roman"/>
          <w:i/>
          <w:iCs/>
          <w:lang w:val="ro-RO"/>
        </w:rPr>
        <w:t>Transparența algoritmică și optimizarea achizițiilor publice</w:t>
      </w:r>
      <w:r w:rsidRPr="00443D59">
        <w:rPr>
          <w:rFonts w:ascii="Times New Roman" w:hAnsi="Times New Roman" w:cs="Times New Roman"/>
          <w:lang w:val="ro-RO"/>
        </w:rPr>
        <w:t xml:space="preserve"> – Digitalizarea proceselor de licitație și a gestiunii resurselor bugetare este antidotul tehnic pentru „instituționalismul de fațadă”. Prin utilizarea sistemelor de e-procurement și a monitorizării în timp real a cheltuielilor, se elimină asimetriile informaționale care favorizează distorsiunile de piață. Acest fapt consolidează încrederea investitorilor instituționali și optimizează alocarea capitalului către proiecte de infrastructură cu rată de rentabilitate socială ridicată.</w:t>
      </w:r>
    </w:p>
    <w:p w14:paraId="74833E67" w14:textId="35296D1F" w:rsidR="00DD0755" w:rsidRPr="00443D59" w:rsidRDefault="00DD0755" w:rsidP="00EE11FB">
      <w:pPr>
        <w:pStyle w:val="ListParagraph"/>
        <w:numPr>
          <w:ilvl w:val="0"/>
          <w:numId w:val="6"/>
        </w:numPr>
        <w:spacing w:before="120" w:after="120"/>
        <w:contextualSpacing w:val="0"/>
        <w:jc w:val="both"/>
        <w:rPr>
          <w:rFonts w:ascii="Times New Roman" w:hAnsi="Times New Roman" w:cs="Times New Roman"/>
          <w:lang w:val="ro-RO"/>
        </w:rPr>
      </w:pPr>
      <w:r w:rsidRPr="00443D59">
        <w:rPr>
          <w:rFonts w:ascii="Times New Roman" w:hAnsi="Times New Roman" w:cs="Times New Roman"/>
          <w:i/>
          <w:iCs/>
          <w:lang w:val="ro-RO"/>
        </w:rPr>
        <w:lastRenderedPageBreak/>
        <w:t>Digitalizarea fiscului și sustenabilitatea finanțelor publice</w:t>
      </w:r>
      <w:r w:rsidRPr="00443D59">
        <w:rPr>
          <w:rFonts w:ascii="Times New Roman" w:hAnsi="Times New Roman" w:cs="Times New Roman"/>
          <w:lang w:val="ro-RO"/>
        </w:rPr>
        <w:t xml:space="preserve"> – Modernizarea sistemelor de administrare fiscală (SAF-T, e-Factura etc) este esențială pentru lărgirea bazei de impozitare și reducerea deficitului de încasare a taxelor și impozitelor. Într-un context în care menținerea sustenabilității macroeconomice este o precondiție a aderării, eficiența digitală a ANAF devine garantul capacității statului de a susține investițiile publice fără a pune presiune pe prima de risc (CDS Spread).</w:t>
      </w:r>
    </w:p>
    <w:p w14:paraId="3187DC4B" w14:textId="630EAEEB" w:rsidR="00DD0755" w:rsidRPr="00443D59" w:rsidRDefault="00DD0755" w:rsidP="00EE11FB">
      <w:pPr>
        <w:pStyle w:val="ListParagraph"/>
        <w:numPr>
          <w:ilvl w:val="0"/>
          <w:numId w:val="6"/>
        </w:numPr>
        <w:spacing w:before="120" w:after="120"/>
        <w:contextualSpacing w:val="0"/>
        <w:jc w:val="both"/>
        <w:rPr>
          <w:rFonts w:ascii="Times New Roman" w:hAnsi="Times New Roman" w:cs="Times New Roman"/>
          <w:lang w:val="ro-RO"/>
        </w:rPr>
      </w:pPr>
      <w:r w:rsidRPr="00443D59">
        <w:rPr>
          <w:rFonts w:ascii="Times New Roman" w:hAnsi="Times New Roman" w:cs="Times New Roman"/>
          <w:i/>
          <w:iCs/>
          <w:lang w:val="ro-RO"/>
        </w:rPr>
        <w:t>Infrastructura digitală ca premisă pentru TFP și inovație</w:t>
      </w:r>
      <w:r w:rsidRPr="00443D59">
        <w:rPr>
          <w:rFonts w:ascii="Times New Roman" w:hAnsi="Times New Roman" w:cs="Times New Roman"/>
          <w:lang w:val="ro-RO"/>
        </w:rPr>
        <w:t xml:space="preserve"> – Accesul generalizat la servicii publice digitale și identitate electronică creează ecosistemul necesar pentru dezvoltarea economiei platformelor și a serviciilor cu intensitate tehnologică ridicată. Această tranziție este critică pentru creșterea Productivității Totale a Factorilor (TFP), oferind României șansa de a capitaliza pe seama talentului autohton în tehnologie pentru a genera o creștere economică decuplată de consumul extensiv de resurse.</w:t>
      </w:r>
    </w:p>
    <w:p w14:paraId="6587DBCC" w14:textId="597E566F" w:rsidR="000E33CA" w:rsidRPr="00443D59" w:rsidRDefault="000E33CA" w:rsidP="000E33CA">
      <w:pPr>
        <w:spacing w:after="120"/>
        <w:rPr>
          <w:rFonts w:ascii="Times New Roman" w:hAnsi="Times New Roman" w:cs="Times New Roman"/>
          <w:b/>
          <w:bCs/>
          <w:lang w:val="ro-RO"/>
        </w:rPr>
      </w:pPr>
      <w:r w:rsidRPr="00443D59">
        <w:rPr>
          <w:rFonts w:ascii="Times New Roman" w:hAnsi="Times New Roman" w:cs="Times New Roman"/>
          <w:b/>
          <w:bCs/>
          <w:lang w:val="ro-RO"/>
        </w:rPr>
        <w:t>Reformele instituționale inspirate de standardele OCD</w:t>
      </w:r>
      <w:r w:rsidR="009A1891" w:rsidRPr="00443D59">
        <w:rPr>
          <w:rFonts w:ascii="Times New Roman" w:hAnsi="Times New Roman" w:cs="Times New Roman"/>
          <w:b/>
          <w:bCs/>
          <w:lang w:val="ro-RO"/>
        </w:rPr>
        <w:t>E</w:t>
      </w:r>
      <w:r w:rsidRPr="00443D59">
        <w:rPr>
          <w:rFonts w:ascii="Times New Roman" w:hAnsi="Times New Roman" w:cs="Times New Roman"/>
          <w:b/>
          <w:bCs/>
          <w:lang w:val="ro-RO"/>
        </w:rPr>
        <w:t xml:space="preserve"> vor produce rezultate optime doar dacă vor fi însoțite de corecții macroeconomice și structurale coerente (elemente care sunt, de altfel, și ele parte a cadrului de bună guvernanță economică susținut de această organizație). Așadar</w:t>
      </w:r>
      <w:r w:rsidR="00605F4D" w:rsidRPr="00443D59">
        <w:rPr>
          <w:rFonts w:ascii="Times New Roman" w:hAnsi="Times New Roman" w:cs="Times New Roman"/>
          <w:b/>
          <w:bCs/>
          <w:lang w:val="ro-RO"/>
        </w:rPr>
        <w:t xml:space="preserve">, </w:t>
      </w:r>
      <w:r w:rsidRPr="00443D59">
        <w:rPr>
          <w:rFonts w:ascii="Times New Roman" w:hAnsi="Times New Roman" w:cs="Times New Roman"/>
          <w:b/>
          <w:bCs/>
          <w:lang w:val="ro-RO"/>
        </w:rPr>
        <w:t>nu trebuie să pierdem din vedere nevoia de corecții consistente ale dezechilibrelor macroeconomice din prezent, conform obiectivelor și etapelor discutate împreună cu Comisia Europeană. În absența unor astfel de ajustări, modernizarea administrativă și adoptarea standardelor OCD</w:t>
      </w:r>
      <w:r w:rsidR="009A1891" w:rsidRPr="00443D59">
        <w:rPr>
          <w:rFonts w:ascii="Times New Roman" w:hAnsi="Times New Roman" w:cs="Times New Roman"/>
          <w:b/>
          <w:bCs/>
          <w:lang w:val="ro-RO"/>
        </w:rPr>
        <w:t>E</w:t>
      </w:r>
      <w:r w:rsidRPr="00443D59">
        <w:rPr>
          <w:rFonts w:ascii="Times New Roman" w:hAnsi="Times New Roman" w:cs="Times New Roman"/>
          <w:b/>
          <w:bCs/>
          <w:lang w:val="ro-RO"/>
        </w:rPr>
        <w:t xml:space="preserve"> nu vor avea efectele scontate, deoarece performanța instituțională, calitatea investițiilor și dezvoltarea piețelor financiare pot fi menținute pe termen lung doar însoțite de stabilitate macroeconomică.</w:t>
      </w:r>
    </w:p>
    <w:p w14:paraId="28081759" w14:textId="5556B817" w:rsidR="000E33CA" w:rsidRPr="00443D59" w:rsidRDefault="000E33CA" w:rsidP="000E33CA">
      <w:pPr>
        <w:spacing w:after="120"/>
        <w:rPr>
          <w:rFonts w:ascii="Times New Roman" w:hAnsi="Times New Roman" w:cs="Times New Roman"/>
          <w:b/>
          <w:bCs/>
          <w:lang w:val="ro-RO"/>
        </w:rPr>
      </w:pPr>
      <w:r w:rsidRPr="00443D59">
        <w:rPr>
          <w:rFonts w:ascii="Times New Roman" w:hAnsi="Times New Roman" w:cs="Times New Roman"/>
          <w:b/>
          <w:bCs/>
          <w:lang w:val="ro-RO"/>
        </w:rPr>
        <w:t>De aceea, trebuie corectat</w:t>
      </w:r>
      <w:r w:rsidR="00F43A26" w:rsidRPr="00443D59">
        <w:rPr>
          <w:rFonts w:ascii="Times New Roman" w:hAnsi="Times New Roman" w:cs="Times New Roman"/>
          <w:b/>
          <w:bCs/>
          <w:lang w:val="ro-RO"/>
        </w:rPr>
        <w:t>ă</w:t>
      </w:r>
      <w:r w:rsidRPr="00443D59">
        <w:rPr>
          <w:rFonts w:ascii="Times New Roman" w:hAnsi="Times New Roman" w:cs="Times New Roman"/>
          <w:b/>
          <w:bCs/>
          <w:lang w:val="ro-RO"/>
        </w:rPr>
        <w:t xml:space="preserve"> traiectoria de creștere a datoriei publice, ceea ce, în condițiile actuale (privind nivelul acesteia, costul asociat cu dobânzile și ritmul mai redus de creștere economică) necesită aducerea deficitului primar sub pragul de 1% din PIB. Acest proces nu poate fi decât gradual</w:t>
      </w:r>
      <w:r w:rsidR="00F43A26" w:rsidRPr="00443D59">
        <w:rPr>
          <w:rFonts w:ascii="Times New Roman" w:hAnsi="Times New Roman" w:cs="Times New Roman"/>
          <w:b/>
          <w:bCs/>
          <w:lang w:val="ro-RO"/>
        </w:rPr>
        <w:t>,</w:t>
      </w:r>
      <w:r w:rsidRPr="00443D59">
        <w:rPr>
          <w:rFonts w:ascii="Times New Roman" w:hAnsi="Times New Roman" w:cs="Times New Roman"/>
          <w:b/>
          <w:bCs/>
          <w:lang w:val="ro-RO"/>
        </w:rPr>
        <w:t xml:space="preserve"> dar este important ca el să nu întârzie. Pentru anul 2026</w:t>
      </w:r>
      <w:r w:rsidR="00F43A26" w:rsidRPr="00443D59">
        <w:rPr>
          <w:rFonts w:ascii="Times New Roman" w:hAnsi="Times New Roman" w:cs="Times New Roman"/>
          <w:b/>
          <w:bCs/>
          <w:lang w:val="ro-RO"/>
        </w:rPr>
        <w:t>,</w:t>
      </w:r>
      <w:r w:rsidRPr="00443D59">
        <w:rPr>
          <w:rFonts w:ascii="Times New Roman" w:hAnsi="Times New Roman" w:cs="Times New Roman"/>
          <w:b/>
          <w:bCs/>
          <w:lang w:val="ro-RO"/>
        </w:rPr>
        <w:t xml:space="preserve"> nivelul deficitului primar va fi probabil de aproximativ 3,2</w:t>
      </w:r>
      <w:r w:rsidR="00080201" w:rsidRPr="00443D59">
        <w:rPr>
          <w:rFonts w:ascii="Times New Roman" w:hAnsi="Times New Roman" w:cs="Times New Roman"/>
          <w:b/>
          <w:bCs/>
          <w:lang w:val="ro-RO"/>
        </w:rPr>
        <w:t>7</w:t>
      </w:r>
      <w:r w:rsidRPr="00443D59">
        <w:rPr>
          <w:rFonts w:ascii="Times New Roman" w:hAnsi="Times New Roman" w:cs="Times New Roman"/>
          <w:b/>
          <w:bCs/>
          <w:lang w:val="ro-RO"/>
        </w:rPr>
        <w:t>% (ținând seama de faptul că dobânzile plătite în contul datoriei publice se vor ridica probabil la aproximativ 3% din PIB</w:t>
      </w:r>
      <w:r w:rsidR="00F43A26" w:rsidRPr="00443D59">
        <w:rPr>
          <w:rFonts w:ascii="Times New Roman" w:hAnsi="Times New Roman" w:cs="Times New Roman"/>
          <w:b/>
          <w:bCs/>
          <w:lang w:val="ro-RO"/>
        </w:rPr>
        <w:t>,</w:t>
      </w:r>
      <w:r w:rsidRPr="00443D59">
        <w:rPr>
          <w:rFonts w:ascii="Times New Roman" w:hAnsi="Times New Roman" w:cs="Times New Roman"/>
          <w:b/>
          <w:bCs/>
          <w:lang w:val="ro-RO"/>
        </w:rPr>
        <w:t xml:space="preserve"> iar conform proiectului de buget deficitul total va fi de circa 6,25%). Așadar, traiectoria de creștere a datoriei publice (ca pondere în PIB) va continua și anul acesta, chiar dacă mai lent comparativ cu 2024 și 2025. O scădere vizibilă a raportului datorie/PIB va fi posibilă doar atunci când balanța bugetară primară va deveni excedentară. În acest context, devine foarte importantă aplicarea unor reguli fiscale operaționale care să includă mecanisme automate de corecție bugetară în cazul deviațiilor. Acestea ar crește credibilitatea politicii fiscale și ar reduce costurile de finanțare ale statului.</w:t>
      </w:r>
    </w:p>
    <w:p w14:paraId="59747CEF" w14:textId="77777777" w:rsidR="000E33CA" w:rsidRPr="00443D59" w:rsidRDefault="000E33CA" w:rsidP="000E33CA">
      <w:pPr>
        <w:spacing w:after="120"/>
        <w:rPr>
          <w:rFonts w:ascii="Times New Roman" w:hAnsi="Times New Roman" w:cs="Times New Roman"/>
          <w:lang w:val="ro-RO"/>
        </w:rPr>
      </w:pPr>
      <w:r w:rsidRPr="00443D59">
        <w:rPr>
          <w:rFonts w:ascii="Times New Roman" w:hAnsi="Times New Roman" w:cs="Times New Roman"/>
          <w:lang w:val="ro-RO"/>
        </w:rPr>
        <w:t>Totodată, consolidarea fiscală trebuie însoțită menținerea fluxului de investiții publice și private orientate către sectoare cu efect multiplicator ridicat. Așa cum știm, nu doar volumul ci și calitatea investițiilor este un factor determinant pentru creșterea PIB potențial. Dezvoltarea infrastructurii, avansul digitalizării și suplimentare producției de energie la costuri competitive generează efecte de antrenare semnificative asupra productivității totale.</w:t>
      </w:r>
    </w:p>
    <w:p w14:paraId="64E9C13A" w14:textId="1AB8CA15" w:rsidR="000E33CA" w:rsidRPr="00443D59" w:rsidRDefault="000E33CA" w:rsidP="000E33CA">
      <w:pPr>
        <w:spacing w:after="120"/>
        <w:rPr>
          <w:rFonts w:ascii="Times New Roman" w:hAnsi="Times New Roman" w:cs="Times New Roman"/>
          <w:lang w:val="ro-RO"/>
        </w:rPr>
      </w:pPr>
      <w:r w:rsidRPr="00443D59">
        <w:rPr>
          <w:rFonts w:ascii="Times New Roman" w:hAnsi="Times New Roman" w:cs="Times New Roman"/>
          <w:lang w:val="ro-RO"/>
        </w:rPr>
        <w:t>În același timp, îmbunătățirea accesului la finanțare este condiționată de menținerea stabilității financiare și reducerea inflației, acestea fiind criterii esențiale pentru un mediu macroeconomic robust și predictibil. Evitarea riscului de dominan</w:t>
      </w:r>
      <w:r w:rsidR="00F43A26" w:rsidRPr="00443D59">
        <w:rPr>
          <w:rFonts w:ascii="Times New Roman" w:hAnsi="Times New Roman" w:cs="Times New Roman"/>
          <w:lang w:val="ro-RO"/>
        </w:rPr>
        <w:t>ț</w:t>
      </w:r>
      <w:r w:rsidRPr="00443D59">
        <w:rPr>
          <w:rFonts w:ascii="Times New Roman" w:hAnsi="Times New Roman" w:cs="Times New Roman"/>
          <w:lang w:val="ro-RO"/>
        </w:rPr>
        <w:t xml:space="preserve">ă fiscală (în care presiunile bugetare ar putea </w:t>
      </w:r>
      <w:r w:rsidRPr="00443D59">
        <w:rPr>
          <w:rFonts w:ascii="Times New Roman" w:hAnsi="Times New Roman" w:cs="Times New Roman"/>
          <w:lang w:val="ro-RO"/>
        </w:rPr>
        <w:lastRenderedPageBreak/>
        <w:t>influența orientarea politicii monetare) este importantă pentru ancorarea anticipațiilor inflaționiste și pentru menținerea credibilității cadrului de politică economică. De asemenea, trebuie să diversific</w:t>
      </w:r>
      <w:r w:rsidR="00F43A26" w:rsidRPr="00443D59">
        <w:rPr>
          <w:rFonts w:ascii="Times New Roman" w:hAnsi="Times New Roman" w:cs="Times New Roman"/>
          <w:lang w:val="ro-RO"/>
        </w:rPr>
        <w:t>ă</w:t>
      </w:r>
      <w:r w:rsidRPr="00443D59">
        <w:rPr>
          <w:rFonts w:ascii="Times New Roman" w:hAnsi="Times New Roman" w:cs="Times New Roman"/>
          <w:lang w:val="ro-RO"/>
        </w:rPr>
        <w:t>m instrumentele și modalitățile de atragere de investiții pe piața de capital și să ne asumăm creșterea nivelului de complexitate al acesteia și în Romania (fiind o componentă esențială a modernizării economiei).</w:t>
      </w:r>
    </w:p>
    <w:p w14:paraId="76A6B731" w14:textId="77777777" w:rsidR="000E33CA" w:rsidRPr="00443D59" w:rsidRDefault="000E33CA" w:rsidP="000E33CA">
      <w:pPr>
        <w:spacing w:after="120"/>
        <w:rPr>
          <w:rFonts w:ascii="Times New Roman" w:hAnsi="Times New Roman" w:cs="Times New Roman"/>
          <w:b/>
          <w:bCs/>
          <w:lang w:val="ro-RO"/>
        </w:rPr>
      </w:pPr>
      <w:r w:rsidRPr="00443D59">
        <w:rPr>
          <w:rFonts w:ascii="Times New Roman" w:hAnsi="Times New Roman" w:cs="Times New Roman"/>
          <w:b/>
          <w:bCs/>
          <w:lang w:val="ro-RO"/>
        </w:rPr>
        <w:t>Creșterea rezilienței economiei în fața șocurilor externe, în mediu global actual caracterizat de incertitudini geopolitice, comerciale și tehnologice, este importantă. Ea poate fi realizată inclusiv prin diversificarea lanțurilor de aprovizionare, consolidarea rezervelor strategice și menținerea unor amortizoare macroeconomice adecvate.</w:t>
      </w:r>
    </w:p>
    <w:p w14:paraId="3BB9C9AA" w14:textId="41CF8472" w:rsidR="000E33CA" w:rsidRPr="00443D59" w:rsidRDefault="000E33CA" w:rsidP="000E33CA">
      <w:pPr>
        <w:spacing w:after="120"/>
        <w:rPr>
          <w:rFonts w:ascii="Times New Roman" w:hAnsi="Times New Roman" w:cs="Times New Roman"/>
          <w:b/>
          <w:bCs/>
          <w:lang w:val="ro-RO"/>
        </w:rPr>
      </w:pPr>
      <w:r w:rsidRPr="00443D59">
        <w:rPr>
          <w:rFonts w:ascii="Times New Roman" w:hAnsi="Times New Roman" w:cs="Times New Roman"/>
          <w:b/>
          <w:bCs/>
          <w:lang w:val="ro-RO"/>
        </w:rPr>
        <w:t>Așadar, România are nevoie simultan de disciplină fiscală, investiții productive și dezvoltarea piețelor financiare pentru a crește potențialul economiei și a stabiliza datoria publică. În acest fel, reformele realizate în cadrul procesului de convergență cu standardele OCD</w:t>
      </w:r>
      <w:r w:rsidR="009A1891" w:rsidRPr="00443D59">
        <w:rPr>
          <w:rFonts w:ascii="Times New Roman" w:hAnsi="Times New Roman" w:cs="Times New Roman"/>
          <w:b/>
          <w:bCs/>
          <w:lang w:val="ro-RO"/>
        </w:rPr>
        <w:t>E</w:t>
      </w:r>
      <w:r w:rsidRPr="00443D59">
        <w:rPr>
          <w:rFonts w:ascii="Times New Roman" w:hAnsi="Times New Roman" w:cs="Times New Roman"/>
          <w:b/>
          <w:bCs/>
          <w:lang w:val="ro-RO"/>
        </w:rPr>
        <w:t xml:space="preserve"> pot produce efecte durabile și pot susține mai eficient transformarea structurală a economiei.</w:t>
      </w:r>
    </w:p>
    <w:p w14:paraId="0CC6AE42" w14:textId="67F4F722" w:rsidR="00DD0755" w:rsidRPr="00443D59" w:rsidRDefault="00DD0755" w:rsidP="006E19D5">
      <w:pPr>
        <w:spacing w:after="120"/>
        <w:rPr>
          <w:rFonts w:ascii="Times New Roman" w:hAnsi="Times New Roman" w:cs="Times New Roman"/>
          <w:b/>
          <w:bCs/>
          <w:lang w:val="ro-RO"/>
        </w:rPr>
      </w:pPr>
      <w:r w:rsidRPr="00443D59">
        <w:rPr>
          <w:rFonts w:ascii="Times New Roman" w:hAnsi="Times New Roman" w:cs="Times New Roman"/>
          <w:b/>
          <w:bCs/>
          <w:lang w:val="ro-RO"/>
        </w:rPr>
        <w:t xml:space="preserve">În concluzie, </w:t>
      </w:r>
      <w:r w:rsidR="006E19D5" w:rsidRPr="00443D59">
        <w:rPr>
          <w:rFonts w:ascii="Times New Roman" w:hAnsi="Times New Roman" w:cs="Times New Roman"/>
          <w:b/>
          <w:bCs/>
          <w:lang w:val="ro-RO"/>
        </w:rPr>
        <w:t>i</w:t>
      </w:r>
      <w:r w:rsidRPr="00443D59">
        <w:rPr>
          <w:rFonts w:ascii="Times New Roman" w:hAnsi="Times New Roman" w:cs="Times New Roman"/>
          <w:b/>
          <w:bCs/>
          <w:lang w:val="ro-RO"/>
        </w:rPr>
        <w:t>ntegrarea României în OCDE nu reprezintă un punct terminus, ci activarea unui sistem de referință care poate genera un plus de creștere potențială estimat la 0,8% - 1% din PIB pe an. Acest surplus nu este un dividend pasiv al aderării, ci rezultatul cumulat al comprimării primei de risc, al eficientizării alocării capitalului și al modernizării funcției de producție prin digitalizare și guvernanță corporativă.</w:t>
      </w:r>
    </w:p>
    <w:p w14:paraId="3D17D818" w14:textId="60162C60" w:rsidR="00DD0755" w:rsidRPr="00443D59" w:rsidRDefault="00DD0755" w:rsidP="00DD0755">
      <w:pPr>
        <w:rPr>
          <w:rFonts w:ascii="Times New Roman" w:hAnsi="Times New Roman" w:cs="Times New Roman"/>
          <w:lang w:val="ro-RO"/>
        </w:rPr>
      </w:pPr>
      <w:r w:rsidRPr="00443D59">
        <w:rPr>
          <w:rFonts w:ascii="Times New Roman" w:hAnsi="Times New Roman" w:cs="Times New Roman"/>
          <w:lang w:val="ro-RO"/>
        </w:rPr>
        <w:t xml:space="preserve">Pentru ca acest obiectiv de etapă să devină realitate, monitorizarea indicatorilor de performanță — de la TFP (Productivitatea Totală a Factorilor) și calitatea </w:t>
      </w:r>
      <w:r w:rsidR="006E19D5" w:rsidRPr="00443D59">
        <w:rPr>
          <w:rFonts w:ascii="Times New Roman" w:hAnsi="Times New Roman" w:cs="Times New Roman"/>
          <w:lang w:val="ro-RO"/>
        </w:rPr>
        <w:t>investițiilor străine directe</w:t>
      </w:r>
      <w:r w:rsidRPr="00443D59">
        <w:rPr>
          <w:rFonts w:ascii="Times New Roman" w:hAnsi="Times New Roman" w:cs="Times New Roman"/>
          <w:lang w:val="ro-RO"/>
        </w:rPr>
        <w:t xml:space="preserve">, până la eficiența cheltuielilor cu capitalul uman </w:t>
      </w:r>
      <w:r w:rsidR="00443D59">
        <w:rPr>
          <w:rFonts w:ascii="Times New Roman" w:hAnsi="Times New Roman" w:cs="Times New Roman"/>
          <w:lang w:val="ro-RO"/>
        </w:rPr>
        <w:t>-</w:t>
      </w:r>
      <w:r w:rsidRPr="00443D59">
        <w:rPr>
          <w:rFonts w:ascii="Times New Roman" w:hAnsi="Times New Roman" w:cs="Times New Roman"/>
          <w:lang w:val="ro-RO"/>
        </w:rPr>
        <w:t xml:space="preserve"> trebuie să devină coloana vertebrală a politicilor publice post-aderare. Experiența statelor din regiune, precum Polonia și Cehia, demonstrează că succesul pe termen lung depinde de capacitatea instituțională de a transforma standardele formale în mecanisme de piață funcționale.</w:t>
      </w:r>
    </w:p>
    <w:p w14:paraId="128E34EC" w14:textId="096C17C9" w:rsidR="00DD0755" w:rsidRPr="00443D59" w:rsidRDefault="00DD0755" w:rsidP="00DD0755">
      <w:pPr>
        <w:rPr>
          <w:rFonts w:ascii="Times New Roman" w:hAnsi="Times New Roman" w:cs="Times New Roman"/>
          <w:lang w:val="ro-RO"/>
        </w:rPr>
      </w:pPr>
      <w:r w:rsidRPr="00443D59">
        <w:rPr>
          <w:rFonts w:ascii="Times New Roman" w:hAnsi="Times New Roman" w:cs="Times New Roman"/>
          <w:lang w:val="ro-RO"/>
        </w:rPr>
        <w:t>În definitiv, apartenența la „</w:t>
      </w:r>
      <w:r w:rsidRPr="00443D59">
        <w:rPr>
          <w:rFonts w:ascii="Times New Roman" w:hAnsi="Times New Roman" w:cs="Times New Roman"/>
          <w:i/>
          <w:iCs/>
          <w:lang w:val="ro-RO"/>
        </w:rPr>
        <w:t>clubul țărilor dezvoltate</w:t>
      </w:r>
      <w:r w:rsidRPr="00443D59">
        <w:rPr>
          <w:rFonts w:ascii="Times New Roman" w:hAnsi="Times New Roman" w:cs="Times New Roman"/>
          <w:lang w:val="ro-RO"/>
        </w:rPr>
        <w:t>” oferă României instrumentele necesare pentru a depăși modelul de creștere bazat pe avantaje competitive tranzitorii. Prin internalizarea acestor bune practici și menținerea unui cadru macroeconomic predictibil, România are șansa de a converti încrederea piețelor financiare în capital productiv sustenabil, ancorând economia națională pe o traiectorie de convergență reală și durabilă.</w:t>
      </w:r>
    </w:p>
    <w:sectPr w:rsidR="00DD0755" w:rsidRPr="00443D59" w:rsidSect="0092674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C1AD7" w14:textId="77777777" w:rsidR="00AD567F" w:rsidRDefault="00AD567F" w:rsidP="00926740">
      <w:pPr>
        <w:spacing w:after="0" w:line="240" w:lineRule="auto"/>
      </w:pPr>
      <w:r>
        <w:separator/>
      </w:r>
    </w:p>
  </w:endnote>
  <w:endnote w:type="continuationSeparator" w:id="0">
    <w:p w14:paraId="024FBC1C" w14:textId="77777777" w:rsidR="00AD567F" w:rsidRDefault="00AD567F" w:rsidP="00926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983A" w14:textId="77777777" w:rsidR="00A93F50" w:rsidRDefault="00A93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561566"/>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Content>
          <w:p w14:paraId="57BDE89B" w14:textId="77777777" w:rsidR="00926740" w:rsidRPr="00A93F50" w:rsidRDefault="00926740" w:rsidP="00A93F50">
            <w:pPr>
              <w:pStyle w:val="Footer"/>
              <w:jc w:val="center"/>
              <w:rPr>
                <w:sz w:val="20"/>
                <w:szCs w:val="20"/>
              </w:rPr>
            </w:pPr>
            <w:r w:rsidRPr="00A93F50">
              <w:rPr>
                <w:rFonts w:cs="Calibri"/>
                <w:sz w:val="20"/>
                <w:szCs w:val="20"/>
              </w:rPr>
              <w:fldChar w:fldCharType="begin"/>
            </w:r>
            <w:r w:rsidRPr="00A93F50">
              <w:rPr>
                <w:rFonts w:cs="Calibri"/>
                <w:sz w:val="20"/>
                <w:szCs w:val="20"/>
              </w:rPr>
              <w:instrText xml:space="preserve"> PAGE </w:instrText>
            </w:r>
            <w:r w:rsidRPr="00A93F50">
              <w:rPr>
                <w:rFonts w:cs="Calibri"/>
                <w:sz w:val="20"/>
                <w:szCs w:val="20"/>
              </w:rPr>
              <w:fldChar w:fldCharType="separate"/>
            </w:r>
            <w:r w:rsidRPr="00A93F50">
              <w:rPr>
                <w:rFonts w:cs="Calibri"/>
                <w:noProof/>
                <w:sz w:val="20"/>
                <w:szCs w:val="20"/>
              </w:rPr>
              <w:t>2</w:t>
            </w:r>
            <w:r w:rsidRPr="00A93F50">
              <w:rPr>
                <w:rFonts w:cs="Calibri"/>
                <w:sz w:val="20"/>
                <w:szCs w:val="20"/>
              </w:rPr>
              <w:fldChar w:fldCharType="end"/>
            </w:r>
            <w:r w:rsidRPr="00A93F50">
              <w:rPr>
                <w:rFonts w:cs="Calibri"/>
                <w:sz w:val="20"/>
                <w:szCs w:val="20"/>
              </w:rPr>
              <w:t>/</w:t>
            </w:r>
            <w:r w:rsidRPr="00A93F50">
              <w:rPr>
                <w:rFonts w:cs="Calibri"/>
                <w:sz w:val="20"/>
                <w:szCs w:val="20"/>
              </w:rPr>
              <w:fldChar w:fldCharType="begin"/>
            </w:r>
            <w:r w:rsidRPr="00A93F50">
              <w:rPr>
                <w:rFonts w:cs="Calibri"/>
                <w:sz w:val="20"/>
                <w:szCs w:val="20"/>
              </w:rPr>
              <w:instrText xml:space="preserve"> NUMPAGES  </w:instrText>
            </w:r>
            <w:r w:rsidRPr="00A93F50">
              <w:rPr>
                <w:rFonts w:cs="Calibri"/>
                <w:sz w:val="20"/>
                <w:szCs w:val="20"/>
              </w:rPr>
              <w:fldChar w:fldCharType="separate"/>
            </w:r>
            <w:r w:rsidRPr="00A93F50">
              <w:rPr>
                <w:rFonts w:cs="Calibri"/>
                <w:noProof/>
                <w:sz w:val="20"/>
                <w:szCs w:val="20"/>
              </w:rPr>
              <w:t>2</w:t>
            </w:r>
            <w:r w:rsidRPr="00A93F50">
              <w:rPr>
                <w:rFonts w:cs="Calibri"/>
                <w:sz w:val="20"/>
                <w:szCs w:val="20"/>
              </w:rPr>
              <w:fldChar w:fldCharType="end"/>
            </w:r>
            <w:r w:rsidR="00A93F50">
              <w:rPr>
                <w:rFonts w:cs="Calibri"/>
                <w:sz w:val="20"/>
                <w:szCs w:val="20"/>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36CB" w14:textId="77777777" w:rsidR="00A93F50" w:rsidRDefault="00A93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262B3" w14:textId="77777777" w:rsidR="00AD567F" w:rsidRDefault="00AD567F" w:rsidP="00926740">
      <w:pPr>
        <w:spacing w:after="0" w:line="240" w:lineRule="auto"/>
      </w:pPr>
      <w:r>
        <w:separator/>
      </w:r>
    </w:p>
  </w:footnote>
  <w:footnote w:type="continuationSeparator" w:id="0">
    <w:p w14:paraId="20B424EA" w14:textId="77777777" w:rsidR="00AD567F" w:rsidRDefault="00AD567F" w:rsidP="00926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2C7C" w14:textId="462E12F6" w:rsidR="00A93F50" w:rsidRDefault="00A93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8F16" w14:textId="68CAC680" w:rsidR="00A93F50" w:rsidRPr="00A93F50" w:rsidRDefault="00A93F50">
    <w:pPr>
      <w:pStyle w:val="Header"/>
      <w:rPr>
        <w:rFonts w:cs="Calibr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47A6" w14:textId="75E18C28" w:rsidR="00A93F50" w:rsidRDefault="00A93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1A29"/>
    <w:multiLevelType w:val="hybridMultilevel"/>
    <w:tmpl w:val="A8B6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07066F"/>
    <w:multiLevelType w:val="hybridMultilevel"/>
    <w:tmpl w:val="079E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FD4AC1"/>
    <w:multiLevelType w:val="hybridMultilevel"/>
    <w:tmpl w:val="013E0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D72FDE"/>
    <w:multiLevelType w:val="hybridMultilevel"/>
    <w:tmpl w:val="2512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F25EEB"/>
    <w:multiLevelType w:val="hybridMultilevel"/>
    <w:tmpl w:val="72C2E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4843B1"/>
    <w:multiLevelType w:val="hybridMultilevel"/>
    <w:tmpl w:val="640CA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2762390">
    <w:abstractNumId w:val="0"/>
  </w:num>
  <w:num w:numId="2" w16cid:durableId="481577823">
    <w:abstractNumId w:val="5"/>
  </w:num>
  <w:num w:numId="3" w16cid:durableId="1984774708">
    <w:abstractNumId w:val="3"/>
  </w:num>
  <w:num w:numId="4" w16cid:durableId="224528450">
    <w:abstractNumId w:val="2"/>
  </w:num>
  <w:num w:numId="5" w16cid:durableId="1884250872">
    <w:abstractNumId w:val="4"/>
  </w:num>
  <w:num w:numId="6" w16cid:durableId="538707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FB"/>
    <w:rsid w:val="0001577B"/>
    <w:rsid w:val="00025A77"/>
    <w:rsid w:val="000625AF"/>
    <w:rsid w:val="00080201"/>
    <w:rsid w:val="000825AB"/>
    <w:rsid w:val="000E33CA"/>
    <w:rsid w:val="000F2427"/>
    <w:rsid w:val="00123BEF"/>
    <w:rsid w:val="001403BC"/>
    <w:rsid w:val="00152E53"/>
    <w:rsid w:val="00173A6F"/>
    <w:rsid w:val="0019342A"/>
    <w:rsid w:val="001A0E66"/>
    <w:rsid w:val="002008B8"/>
    <w:rsid w:val="00200B5D"/>
    <w:rsid w:val="002012A8"/>
    <w:rsid w:val="0020169C"/>
    <w:rsid w:val="00316FE9"/>
    <w:rsid w:val="00341F2C"/>
    <w:rsid w:val="00362D5F"/>
    <w:rsid w:val="00383E2E"/>
    <w:rsid w:val="003A494D"/>
    <w:rsid w:val="003C5EFB"/>
    <w:rsid w:val="003D64FD"/>
    <w:rsid w:val="00414977"/>
    <w:rsid w:val="00443D59"/>
    <w:rsid w:val="0049353F"/>
    <w:rsid w:val="0051477A"/>
    <w:rsid w:val="00605F4D"/>
    <w:rsid w:val="0065691F"/>
    <w:rsid w:val="006950E2"/>
    <w:rsid w:val="006E08A0"/>
    <w:rsid w:val="006E19D5"/>
    <w:rsid w:val="00712477"/>
    <w:rsid w:val="00753B5C"/>
    <w:rsid w:val="007A0E5F"/>
    <w:rsid w:val="00805915"/>
    <w:rsid w:val="0082408E"/>
    <w:rsid w:val="008C5B9E"/>
    <w:rsid w:val="008C7595"/>
    <w:rsid w:val="008D4BF7"/>
    <w:rsid w:val="00926740"/>
    <w:rsid w:val="00980A81"/>
    <w:rsid w:val="009841FD"/>
    <w:rsid w:val="0098765B"/>
    <w:rsid w:val="009A1091"/>
    <w:rsid w:val="009A1891"/>
    <w:rsid w:val="009E6D86"/>
    <w:rsid w:val="009F4B68"/>
    <w:rsid w:val="009F4E67"/>
    <w:rsid w:val="00A93F50"/>
    <w:rsid w:val="00AA5DD2"/>
    <w:rsid w:val="00AB15B9"/>
    <w:rsid w:val="00AD1442"/>
    <w:rsid w:val="00AD567F"/>
    <w:rsid w:val="00B770A0"/>
    <w:rsid w:val="00BB659B"/>
    <w:rsid w:val="00C363FB"/>
    <w:rsid w:val="00C93F05"/>
    <w:rsid w:val="00CB5C45"/>
    <w:rsid w:val="00CB73CE"/>
    <w:rsid w:val="00CF2293"/>
    <w:rsid w:val="00D438B5"/>
    <w:rsid w:val="00D60317"/>
    <w:rsid w:val="00DD0755"/>
    <w:rsid w:val="00DF00A6"/>
    <w:rsid w:val="00E42DC6"/>
    <w:rsid w:val="00E430FA"/>
    <w:rsid w:val="00E75D1D"/>
    <w:rsid w:val="00EE11FB"/>
    <w:rsid w:val="00F01CED"/>
    <w:rsid w:val="00F30ED0"/>
    <w:rsid w:val="00F43A26"/>
    <w:rsid w:val="00F779A1"/>
    <w:rsid w:val="00FB2666"/>
    <w:rsid w:val="00FB6AEC"/>
    <w:rsid w:val="00FD3E6C"/>
    <w:rsid w:val="00FD778F"/>
    <w:rsid w:val="00FE4575"/>
    <w:rsid w:val="00FF7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899F8"/>
  <w15:chartTrackingRefBased/>
  <w15:docId w15:val="{F64AAC42-93E5-468F-9CEC-486EF425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42"/>
    <w:pPr>
      <w:spacing w:after="240" w:line="288" w:lineRule="auto"/>
      <w:jc w:val="both"/>
    </w:pPr>
    <w:rPr>
      <w:rFonts w:ascii="Calibri" w:hAnsi="Calibri"/>
      <w:sz w:val="24"/>
    </w:rPr>
  </w:style>
  <w:style w:type="paragraph" w:styleId="Heading1">
    <w:name w:val="heading 1"/>
    <w:basedOn w:val="Normal"/>
    <w:next w:val="Normal"/>
    <w:link w:val="Heading1Char"/>
    <w:uiPriority w:val="9"/>
    <w:qFormat/>
    <w:rsid w:val="003C5E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5E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5EF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5EF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5EF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C5E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5E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5E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5E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740"/>
  </w:style>
  <w:style w:type="paragraph" w:styleId="ListParagraph">
    <w:name w:val="List Paragraph"/>
    <w:basedOn w:val="Normal"/>
    <w:uiPriority w:val="34"/>
    <w:qFormat/>
    <w:rsid w:val="00AA5DD2"/>
    <w:pPr>
      <w:spacing w:after="60"/>
      <w:ind w:left="720"/>
      <w:contextualSpacing/>
      <w:jc w:val="left"/>
    </w:pPr>
  </w:style>
  <w:style w:type="paragraph" w:styleId="Title">
    <w:name w:val="Title"/>
    <w:basedOn w:val="Normal"/>
    <w:next w:val="Normal"/>
    <w:link w:val="TitleChar"/>
    <w:uiPriority w:val="10"/>
    <w:qFormat/>
    <w:rsid w:val="00AD144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D1442"/>
    <w:rPr>
      <w:rFonts w:ascii="Calibri" w:eastAsiaTheme="majorEastAsia" w:hAnsi="Calibri" w:cstheme="majorBidi"/>
      <w:spacing w:val="-10"/>
      <w:kern w:val="28"/>
      <w:sz w:val="56"/>
      <w:szCs w:val="56"/>
    </w:rPr>
  </w:style>
  <w:style w:type="character" w:customStyle="1" w:styleId="Heading1Char">
    <w:name w:val="Heading 1 Char"/>
    <w:basedOn w:val="DefaultParagraphFont"/>
    <w:link w:val="Heading1"/>
    <w:uiPriority w:val="9"/>
    <w:rsid w:val="003C5E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5E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5E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5EFB"/>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3C5EFB"/>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3C5EF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3C5EF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3C5EF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3C5EFB"/>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3C5E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E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5EFB"/>
    <w:rPr>
      <w:rFonts w:ascii="Calibri" w:hAnsi="Calibri"/>
      <w:i/>
      <w:iCs/>
      <w:color w:val="404040" w:themeColor="text1" w:themeTint="BF"/>
      <w:sz w:val="24"/>
    </w:rPr>
  </w:style>
  <w:style w:type="character" w:styleId="IntenseEmphasis">
    <w:name w:val="Intense Emphasis"/>
    <w:basedOn w:val="DefaultParagraphFont"/>
    <w:uiPriority w:val="21"/>
    <w:qFormat/>
    <w:rsid w:val="003C5EFB"/>
    <w:rPr>
      <w:i/>
      <w:iCs/>
      <w:color w:val="2F5496" w:themeColor="accent1" w:themeShade="BF"/>
    </w:rPr>
  </w:style>
  <w:style w:type="paragraph" w:styleId="IntenseQuote">
    <w:name w:val="Intense Quote"/>
    <w:basedOn w:val="Normal"/>
    <w:next w:val="Normal"/>
    <w:link w:val="IntenseQuoteChar"/>
    <w:uiPriority w:val="30"/>
    <w:qFormat/>
    <w:rsid w:val="003C5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5EFB"/>
    <w:rPr>
      <w:rFonts w:ascii="Calibri" w:hAnsi="Calibri"/>
      <w:i/>
      <w:iCs/>
      <w:color w:val="2F5496" w:themeColor="accent1" w:themeShade="BF"/>
      <w:sz w:val="24"/>
    </w:rPr>
  </w:style>
  <w:style w:type="character" w:styleId="IntenseReference">
    <w:name w:val="Intense Reference"/>
    <w:basedOn w:val="DefaultParagraphFont"/>
    <w:uiPriority w:val="32"/>
    <w:qFormat/>
    <w:rsid w:val="003C5E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88595-725D-4744-B422-0677C6C5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2425</Words>
  <Characters>14067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Radu Armand</cp:lastModifiedBy>
  <cp:revision>2</cp:revision>
  <dcterms:created xsi:type="dcterms:W3CDTF">2026-03-16T12:08:00Z</dcterms:created>
  <dcterms:modified xsi:type="dcterms:W3CDTF">2026-03-16T17:26:00Z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2026-03-13T12:56:48Z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f802b12f-a175-4189-bf16-000755904b0c</vt:lpwstr>
  </property>
  <property fmtid="{D5CDD505-2E9C-101B-9397-08002B2CF9AE}" pid="8" name="MSIP_Label_d4854e4d-cbd9-4add-afce-3efecf8cc4fb_ContentBits">
    <vt:lpwstr>0</vt:lpwstr>
  </property>
  <property fmtid="{D5CDD505-2E9C-101B-9397-08002B2CF9AE}" pid="9" name="MSIP_Label_d4854e4d-cbd9-4add-afce-3efecf8cc4fb_Tag">
    <vt:lpwstr>10, 0, 1, 1</vt:lpwstr>
  </property>
</Properties>
</file>