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AFB9" w14:textId="13A835BA" w:rsidR="00035E72" w:rsidRPr="00B85733" w:rsidRDefault="00B0165B" w:rsidP="00D93F3C">
      <w:pPr>
        <w:pStyle w:val="Heading1"/>
        <w:spacing w:line="240" w:lineRule="auto"/>
        <w:rPr>
          <w:rFonts w:ascii="Times New Roman" w:hAnsi="Times New Roman" w:cs="Times New Roman"/>
          <w:b/>
          <w:color w:val="auto"/>
          <w:sz w:val="28"/>
          <w:szCs w:val="28"/>
          <w:lang w:val="ro-RO"/>
        </w:rPr>
      </w:pPr>
      <w:r w:rsidRPr="00B0165B">
        <w:rPr>
          <w:rFonts w:ascii="Times New Roman" w:hAnsi="Times New Roman" w:cs="Times New Roman"/>
          <w:b/>
          <w:color w:val="auto"/>
          <w:sz w:val="28"/>
          <w:szCs w:val="28"/>
        </w:rPr>
        <w:t>Leonardo Badea, Prim-viceguvernator BNR:</w:t>
      </w:r>
      <w:r>
        <w:rPr>
          <w:rFonts w:ascii="Times New Roman" w:hAnsi="Times New Roman" w:cs="Times New Roman"/>
          <w:b/>
          <w:color w:val="auto"/>
          <w:sz w:val="28"/>
          <w:szCs w:val="28"/>
        </w:rPr>
        <w:t xml:space="preserve"> </w:t>
      </w:r>
      <w:r w:rsidR="00035E72" w:rsidRPr="00B85733">
        <w:rPr>
          <w:rFonts w:ascii="Times New Roman" w:hAnsi="Times New Roman" w:cs="Times New Roman"/>
          <w:b/>
          <w:color w:val="auto"/>
          <w:sz w:val="28"/>
          <w:szCs w:val="28"/>
          <w:lang w:val="ro-RO"/>
        </w:rPr>
        <w:t>Orientul Mijlociu, OPEC și noul șoc petrolier</w:t>
      </w:r>
      <w:r w:rsidR="00F1129F">
        <w:rPr>
          <w:rFonts w:ascii="Times New Roman" w:hAnsi="Times New Roman" w:cs="Times New Roman"/>
          <w:b/>
          <w:color w:val="auto"/>
          <w:sz w:val="28"/>
          <w:szCs w:val="28"/>
          <w:lang w:val="ro-RO"/>
        </w:rPr>
        <w:t>,</w:t>
      </w:r>
      <w:r w:rsidR="00035E72" w:rsidRPr="00B85733">
        <w:rPr>
          <w:rFonts w:ascii="Times New Roman" w:hAnsi="Times New Roman" w:cs="Times New Roman"/>
          <w:b/>
          <w:color w:val="auto"/>
          <w:sz w:val="28"/>
          <w:szCs w:val="28"/>
          <w:lang w:val="ro-RO"/>
        </w:rPr>
        <w:t xml:space="preserve"> ce este diferit de această dată? </w:t>
      </w:r>
    </w:p>
    <w:p w14:paraId="208D21B1" w14:textId="77777777" w:rsidR="00B85733" w:rsidRPr="00B85733" w:rsidRDefault="00B85733" w:rsidP="00B85733">
      <w:pPr>
        <w:jc w:val="right"/>
        <w:rPr>
          <w:rFonts w:ascii="Times New Roman" w:hAnsi="Times New Roman" w:cs="Times New Roman"/>
          <w:lang w:val="ro-RO"/>
        </w:rPr>
      </w:pPr>
    </w:p>
    <w:p w14:paraId="7668F0D7" w14:textId="12B6A875" w:rsidR="00D93F3C" w:rsidRPr="00B0165B" w:rsidRDefault="00035E72"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Acest nou </w:t>
      </w:r>
      <w:r w:rsidR="00D93F3C" w:rsidRPr="00B0165B">
        <w:rPr>
          <w:rFonts w:ascii="Times New Roman" w:hAnsi="Times New Roman" w:cs="Times New Roman"/>
          <w:sz w:val="24"/>
          <w:szCs w:val="24"/>
          <w:lang w:val="ro-RO"/>
        </w:rPr>
        <w:t xml:space="preserve">episod de </w:t>
      </w:r>
      <w:r w:rsidR="0089033F" w:rsidRPr="00B0165B">
        <w:rPr>
          <w:rFonts w:ascii="Times New Roman" w:hAnsi="Times New Roman" w:cs="Times New Roman"/>
          <w:sz w:val="24"/>
          <w:szCs w:val="24"/>
          <w:lang w:val="ro-RO"/>
        </w:rPr>
        <w:t>e</w:t>
      </w:r>
      <w:r w:rsidR="00D93F3C" w:rsidRPr="00B0165B">
        <w:rPr>
          <w:rFonts w:ascii="Times New Roman" w:hAnsi="Times New Roman" w:cs="Times New Roman"/>
          <w:sz w:val="24"/>
          <w:szCs w:val="24"/>
          <w:lang w:val="ro-RO"/>
        </w:rPr>
        <w:t>scaladare</w:t>
      </w:r>
      <w:r w:rsidR="0089033F" w:rsidRPr="00B0165B">
        <w:rPr>
          <w:rFonts w:ascii="Times New Roman" w:hAnsi="Times New Roman" w:cs="Times New Roman"/>
          <w:sz w:val="24"/>
          <w:szCs w:val="24"/>
          <w:lang w:val="ro-RO"/>
        </w:rPr>
        <w:t xml:space="preserve"> </w:t>
      </w:r>
      <w:r w:rsidR="00D93F3C" w:rsidRPr="00B0165B">
        <w:rPr>
          <w:rFonts w:ascii="Times New Roman" w:hAnsi="Times New Roman" w:cs="Times New Roman"/>
          <w:sz w:val="24"/>
          <w:szCs w:val="24"/>
          <w:lang w:val="ro-RO"/>
        </w:rPr>
        <w:t xml:space="preserve">a tensiunilor </w:t>
      </w:r>
      <w:r w:rsidR="0089033F" w:rsidRPr="00B0165B">
        <w:rPr>
          <w:rFonts w:ascii="Times New Roman" w:hAnsi="Times New Roman" w:cs="Times New Roman"/>
          <w:sz w:val="24"/>
          <w:szCs w:val="24"/>
          <w:lang w:val="ro-RO"/>
        </w:rPr>
        <w:t>în</w:t>
      </w:r>
      <w:r w:rsidR="00D93F3C" w:rsidRPr="00B0165B">
        <w:rPr>
          <w:rFonts w:ascii="Times New Roman" w:hAnsi="Times New Roman" w:cs="Times New Roman"/>
          <w:sz w:val="24"/>
          <w:szCs w:val="24"/>
          <w:lang w:val="ro-RO"/>
        </w:rPr>
        <w:t xml:space="preserve"> Orientul Mijlociu </w:t>
      </w:r>
      <w:r w:rsidRPr="00B0165B">
        <w:rPr>
          <w:rFonts w:ascii="Times New Roman" w:hAnsi="Times New Roman" w:cs="Times New Roman"/>
          <w:sz w:val="24"/>
          <w:szCs w:val="24"/>
          <w:lang w:val="ro-RO"/>
        </w:rPr>
        <w:t xml:space="preserve">readuce brutal în centrul dezbaterilor legătura inextricabilă dintre </w:t>
      </w:r>
      <w:r w:rsidR="0089033F" w:rsidRPr="00B0165B">
        <w:rPr>
          <w:rFonts w:ascii="Times New Roman" w:hAnsi="Times New Roman" w:cs="Times New Roman"/>
          <w:sz w:val="24"/>
          <w:szCs w:val="24"/>
          <w:lang w:val="ro-RO"/>
        </w:rPr>
        <w:t>dinamica prețului combustibililor fosili (petrol, gaze naturale) și</w:t>
      </w:r>
      <w:r w:rsidR="00D93F3C" w:rsidRPr="00B0165B">
        <w:rPr>
          <w:rFonts w:ascii="Times New Roman" w:hAnsi="Times New Roman" w:cs="Times New Roman"/>
          <w:sz w:val="24"/>
          <w:szCs w:val="24"/>
          <w:lang w:val="ro-RO"/>
        </w:rPr>
        <w:t xml:space="preserve"> </w:t>
      </w:r>
      <w:r w:rsidR="0089033F" w:rsidRPr="00B0165B">
        <w:rPr>
          <w:rFonts w:ascii="Times New Roman" w:hAnsi="Times New Roman" w:cs="Times New Roman"/>
          <w:sz w:val="24"/>
          <w:szCs w:val="24"/>
          <w:lang w:val="ro-RO"/>
        </w:rPr>
        <w:t>creșterea economică globală.</w:t>
      </w:r>
      <w:r w:rsidR="00D93F3C" w:rsidRPr="00B0165B">
        <w:rPr>
          <w:rFonts w:ascii="Times New Roman" w:hAnsi="Times New Roman" w:cs="Times New Roman"/>
          <w:sz w:val="24"/>
          <w:szCs w:val="24"/>
          <w:lang w:val="ro-RO"/>
        </w:rPr>
        <w:t xml:space="preserve"> </w:t>
      </w:r>
      <w:r w:rsidR="0074728B" w:rsidRPr="00B0165B">
        <w:rPr>
          <w:rFonts w:ascii="Times New Roman" w:hAnsi="Times New Roman" w:cs="Times New Roman"/>
          <w:sz w:val="24"/>
          <w:szCs w:val="24"/>
          <w:lang w:val="ro-RO"/>
        </w:rPr>
        <w:t xml:space="preserve">Din păcate și oarecum surprinzător, </w:t>
      </w:r>
      <w:r w:rsidRPr="00B0165B">
        <w:rPr>
          <w:rFonts w:ascii="Times New Roman" w:hAnsi="Times New Roman" w:cs="Times New Roman"/>
          <w:sz w:val="24"/>
          <w:szCs w:val="24"/>
          <w:lang w:val="ro-RO"/>
        </w:rPr>
        <w:t>episod</w:t>
      </w:r>
      <w:r w:rsidR="00DA6CA5" w:rsidRPr="00B0165B">
        <w:rPr>
          <w:rFonts w:ascii="Times New Roman" w:hAnsi="Times New Roman" w:cs="Times New Roman"/>
          <w:sz w:val="24"/>
          <w:szCs w:val="24"/>
          <w:lang w:val="ro-RO"/>
        </w:rPr>
        <w:t>ul</w:t>
      </w:r>
      <w:r w:rsidRPr="00B0165B">
        <w:rPr>
          <w:rFonts w:ascii="Times New Roman" w:hAnsi="Times New Roman" w:cs="Times New Roman"/>
          <w:sz w:val="24"/>
          <w:szCs w:val="24"/>
          <w:lang w:val="ro-RO"/>
        </w:rPr>
        <w:t xml:space="preserve"> recent se alătură unei serii de </w:t>
      </w:r>
      <w:r w:rsidR="0074728B" w:rsidRPr="00B0165B">
        <w:rPr>
          <w:rFonts w:ascii="Times New Roman" w:hAnsi="Times New Roman" w:cs="Times New Roman"/>
          <w:sz w:val="24"/>
          <w:szCs w:val="24"/>
          <w:lang w:val="ro-RO"/>
        </w:rPr>
        <w:t xml:space="preserve">evenimente relativ similare care s-au succedat de-a lungul ultimilor 50-60 de ani. </w:t>
      </w:r>
      <w:r w:rsidR="00DA6CA5" w:rsidRPr="00B0165B">
        <w:rPr>
          <w:rFonts w:ascii="Times New Roman" w:hAnsi="Times New Roman" w:cs="Times New Roman"/>
          <w:sz w:val="24"/>
          <w:szCs w:val="24"/>
          <w:lang w:val="ro-RO"/>
        </w:rPr>
        <w:t xml:space="preserve">Vulnerabilitatea </w:t>
      </w:r>
      <w:r w:rsidR="004717B6" w:rsidRPr="00B0165B">
        <w:rPr>
          <w:rFonts w:ascii="Times New Roman" w:hAnsi="Times New Roman" w:cs="Times New Roman"/>
          <w:sz w:val="24"/>
          <w:szCs w:val="24"/>
          <w:lang w:val="ro-RO"/>
        </w:rPr>
        <w:t>tra</w:t>
      </w:r>
      <w:r w:rsidR="00DA6CA5" w:rsidRPr="00B0165B">
        <w:rPr>
          <w:rFonts w:ascii="Times New Roman" w:hAnsi="Times New Roman" w:cs="Times New Roman"/>
          <w:sz w:val="24"/>
          <w:szCs w:val="24"/>
          <w:lang w:val="ro-RO"/>
        </w:rPr>
        <w:t xml:space="preserve">nzitului </w:t>
      </w:r>
      <w:r w:rsidR="00D93F3C" w:rsidRPr="00B0165B">
        <w:rPr>
          <w:rFonts w:ascii="Times New Roman" w:hAnsi="Times New Roman" w:cs="Times New Roman"/>
          <w:sz w:val="24"/>
          <w:szCs w:val="24"/>
          <w:lang w:val="ro-RO"/>
        </w:rPr>
        <w:t xml:space="preserve">prin Strâmtoarea Hormuz și </w:t>
      </w:r>
      <w:r w:rsidR="00DA6CA5" w:rsidRPr="00B0165B">
        <w:rPr>
          <w:rFonts w:ascii="Times New Roman" w:hAnsi="Times New Roman" w:cs="Times New Roman"/>
          <w:sz w:val="24"/>
          <w:szCs w:val="24"/>
          <w:lang w:val="ro-RO"/>
        </w:rPr>
        <w:t xml:space="preserve">reconfigurarea </w:t>
      </w:r>
      <w:r w:rsidR="00D93F3C" w:rsidRPr="00B0165B">
        <w:rPr>
          <w:rFonts w:ascii="Times New Roman" w:hAnsi="Times New Roman" w:cs="Times New Roman"/>
          <w:sz w:val="24"/>
          <w:szCs w:val="24"/>
          <w:lang w:val="ro-RO"/>
        </w:rPr>
        <w:t>poziți</w:t>
      </w:r>
      <w:r w:rsidR="00DA6CA5" w:rsidRPr="00B0165B">
        <w:rPr>
          <w:rFonts w:ascii="Times New Roman" w:hAnsi="Times New Roman" w:cs="Times New Roman"/>
          <w:sz w:val="24"/>
          <w:szCs w:val="24"/>
          <w:lang w:val="ro-RO"/>
        </w:rPr>
        <w:t>ilor</w:t>
      </w:r>
      <w:r w:rsidR="00D93F3C" w:rsidRPr="00B0165B">
        <w:rPr>
          <w:rFonts w:ascii="Times New Roman" w:hAnsi="Times New Roman" w:cs="Times New Roman"/>
          <w:sz w:val="24"/>
          <w:szCs w:val="24"/>
          <w:lang w:val="ro-RO"/>
        </w:rPr>
        <w:t xml:space="preserve"> statelor exportatoare de petrol </w:t>
      </w:r>
      <w:r w:rsidR="00DA6CA5" w:rsidRPr="00B0165B">
        <w:rPr>
          <w:rFonts w:ascii="Times New Roman" w:hAnsi="Times New Roman" w:cs="Times New Roman"/>
          <w:sz w:val="24"/>
          <w:szCs w:val="24"/>
          <w:lang w:val="ro-RO"/>
        </w:rPr>
        <w:t xml:space="preserve">reprofilează spectrul </w:t>
      </w:r>
      <w:r w:rsidR="00D93F3C" w:rsidRPr="00B0165B">
        <w:rPr>
          <w:rFonts w:ascii="Times New Roman" w:hAnsi="Times New Roman" w:cs="Times New Roman"/>
          <w:sz w:val="24"/>
          <w:szCs w:val="24"/>
          <w:lang w:val="ro-RO"/>
        </w:rPr>
        <w:t xml:space="preserve">crizelor petroliere din anii ’70, </w:t>
      </w:r>
      <w:r w:rsidR="004717B6" w:rsidRPr="00B0165B">
        <w:rPr>
          <w:rFonts w:ascii="Times New Roman" w:hAnsi="Times New Roman" w:cs="Times New Roman"/>
          <w:sz w:val="24"/>
          <w:szCs w:val="24"/>
          <w:lang w:val="ro-RO"/>
        </w:rPr>
        <w:t xml:space="preserve">iar </w:t>
      </w:r>
      <w:r w:rsidR="00D93F3C" w:rsidRPr="00B0165B">
        <w:rPr>
          <w:rFonts w:ascii="Times New Roman" w:hAnsi="Times New Roman" w:cs="Times New Roman"/>
          <w:sz w:val="24"/>
          <w:szCs w:val="24"/>
          <w:lang w:val="ro-RO"/>
        </w:rPr>
        <w:t xml:space="preserve">rolul și strategia OPEC </w:t>
      </w:r>
      <w:r w:rsidR="00593AA8" w:rsidRPr="00B0165B">
        <w:rPr>
          <w:rFonts w:ascii="Times New Roman" w:hAnsi="Times New Roman" w:cs="Times New Roman"/>
          <w:sz w:val="24"/>
          <w:szCs w:val="24"/>
          <w:lang w:val="ro-RO"/>
        </w:rPr>
        <w:t xml:space="preserve">(Organizația Țărilor Exportatoare de Petrol) </w:t>
      </w:r>
      <w:r w:rsidR="00DA6CA5" w:rsidRPr="00B0165B">
        <w:rPr>
          <w:rFonts w:ascii="Times New Roman" w:hAnsi="Times New Roman" w:cs="Times New Roman"/>
          <w:sz w:val="24"/>
          <w:szCs w:val="24"/>
          <w:lang w:val="ro-RO"/>
        </w:rPr>
        <w:t xml:space="preserve">revin </w:t>
      </w:r>
      <w:r w:rsidR="00593AA8" w:rsidRPr="00B0165B">
        <w:rPr>
          <w:rFonts w:ascii="Times New Roman" w:hAnsi="Times New Roman" w:cs="Times New Roman"/>
          <w:sz w:val="24"/>
          <w:szCs w:val="24"/>
          <w:lang w:val="ro-RO"/>
        </w:rPr>
        <w:t xml:space="preserve">încă o dată </w:t>
      </w:r>
      <w:r w:rsidR="00DA6CA5" w:rsidRPr="00B0165B">
        <w:rPr>
          <w:rFonts w:ascii="Times New Roman" w:hAnsi="Times New Roman" w:cs="Times New Roman"/>
          <w:sz w:val="24"/>
          <w:szCs w:val="24"/>
          <w:lang w:val="ro-RO"/>
        </w:rPr>
        <w:t>în centrul ecuației energetice globale</w:t>
      </w:r>
      <w:r w:rsidR="00D93F3C" w:rsidRPr="00B0165B">
        <w:rPr>
          <w:rFonts w:ascii="Times New Roman" w:hAnsi="Times New Roman" w:cs="Times New Roman"/>
          <w:sz w:val="24"/>
          <w:szCs w:val="24"/>
          <w:lang w:val="ro-RO"/>
        </w:rPr>
        <w:t>.</w:t>
      </w:r>
      <w:r w:rsidR="004717B6" w:rsidRPr="00B0165B">
        <w:rPr>
          <w:rFonts w:ascii="Times New Roman" w:hAnsi="Times New Roman" w:cs="Times New Roman"/>
          <w:sz w:val="24"/>
          <w:szCs w:val="24"/>
          <w:lang w:val="ro-RO"/>
        </w:rPr>
        <w:t xml:space="preserve"> Dintr-o anumită perspectivă, </w:t>
      </w:r>
      <w:r w:rsidR="00593AA8" w:rsidRPr="00B0165B">
        <w:rPr>
          <w:rFonts w:ascii="Times New Roman" w:hAnsi="Times New Roman" w:cs="Times New Roman"/>
          <w:sz w:val="24"/>
          <w:szCs w:val="24"/>
          <w:lang w:val="ro-RO"/>
        </w:rPr>
        <w:t>fragilitatea</w:t>
      </w:r>
      <w:r w:rsidR="00DA6CA5" w:rsidRPr="00B0165B">
        <w:rPr>
          <w:rFonts w:ascii="Times New Roman" w:hAnsi="Times New Roman" w:cs="Times New Roman"/>
          <w:sz w:val="24"/>
          <w:szCs w:val="24"/>
          <w:lang w:val="ro-RO"/>
        </w:rPr>
        <w:t xml:space="preserve"> economiei mondiale </w:t>
      </w:r>
      <w:r w:rsidR="00593AA8" w:rsidRPr="00B0165B">
        <w:rPr>
          <w:rFonts w:ascii="Times New Roman" w:hAnsi="Times New Roman" w:cs="Times New Roman"/>
          <w:sz w:val="24"/>
          <w:szCs w:val="24"/>
          <w:lang w:val="ro-RO"/>
        </w:rPr>
        <w:t>în raport cu aceiași factori</w:t>
      </w:r>
      <w:r w:rsidR="00DA6CA5" w:rsidRPr="00B0165B">
        <w:rPr>
          <w:rFonts w:ascii="Times New Roman" w:hAnsi="Times New Roman" w:cs="Times New Roman"/>
          <w:sz w:val="24"/>
          <w:szCs w:val="24"/>
          <w:lang w:val="ro-RO"/>
        </w:rPr>
        <w:t xml:space="preserve"> </w:t>
      </w:r>
      <w:r w:rsidR="004717B6" w:rsidRPr="00B0165B">
        <w:rPr>
          <w:rFonts w:ascii="Times New Roman" w:hAnsi="Times New Roman" w:cs="Times New Roman"/>
          <w:sz w:val="24"/>
          <w:szCs w:val="24"/>
          <w:lang w:val="ro-RO"/>
        </w:rPr>
        <w:t xml:space="preserve">timp de mai bine de 50 de ani, </w:t>
      </w:r>
      <w:r w:rsidR="00593AA8" w:rsidRPr="00B0165B">
        <w:rPr>
          <w:rFonts w:ascii="Times New Roman" w:hAnsi="Times New Roman" w:cs="Times New Roman"/>
          <w:sz w:val="24"/>
          <w:szCs w:val="24"/>
          <w:lang w:val="ro-RO"/>
        </w:rPr>
        <w:t xml:space="preserve">este aparent de neînțeles. </w:t>
      </w:r>
    </w:p>
    <w:p w14:paraId="69033C51" w14:textId="0EA576C2" w:rsidR="009D299F" w:rsidRPr="00B0165B" w:rsidRDefault="00593AA8"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 xml:space="preserve">Din anii ’70 până în prezent - </w:t>
      </w:r>
      <w:r w:rsidR="009D299F" w:rsidRPr="00B0165B">
        <w:rPr>
          <w:rFonts w:ascii="Times New Roman" w:hAnsi="Times New Roman" w:cs="Times New Roman"/>
          <w:b/>
          <w:bCs/>
          <w:sz w:val="24"/>
          <w:szCs w:val="24"/>
          <w:lang w:val="ro-RO"/>
        </w:rPr>
        <w:t xml:space="preserve">lecțiile crizelor petroliere </w:t>
      </w:r>
      <w:r w:rsidRPr="00B0165B">
        <w:rPr>
          <w:rFonts w:ascii="Times New Roman" w:hAnsi="Times New Roman" w:cs="Times New Roman"/>
          <w:b/>
          <w:bCs/>
          <w:sz w:val="24"/>
          <w:szCs w:val="24"/>
          <w:lang w:val="ro-RO"/>
        </w:rPr>
        <w:t>și relevanța pentru situația curentă</w:t>
      </w:r>
      <w:r w:rsidR="009D299F" w:rsidRPr="00B0165B">
        <w:rPr>
          <w:rFonts w:ascii="Times New Roman" w:hAnsi="Times New Roman" w:cs="Times New Roman"/>
          <w:b/>
          <w:bCs/>
          <w:sz w:val="24"/>
          <w:szCs w:val="24"/>
          <w:lang w:val="ro-RO"/>
        </w:rPr>
        <w:t xml:space="preserve"> </w:t>
      </w:r>
    </w:p>
    <w:p w14:paraId="10D92BA0" w14:textId="1F08824A" w:rsidR="00C55A2D" w:rsidRPr="00B0165B" w:rsidRDefault="00996A00" w:rsidP="00C55A2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Î</w:t>
      </w:r>
      <w:r w:rsidR="00C1324C" w:rsidRPr="00B0165B">
        <w:rPr>
          <w:rFonts w:ascii="Times New Roman" w:hAnsi="Times New Roman" w:cs="Times New Roman"/>
          <w:sz w:val="24"/>
          <w:szCs w:val="24"/>
          <w:lang w:val="ro-RO"/>
        </w:rPr>
        <w:t>n anii ’70</w:t>
      </w:r>
      <w:r w:rsidRPr="00B0165B">
        <w:rPr>
          <w:rFonts w:ascii="Times New Roman" w:hAnsi="Times New Roman" w:cs="Times New Roman"/>
          <w:sz w:val="24"/>
          <w:szCs w:val="24"/>
          <w:lang w:val="ro-RO"/>
        </w:rPr>
        <w:t>,</w:t>
      </w:r>
      <w:r w:rsidR="00C1324C"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 xml:space="preserve">OPEC a funcționat </w:t>
      </w:r>
      <w:r w:rsidR="00C1324C" w:rsidRPr="00B0165B">
        <w:rPr>
          <w:rFonts w:ascii="Times New Roman" w:hAnsi="Times New Roman" w:cs="Times New Roman"/>
          <w:sz w:val="24"/>
          <w:szCs w:val="24"/>
          <w:lang w:val="ro-RO"/>
        </w:rPr>
        <w:t xml:space="preserve">ca un cartel al statelor exportatoare de petrol, </w:t>
      </w:r>
      <w:r w:rsidRPr="00B0165B">
        <w:rPr>
          <w:rFonts w:ascii="Times New Roman" w:hAnsi="Times New Roman" w:cs="Times New Roman"/>
          <w:sz w:val="24"/>
          <w:szCs w:val="24"/>
          <w:lang w:val="ro-RO"/>
        </w:rPr>
        <w:t xml:space="preserve">utilizând </w:t>
      </w:r>
      <w:r w:rsidR="00C1324C" w:rsidRPr="00B0165B">
        <w:rPr>
          <w:rFonts w:ascii="Times New Roman" w:hAnsi="Times New Roman" w:cs="Times New Roman"/>
          <w:sz w:val="24"/>
          <w:szCs w:val="24"/>
          <w:lang w:val="ro-RO"/>
        </w:rPr>
        <w:t xml:space="preserve">nivelul producției </w:t>
      </w:r>
      <w:r w:rsidRPr="00B0165B">
        <w:rPr>
          <w:rFonts w:ascii="Times New Roman" w:hAnsi="Times New Roman" w:cs="Times New Roman"/>
          <w:sz w:val="24"/>
          <w:szCs w:val="24"/>
          <w:lang w:val="ro-RO"/>
        </w:rPr>
        <w:t xml:space="preserve">în sensul </w:t>
      </w:r>
      <w:r w:rsidR="00C1324C" w:rsidRPr="00B0165B">
        <w:rPr>
          <w:rFonts w:ascii="Times New Roman" w:hAnsi="Times New Roman" w:cs="Times New Roman"/>
          <w:sz w:val="24"/>
          <w:szCs w:val="24"/>
          <w:lang w:val="ro-RO"/>
        </w:rPr>
        <w:t>influenț</w:t>
      </w:r>
      <w:r w:rsidRPr="00B0165B">
        <w:rPr>
          <w:rFonts w:ascii="Times New Roman" w:hAnsi="Times New Roman" w:cs="Times New Roman"/>
          <w:sz w:val="24"/>
          <w:szCs w:val="24"/>
          <w:lang w:val="ro-RO"/>
        </w:rPr>
        <w:t>ării</w:t>
      </w:r>
      <w:r w:rsidR="00C1324C" w:rsidRPr="00B0165B">
        <w:rPr>
          <w:rFonts w:ascii="Times New Roman" w:hAnsi="Times New Roman" w:cs="Times New Roman"/>
          <w:sz w:val="24"/>
          <w:szCs w:val="24"/>
          <w:lang w:val="ro-RO"/>
        </w:rPr>
        <w:t xml:space="preserve"> prețuril</w:t>
      </w:r>
      <w:r w:rsidRPr="00B0165B">
        <w:rPr>
          <w:rFonts w:ascii="Times New Roman" w:hAnsi="Times New Roman" w:cs="Times New Roman"/>
          <w:sz w:val="24"/>
          <w:szCs w:val="24"/>
          <w:lang w:val="ro-RO"/>
        </w:rPr>
        <w:t>or</w:t>
      </w:r>
      <w:r w:rsidR="00C1324C" w:rsidRPr="00B0165B">
        <w:rPr>
          <w:rFonts w:ascii="Times New Roman" w:hAnsi="Times New Roman" w:cs="Times New Roman"/>
          <w:sz w:val="24"/>
          <w:szCs w:val="24"/>
          <w:lang w:val="ro-RO"/>
        </w:rPr>
        <w:t xml:space="preserve"> pe piața mondială. </w:t>
      </w:r>
      <w:r w:rsidRPr="00B0165B">
        <w:rPr>
          <w:rFonts w:ascii="Times New Roman" w:hAnsi="Times New Roman" w:cs="Times New Roman"/>
          <w:sz w:val="24"/>
          <w:szCs w:val="24"/>
          <w:lang w:val="ro-RO"/>
        </w:rPr>
        <w:t>L</w:t>
      </w:r>
      <w:r w:rsidR="00C1324C" w:rsidRPr="00B0165B">
        <w:rPr>
          <w:rFonts w:ascii="Times New Roman" w:hAnsi="Times New Roman" w:cs="Times New Roman"/>
          <w:sz w:val="24"/>
          <w:szCs w:val="24"/>
          <w:lang w:val="ro-RO"/>
        </w:rPr>
        <w:t>imitarea ofertei și impunerea embargourilor</w:t>
      </w:r>
      <w:r w:rsidRPr="00B0165B">
        <w:rPr>
          <w:rFonts w:ascii="Times New Roman" w:hAnsi="Times New Roman" w:cs="Times New Roman"/>
          <w:sz w:val="24"/>
          <w:szCs w:val="24"/>
          <w:lang w:val="ro-RO"/>
        </w:rPr>
        <w:t xml:space="preserve">, cu precădere, au fost utilizate ca </w:t>
      </w:r>
      <w:r w:rsidR="00C1324C" w:rsidRPr="00B0165B">
        <w:rPr>
          <w:rFonts w:ascii="Times New Roman" w:hAnsi="Times New Roman" w:cs="Times New Roman"/>
          <w:sz w:val="24"/>
          <w:szCs w:val="24"/>
          <w:lang w:val="ro-RO"/>
        </w:rPr>
        <w:t>instrumente economice și politice</w:t>
      </w:r>
      <w:r w:rsidRPr="00B0165B">
        <w:rPr>
          <w:rFonts w:ascii="Times New Roman" w:hAnsi="Times New Roman" w:cs="Times New Roman"/>
          <w:sz w:val="24"/>
          <w:szCs w:val="24"/>
          <w:lang w:val="ro-RO"/>
        </w:rPr>
        <w:t xml:space="preserve"> care</w:t>
      </w:r>
      <w:r w:rsidR="00EF55CC" w:rsidRPr="00B0165B">
        <w:rPr>
          <w:rFonts w:ascii="Times New Roman" w:hAnsi="Times New Roman" w:cs="Times New Roman"/>
          <w:sz w:val="24"/>
          <w:szCs w:val="24"/>
          <w:lang w:val="ro-RO"/>
        </w:rPr>
        <w:t xml:space="preserve"> </w:t>
      </w:r>
      <w:r w:rsidR="00C1324C" w:rsidRPr="00B0165B">
        <w:rPr>
          <w:rFonts w:ascii="Times New Roman" w:hAnsi="Times New Roman" w:cs="Times New Roman"/>
          <w:sz w:val="24"/>
          <w:szCs w:val="24"/>
          <w:lang w:val="ro-RO"/>
        </w:rPr>
        <w:t xml:space="preserve">au contribuit decisiv la declanșarea și amplificarea crizelor petroliere. </w:t>
      </w:r>
      <w:r w:rsidRPr="00B0165B">
        <w:rPr>
          <w:rFonts w:ascii="Times New Roman" w:hAnsi="Times New Roman" w:cs="Times New Roman"/>
          <w:sz w:val="24"/>
          <w:szCs w:val="24"/>
          <w:lang w:val="ro-RO"/>
        </w:rPr>
        <w:t>Este important să menționăm primele două crize petroliere, cea declanșată în 1973</w:t>
      </w:r>
      <w:r w:rsidR="00811DDD" w:rsidRPr="00B0165B">
        <w:rPr>
          <w:rFonts w:ascii="Times New Roman" w:hAnsi="Times New Roman" w:cs="Times New Roman"/>
          <w:sz w:val="24"/>
          <w:szCs w:val="24"/>
          <w:lang w:val="ro-RO"/>
        </w:rPr>
        <w:t xml:space="preserve">, </w:t>
      </w:r>
      <w:r w:rsidR="00C1324C" w:rsidRPr="00B0165B">
        <w:rPr>
          <w:rFonts w:ascii="Times New Roman" w:hAnsi="Times New Roman" w:cs="Times New Roman"/>
          <w:sz w:val="24"/>
          <w:szCs w:val="24"/>
          <w:lang w:val="ro-RO"/>
        </w:rPr>
        <w:t xml:space="preserve">în contextul </w:t>
      </w:r>
      <w:r w:rsidR="00885CF0" w:rsidRPr="00B0165B">
        <w:rPr>
          <w:rFonts w:ascii="Times New Roman" w:hAnsi="Times New Roman" w:cs="Times New Roman"/>
          <w:sz w:val="24"/>
          <w:szCs w:val="24"/>
          <w:lang w:val="ro-RO"/>
        </w:rPr>
        <w:t>r</w:t>
      </w:r>
      <w:r w:rsidR="00C1324C" w:rsidRPr="00B0165B">
        <w:rPr>
          <w:rFonts w:ascii="Times New Roman" w:hAnsi="Times New Roman" w:cs="Times New Roman"/>
          <w:sz w:val="24"/>
          <w:szCs w:val="24"/>
          <w:lang w:val="ro-RO"/>
        </w:rPr>
        <w:t>ăzboiul</w:t>
      </w:r>
      <w:r w:rsidR="00885CF0" w:rsidRPr="00B0165B">
        <w:rPr>
          <w:rFonts w:ascii="Times New Roman" w:hAnsi="Times New Roman" w:cs="Times New Roman"/>
          <w:sz w:val="24"/>
          <w:szCs w:val="24"/>
          <w:lang w:val="ro-RO"/>
        </w:rPr>
        <w:t>ui</w:t>
      </w:r>
      <w:r w:rsidR="00C1324C" w:rsidRPr="00B0165B">
        <w:rPr>
          <w:rFonts w:ascii="Times New Roman" w:hAnsi="Times New Roman" w:cs="Times New Roman"/>
          <w:sz w:val="24"/>
          <w:szCs w:val="24"/>
          <w:lang w:val="ro-RO"/>
        </w:rPr>
        <w:t xml:space="preserve"> de Yom Kippur</w:t>
      </w:r>
      <w:r w:rsidRPr="00B0165B">
        <w:rPr>
          <w:rFonts w:ascii="Times New Roman" w:hAnsi="Times New Roman" w:cs="Times New Roman"/>
          <w:sz w:val="24"/>
          <w:szCs w:val="24"/>
          <w:lang w:val="ro-RO"/>
        </w:rPr>
        <w:t xml:space="preserve"> și cea de a doua, din 1979</w:t>
      </w:r>
      <w:r w:rsidR="00811DDD" w:rsidRPr="00B0165B">
        <w:rPr>
          <w:rFonts w:ascii="Times New Roman" w:hAnsi="Times New Roman" w:cs="Times New Roman"/>
          <w:sz w:val="24"/>
          <w:szCs w:val="24"/>
          <w:lang w:val="ro-RO"/>
        </w:rPr>
        <w:t>,</w:t>
      </w:r>
      <w:r w:rsidRPr="00B0165B">
        <w:rPr>
          <w:rFonts w:ascii="Times New Roman" w:hAnsi="Times New Roman" w:cs="Times New Roman"/>
          <w:sz w:val="24"/>
          <w:szCs w:val="24"/>
          <w:lang w:val="ro-RO"/>
        </w:rPr>
        <w:t xml:space="preserve"> apărută pe fondul </w:t>
      </w:r>
      <w:r w:rsidR="00811DDD" w:rsidRPr="00B0165B">
        <w:rPr>
          <w:rFonts w:ascii="Times New Roman" w:hAnsi="Times New Roman" w:cs="Times New Roman"/>
          <w:sz w:val="24"/>
          <w:szCs w:val="24"/>
          <w:lang w:val="ro-RO"/>
        </w:rPr>
        <w:t xml:space="preserve">Revoluției iraniene. Prima, </w:t>
      </w:r>
      <w:r w:rsidR="00C1324C" w:rsidRPr="00B0165B">
        <w:rPr>
          <w:rFonts w:ascii="Times New Roman" w:hAnsi="Times New Roman" w:cs="Times New Roman"/>
          <w:sz w:val="24"/>
          <w:szCs w:val="24"/>
          <w:lang w:val="ro-RO"/>
        </w:rPr>
        <w:t>determinată de decizia OPEC de a institui un embargo petrolier asupra țărilor occidentale</w:t>
      </w:r>
      <w:r w:rsidR="00811DDD" w:rsidRPr="00B0165B">
        <w:rPr>
          <w:rFonts w:ascii="Times New Roman" w:hAnsi="Times New Roman" w:cs="Times New Roman"/>
          <w:sz w:val="24"/>
          <w:szCs w:val="24"/>
          <w:lang w:val="ro-RO"/>
        </w:rPr>
        <w:t xml:space="preserve"> </w:t>
      </w:r>
      <w:r w:rsidR="00C1324C" w:rsidRPr="00B0165B">
        <w:rPr>
          <w:rFonts w:ascii="Times New Roman" w:hAnsi="Times New Roman" w:cs="Times New Roman"/>
          <w:sz w:val="24"/>
          <w:szCs w:val="24"/>
          <w:lang w:val="ro-RO"/>
        </w:rPr>
        <w:t>a condus la creșteri abrupte ale prețurilor</w:t>
      </w:r>
      <w:r w:rsidR="00811DDD" w:rsidRPr="00B0165B">
        <w:rPr>
          <w:rFonts w:ascii="Times New Roman" w:hAnsi="Times New Roman" w:cs="Times New Roman"/>
          <w:sz w:val="24"/>
          <w:szCs w:val="24"/>
          <w:lang w:val="ro-RO"/>
        </w:rPr>
        <w:t xml:space="preserve">, </w:t>
      </w:r>
      <w:r w:rsidR="00EF55CC" w:rsidRPr="00B0165B">
        <w:rPr>
          <w:rFonts w:ascii="Times New Roman" w:hAnsi="Times New Roman" w:cs="Times New Roman"/>
          <w:sz w:val="24"/>
          <w:szCs w:val="24"/>
          <w:lang w:val="ro-RO"/>
        </w:rPr>
        <w:t>aliment</w:t>
      </w:r>
      <w:r w:rsidR="00811DDD" w:rsidRPr="00B0165B">
        <w:rPr>
          <w:rFonts w:ascii="Times New Roman" w:hAnsi="Times New Roman" w:cs="Times New Roman"/>
          <w:sz w:val="24"/>
          <w:szCs w:val="24"/>
          <w:lang w:val="ro-RO"/>
        </w:rPr>
        <w:t>ând</w:t>
      </w:r>
      <w:r w:rsidR="00EF55CC" w:rsidRPr="00B0165B">
        <w:rPr>
          <w:rFonts w:ascii="Times New Roman" w:hAnsi="Times New Roman" w:cs="Times New Roman"/>
          <w:sz w:val="24"/>
          <w:szCs w:val="24"/>
          <w:lang w:val="ro-RO"/>
        </w:rPr>
        <w:t xml:space="preserve"> </w:t>
      </w:r>
      <w:r w:rsidR="00C1324C" w:rsidRPr="00B0165B">
        <w:rPr>
          <w:rFonts w:ascii="Times New Roman" w:hAnsi="Times New Roman" w:cs="Times New Roman"/>
          <w:sz w:val="24"/>
          <w:szCs w:val="24"/>
          <w:lang w:val="ro-RO"/>
        </w:rPr>
        <w:t>inflați</w:t>
      </w:r>
      <w:r w:rsidR="00EF55CC" w:rsidRPr="00B0165B">
        <w:rPr>
          <w:rFonts w:ascii="Times New Roman" w:hAnsi="Times New Roman" w:cs="Times New Roman"/>
          <w:sz w:val="24"/>
          <w:szCs w:val="24"/>
          <w:lang w:val="ro-RO"/>
        </w:rPr>
        <w:t>a</w:t>
      </w:r>
      <w:r w:rsidR="00C1324C" w:rsidRPr="00B0165B">
        <w:rPr>
          <w:rFonts w:ascii="Times New Roman" w:hAnsi="Times New Roman" w:cs="Times New Roman"/>
          <w:sz w:val="24"/>
          <w:szCs w:val="24"/>
          <w:lang w:val="ro-RO"/>
        </w:rPr>
        <w:t xml:space="preserve"> și </w:t>
      </w:r>
      <w:r w:rsidR="00811DDD" w:rsidRPr="00B0165B">
        <w:rPr>
          <w:rFonts w:ascii="Times New Roman" w:hAnsi="Times New Roman" w:cs="Times New Roman"/>
          <w:sz w:val="24"/>
          <w:szCs w:val="24"/>
          <w:lang w:val="ro-RO"/>
        </w:rPr>
        <w:t xml:space="preserve">provocând </w:t>
      </w:r>
      <w:r w:rsidR="00C1324C" w:rsidRPr="00B0165B">
        <w:rPr>
          <w:rFonts w:ascii="Times New Roman" w:hAnsi="Times New Roman" w:cs="Times New Roman"/>
          <w:sz w:val="24"/>
          <w:szCs w:val="24"/>
          <w:lang w:val="ro-RO"/>
        </w:rPr>
        <w:t>stagnare</w:t>
      </w:r>
      <w:r w:rsidRPr="00B0165B">
        <w:rPr>
          <w:rFonts w:ascii="Times New Roman" w:hAnsi="Times New Roman" w:cs="Times New Roman"/>
          <w:sz w:val="24"/>
          <w:szCs w:val="24"/>
          <w:lang w:val="ro-RO"/>
        </w:rPr>
        <w:t>a</w:t>
      </w:r>
      <w:r w:rsidR="00C1324C" w:rsidRPr="00B0165B">
        <w:rPr>
          <w:rFonts w:ascii="Times New Roman" w:hAnsi="Times New Roman" w:cs="Times New Roman"/>
          <w:sz w:val="24"/>
          <w:szCs w:val="24"/>
          <w:lang w:val="ro-RO"/>
        </w:rPr>
        <w:t xml:space="preserve"> economică</w:t>
      </w:r>
      <w:r w:rsidR="00811DDD" w:rsidRPr="00B0165B">
        <w:rPr>
          <w:rFonts w:ascii="Times New Roman" w:hAnsi="Times New Roman" w:cs="Times New Roman"/>
          <w:sz w:val="24"/>
          <w:szCs w:val="24"/>
          <w:lang w:val="ro-RO"/>
        </w:rPr>
        <w:t>;</w:t>
      </w:r>
      <w:r w:rsidR="00C1324C" w:rsidRPr="00B0165B">
        <w:rPr>
          <w:rFonts w:ascii="Times New Roman" w:hAnsi="Times New Roman" w:cs="Times New Roman"/>
          <w:sz w:val="24"/>
          <w:szCs w:val="24"/>
          <w:lang w:val="ro-RO"/>
        </w:rPr>
        <w:t xml:space="preserve"> </w:t>
      </w:r>
      <w:r w:rsidR="00811DDD" w:rsidRPr="00B0165B">
        <w:rPr>
          <w:rFonts w:ascii="Times New Roman" w:hAnsi="Times New Roman" w:cs="Times New Roman"/>
          <w:sz w:val="24"/>
          <w:szCs w:val="24"/>
          <w:lang w:val="ro-RO"/>
        </w:rPr>
        <w:t>a</w:t>
      </w:r>
      <w:r w:rsidR="00C1324C" w:rsidRPr="00B0165B">
        <w:rPr>
          <w:rFonts w:ascii="Times New Roman" w:hAnsi="Times New Roman" w:cs="Times New Roman"/>
          <w:sz w:val="24"/>
          <w:szCs w:val="24"/>
          <w:lang w:val="ro-RO"/>
        </w:rPr>
        <w:t xml:space="preserve"> doua a amplificat instabilitatea pieței energetice globale prin reducerea semnificativă a </w:t>
      </w:r>
      <w:r w:rsidR="00EF55CC" w:rsidRPr="00B0165B">
        <w:rPr>
          <w:rFonts w:ascii="Times New Roman" w:hAnsi="Times New Roman" w:cs="Times New Roman"/>
          <w:sz w:val="24"/>
          <w:szCs w:val="24"/>
          <w:lang w:val="ro-RO"/>
        </w:rPr>
        <w:t>ofertei</w:t>
      </w:r>
      <w:r w:rsidR="00C1324C" w:rsidRPr="00B0165B">
        <w:rPr>
          <w:rFonts w:ascii="Times New Roman" w:hAnsi="Times New Roman" w:cs="Times New Roman"/>
          <w:sz w:val="24"/>
          <w:szCs w:val="24"/>
          <w:lang w:val="ro-RO"/>
        </w:rPr>
        <w:t xml:space="preserve"> de petrol.</w:t>
      </w:r>
      <w:r w:rsidR="00811DDD" w:rsidRPr="00B0165B">
        <w:rPr>
          <w:rFonts w:ascii="Times New Roman" w:hAnsi="Times New Roman" w:cs="Times New Roman"/>
          <w:sz w:val="24"/>
          <w:szCs w:val="24"/>
          <w:lang w:val="ro-RO"/>
        </w:rPr>
        <w:t xml:space="preserve"> Așadar, crizele petroliere din anii ’70 nu doar au influențat semnificativ evoluția economiei mondiale, dar au expus fără echivoc dependența statelor industrializate de resursele energetice externe. </w:t>
      </w:r>
      <w:r w:rsidR="00736CD2" w:rsidRPr="00B0165B">
        <w:rPr>
          <w:rFonts w:ascii="Times New Roman" w:hAnsi="Times New Roman" w:cs="Times New Roman"/>
          <w:sz w:val="24"/>
          <w:szCs w:val="24"/>
          <w:lang w:val="ro-RO"/>
        </w:rPr>
        <w:t xml:space="preserve">Prin </w:t>
      </w:r>
      <w:r w:rsidR="00C55A2D" w:rsidRPr="00B0165B">
        <w:rPr>
          <w:rFonts w:ascii="Times New Roman" w:hAnsi="Times New Roman" w:cs="Times New Roman"/>
          <w:sz w:val="24"/>
          <w:szCs w:val="24"/>
          <w:lang w:val="ro-RO"/>
        </w:rPr>
        <w:t>amploarea impactului,</w:t>
      </w:r>
      <w:r w:rsidR="00736CD2" w:rsidRPr="00B0165B">
        <w:rPr>
          <w:rFonts w:ascii="Times New Roman" w:hAnsi="Times New Roman" w:cs="Times New Roman"/>
          <w:sz w:val="24"/>
          <w:szCs w:val="24"/>
          <w:lang w:val="ro-RO"/>
        </w:rPr>
        <w:t xml:space="preserve"> </w:t>
      </w:r>
      <w:r w:rsidR="00C55A2D" w:rsidRPr="00B0165B">
        <w:rPr>
          <w:rFonts w:ascii="Times New Roman" w:hAnsi="Times New Roman" w:cs="Times New Roman"/>
          <w:sz w:val="24"/>
          <w:szCs w:val="24"/>
          <w:lang w:val="ro-RO"/>
        </w:rPr>
        <w:t xml:space="preserve">aceste crize </w:t>
      </w:r>
      <w:r w:rsidR="00736CD2" w:rsidRPr="00B0165B">
        <w:rPr>
          <w:rFonts w:ascii="Times New Roman" w:hAnsi="Times New Roman" w:cs="Times New Roman"/>
          <w:sz w:val="24"/>
          <w:szCs w:val="24"/>
          <w:lang w:val="ro-RO"/>
        </w:rPr>
        <w:t xml:space="preserve">au </w:t>
      </w:r>
      <w:r w:rsidR="00C55A2D" w:rsidRPr="00B0165B">
        <w:rPr>
          <w:rFonts w:ascii="Times New Roman" w:hAnsi="Times New Roman" w:cs="Times New Roman"/>
          <w:sz w:val="24"/>
          <w:szCs w:val="24"/>
          <w:lang w:val="ro-RO"/>
        </w:rPr>
        <w:t xml:space="preserve">constituit </w:t>
      </w:r>
      <w:r w:rsidR="00736CD2" w:rsidRPr="00B0165B">
        <w:rPr>
          <w:rFonts w:ascii="Times New Roman" w:hAnsi="Times New Roman" w:cs="Times New Roman"/>
          <w:sz w:val="24"/>
          <w:szCs w:val="24"/>
          <w:lang w:val="ro-RO"/>
        </w:rPr>
        <w:t>prim</w:t>
      </w:r>
      <w:r w:rsidR="00C55A2D" w:rsidRPr="00B0165B">
        <w:rPr>
          <w:rFonts w:ascii="Times New Roman" w:hAnsi="Times New Roman" w:cs="Times New Roman"/>
          <w:sz w:val="24"/>
          <w:szCs w:val="24"/>
          <w:lang w:val="ro-RO"/>
        </w:rPr>
        <w:t>ul</w:t>
      </w:r>
      <w:r w:rsidR="00736CD2" w:rsidRPr="00B0165B">
        <w:rPr>
          <w:rFonts w:ascii="Times New Roman" w:hAnsi="Times New Roman" w:cs="Times New Roman"/>
          <w:sz w:val="24"/>
          <w:szCs w:val="24"/>
          <w:lang w:val="ro-RO"/>
        </w:rPr>
        <w:t xml:space="preserve"> impuls </w:t>
      </w:r>
      <w:r w:rsidR="00C55A2D" w:rsidRPr="00B0165B">
        <w:rPr>
          <w:rFonts w:ascii="Times New Roman" w:hAnsi="Times New Roman" w:cs="Times New Roman"/>
          <w:sz w:val="24"/>
          <w:szCs w:val="24"/>
          <w:lang w:val="ro-RO"/>
        </w:rPr>
        <w:t>structural</w:t>
      </w:r>
      <w:r w:rsidR="00736CD2" w:rsidRPr="00B0165B">
        <w:rPr>
          <w:rFonts w:ascii="Times New Roman" w:hAnsi="Times New Roman" w:cs="Times New Roman"/>
          <w:sz w:val="24"/>
          <w:szCs w:val="24"/>
          <w:lang w:val="ro-RO"/>
        </w:rPr>
        <w:t xml:space="preserve"> în sensul necesității reconfigurării politicilor economice și energetice la nivel global</w:t>
      </w:r>
      <w:r w:rsidR="00C55A2D" w:rsidRPr="00B0165B">
        <w:rPr>
          <w:rFonts w:ascii="Times New Roman" w:hAnsi="Times New Roman" w:cs="Times New Roman"/>
          <w:sz w:val="24"/>
          <w:szCs w:val="24"/>
          <w:lang w:val="ro-RO"/>
        </w:rPr>
        <w:t>, catalizând diversificarea surselor de energie, constituirea de rezerve strategice</w:t>
      </w:r>
      <w:r w:rsidR="002C5198" w:rsidRPr="00B0165B">
        <w:rPr>
          <w:rFonts w:ascii="Times New Roman" w:hAnsi="Times New Roman" w:cs="Times New Roman"/>
          <w:sz w:val="24"/>
          <w:szCs w:val="24"/>
          <w:lang w:val="ro-RO"/>
        </w:rPr>
        <w:t xml:space="preserve"> și</w:t>
      </w:r>
      <w:r w:rsidR="00C55A2D" w:rsidRPr="00B0165B">
        <w:rPr>
          <w:rFonts w:ascii="Times New Roman" w:hAnsi="Times New Roman" w:cs="Times New Roman"/>
          <w:sz w:val="24"/>
          <w:szCs w:val="24"/>
          <w:lang w:val="ro-RO"/>
        </w:rPr>
        <w:t xml:space="preserve"> consolid</w:t>
      </w:r>
      <w:r w:rsidR="002C5198" w:rsidRPr="00B0165B">
        <w:rPr>
          <w:rFonts w:ascii="Times New Roman" w:hAnsi="Times New Roman" w:cs="Times New Roman"/>
          <w:sz w:val="24"/>
          <w:szCs w:val="24"/>
          <w:lang w:val="ro-RO"/>
        </w:rPr>
        <w:t>area</w:t>
      </w:r>
      <w:r w:rsidR="00C55A2D" w:rsidRPr="00B0165B">
        <w:rPr>
          <w:rFonts w:ascii="Times New Roman" w:hAnsi="Times New Roman" w:cs="Times New Roman"/>
          <w:sz w:val="24"/>
          <w:szCs w:val="24"/>
          <w:lang w:val="ro-RO"/>
        </w:rPr>
        <w:t xml:space="preserve"> conceptul de securitate energetică</w:t>
      </w:r>
      <w:r w:rsidR="002C5198" w:rsidRPr="00B0165B">
        <w:rPr>
          <w:rFonts w:ascii="Times New Roman" w:hAnsi="Times New Roman" w:cs="Times New Roman"/>
          <w:sz w:val="24"/>
          <w:szCs w:val="24"/>
          <w:lang w:val="ro-RO"/>
        </w:rPr>
        <w:t xml:space="preserve">, concomitent cu inițierea </w:t>
      </w:r>
      <w:r w:rsidR="00C55A2D" w:rsidRPr="00B0165B">
        <w:rPr>
          <w:rFonts w:ascii="Times New Roman" w:hAnsi="Times New Roman" w:cs="Times New Roman"/>
          <w:sz w:val="24"/>
          <w:szCs w:val="24"/>
          <w:lang w:val="ro-RO"/>
        </w:rPr>
        <w:t>demersuril</w:t>
      </w:r>
      <w:r w:rsidR="002C5198" w:rsidRPr="00B0165B">
        <w:rPr>
          <w:rFonts w:ascii="Times New Roman" w:hAnsi="Times New Roman" w:cs="Times New Roman"/>
          <w:sz w:val="24"/>
          <w:szCs w:val="24"/>
          <w:lang w:val="ro-RO"/>
        </w:rPr>
        <w:t>or</w:t>
      </w:r>
      <w:r w:rsidR="00C55A2D" w:rsidRPr="00B0165B">
        <w:rPr>
          <w:rFonts w:ascii="Times New Roman" w:hAnsi="Times New Roman" w:cs="Times New Roman"/>
          <w:sz w:val="24"/>
          <w:szCs w:val="24"/>
          <w:lang w:val="ro-RO"/>
        </w:rPr>
        <w:t xml:space="preserve"> pentru pentru creșterea eficienței energetice și reducerea consumurilor unitare.</w:t>
      </w:r>
    </w:p>
    <w:p w14:paraId="3DC2A0FB" w14:textId="255A66E9" w:rsidR="009D299F" w:rsidRPr="00B0165B" w:rsidRDefault="002C5198"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„Dezinflația Volcker” - d</w:t>
      </w:r>
      <w:r w:rsidR="009D299F" w:rsidRPr="00B0165B">
        <w:rPr>
          <w:rFonts w:ascii="Times New Roman" w:hAnsi="Times New Roman" w:cs="Times New Roman"/>
          <w:b/>
          <w:bCs/>
          <w:sz w:val="24"/>
          <w:szCs w:val="24"/>
          <w:lang w:val="ro-RO"/>
        </w:rPr>
        <w:t>e la șocul petrolier la răspunsul politicii monetare</w:t>
      </w:r>
    </w:p>
    <w:p w14:paraId="055C0C3F" w14:textId="214AABEE" w:rsidR="00C1324C" w:rsidRPr="00B0165B" w:rsidRDefault="002C5198"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Venirea lui </w:t>
      </w:r>
      <w:r w:rsidR="00C1324C" w:rsidRPr="00B0165B">
        <w:rPr>
          <w:rFonts w:ascii="Times New Roman" w:hAnsi="Times New Roman" w:cs="Times New Roman"/>
          <w:sz w:val="24"/>
          <w:szCs w:val="24"/>
          <w:lang w:val="ro-RO"/>
        </w:rPr>
        <w:t xml:space="preserve">Paul Volcker </w:t>
      </w:r>
      <w:r w:rsidRPr="00B0165B">
        <w:rPr>
          <w:rFonts w:ascii="Times New Roman" w:hAnsi="Times New Roman" w:cs="Times New Roman"/>
          <w:sz w:val="24"/>
          <w:szCs w:val="24"/>
          <w:lang w:val="ro-RO"/>
        </w:rPr>
        <w:t xml:space="preserve">ca președinte al </w:t>
      </w:r>
      <w:r w:rsidR="00C1324C" w:rsidRPr="00B0165B">
        <w:rPr>
          <w:rFonts w:ascii="Times New Roman" w:hAnsi="Times New Roman" w:cs="Times New Roman"/>
          <w:sz w:val="24"/>
          <w:szCs w:val="24"/>
          <w:lang w:val="ro-RO"/>
        </w:rPr>
        <w:t xml:space="preserve">Federal Reserve în 1979, </w:t>
      </w:r>
      <w:r w:rsidRPr="00B0165B">
        <w:rPr>
          <w:rFonts w:ascii="Times New Roman" w:hAnsi="Times New Roman" w:cs="Times New Roman"/>
          <w:sz w:val="24"/>
          <w:szCs w:val="24"/>
          <w:lang w:val="ro-RO"/>
        </w:rPr>
        <w:t xml:space="preserve">pe fondul unei </w:t>
      </w:r>
      <w:r w:rsidR="00C1324C" w:rsidRPr="00B0165B">
        <w:rPr>
          <w:rFonts w:ascii="Times New Roman" w:hAnsi="Times New Roman" w:cs="Times New Roman"/>
          <w:sz w:val="24"/>
          <w:szCs w:val="24"/>
          <w:lang w:val="ro-RO"/>
        </w:rPr>
        <w:t>inflați</w:t>
      </w:r>
      <w:r w:rsidRPr="00B0165B">
        <w:rPr>
          <w:rFonts w:ascii="Times New Roman" w:hAnsi="Times New Roman" w:cs="Times New Roman"/>
          <w:sz w:val="24"/>
          <w:szCs w:val="24"/>
          <w:lang w:val="ro-RO"/>
        </w:rPr>
        <w:t>i</w:t>
      </w:r>
      <w:r w:rsidR="00C1324C" w:rsidRPr="00B0165B">
        <w:rPr>
          <w:rFonts w:ascii="Times New Roman" w:hAnsi="Times New Roman" w:cs="Times New Roman"/>
          <w:sz w:val="24"/>
          <w:szCs w:val="24"/>
          <w:lang w:val="ro-RO"/>
        </w:rPr>
        <w:t xml:space="preserve"> deja foarte ridicat</w:t>
      </w:r>
      <w:r w:rsidRPr="00B0165B">
        <w:rPr>
          <w:rFonts w:ascii="Times New Roman" w:hAnsi="Times New Roman" w:cs="Times New Roman"/>
          <w:sz w:val="24"/>
          <w:szCs w:val="24"/>
          <w:lang w:val="ro-RO"/>
        </w:rPr>
        <w:t xml:space="preserve">e, a însemnat </w:t>
      </w:r>
      <w:r w:rsidR="00C1324C" w:rsidRPr="00B0165B">
        <w:rPr>
          <w:rFonts w:ascii="Times New Roman" w:hAnsi="Times New Roman" w:cs="Times New Roman"/>
          <w:sz w:val="24"/>
          <w:szCs w:val="24"/>
          <w:lang w:val="ro-RO"/>
        </w:rPr>
        <w:t xml:space="preserve">o politică monetară </w:t>
      </w:r>
      <w:r w:rsidR="00F10C88" w:rsidRPr="00B0165B">
        <w:rPr>
          <w:rFonts w:ascii="Times New Roman" w:hAnsi="Times New Roman" w:cs="Times New Roman"/>
          <w:sz w:val="24"/>
          <w:szCs w:val="24"/>
          <w:lang w:val="ro-RO"/>
        </w:rPr>
        <w:t>puternic restrictivă</w:t>
      </w:r>
      <w:r w:rsidR="00C1324C" w:rsidRPr="00B0165B">
        <w:rPr>
          <w:rFonts w:ascii="Times New Roman" w:hAnsi="Times New Roman" w:cs="Times New Roman"/>
          <w:sz w:val="24"/>
          <w:szCs w:val="24"/>
          <w:lang w:val="ro-RO"/>
        </w:rPr>
        <w:t xml:space="preserve"> (dobânzi foarte mari), cunoscută </w:t>
      </w:r>
      <w:r w:rsidR="00C1324C" w:rsidRPr="00B0165B">
        <w:rPr>
          <w:rFonts w:ascii="Times New Roman" w:hAnsi="Times New Roman" w:cs="Times New Roman"/>
          <w:sz w:val="24"/>
          <w:szCs w:val="24"/>
          <w:lang w:val="ro-RO"/>
        </w:rPr>
        <w:lastRenderedPageBreak/>
        <w:t>drept „dezinflația Volcker”</w:t>
      </w:r>
      <w:r w:rsidRPr="00B0165B">
        <w:rPr>
          <w:rFonts w:ascii="Times New Roman" w:hAnsi="Times New Roman" w:cs="Times New Roman"/>
          <w:sz w:val="24"/>
          <w:szCs w:val="24"/>
          <w:lang w:val="ro-RO"/>
        </w:rPr>
        <w:t xml:space="preserve">. Această conduită a fost adoptată </w:t>
      </w:r>
      <w:r w:rsidR="00C1324C" w:rsidRPr="00B0165B">
        <w:rPr>
          <w:rFonts w:ascii="Times New Roman" w:hAnsi="Times New Roman" w:cs="Times New Roman"/>
          <w:sz w:val="24"/>
          <w:szCs w:val="24"/>
          <w:lang w:val="ro-RO"/>
        </w:rPr>
        <w:t xml:space="preserve">tocmai pentru a </w:t>
      </w:r>
      <w:r w:rsidR="009A5758" w:rsidRPr="00B0165B">
        <w:rPr>
          <w:rFonts w:ascii="Times New Roman" w:hAnsi="Times New Roman" w:cs="Times New Roman"/>
          <w:sz w:val="24"/>
          <w:szCs w:val="24"/>
          <w:lang w:val="ro-RO"/>
        </w:rPr>
        <w:t>combate inflația ridicată</w:t>
      </w:r>
      <w:r w:rsidRPr="00B0165B">
        <w:rPr>
          <w:rFonts w:ascii="Times New Roman" w:hAnsi="Times New Roman" w:cs="Times New Roman"/>
          <w:sz w:val="24"/>
          <w:szCs w:val="24"/>
          <w:lang w:val="ro-RO"/>
        </w:rPr>
        <w:t>,</w:t>
      </w:r>
      <w:r w:rsidR="009A5758" w:rsidRPr="00B0165B">
        <w:rPr>
          <w:rFonts w:ascii="Times New Roman" w:hAnsi="Times New Roman" w:cs="Times New Roman"/>
          <w:sz w:val="24"/>
          <w:szCs w:val="24"/>
          <w:lang w:val="ro-RO"/>
        </w:rPr>
        <w:t xml:space="preserve"> generată în mare parte de crizele petroliere</w:t>
      </w:r>
      <w:r w:rsidRPr="00B0165B">
        <w:rPr>
          <w:rFonts w:ascii="Times New Roman" w:hAnsi="Times New Roman" w:cs="Times New Roman"/>
          <w:sz w:val="24"/>
          <w:szCs w:val="24"/>
          <w:lang w:val="ro-RO"/>
        </w:rPr>
        <w:t>,</w:t>
      </w:r>
      <w:r w:rsidR="009A5758" w:rsidRPr="00B0165B">
        <w:rPr>
          <w:rFonts w:ascii="Times New Roman" w:hAnsi="Times New Roman" w:cs="Times New Roman"/>
          <w:sz w:val="24"/>
          <w:szCs w:val="24"/>
          <w:lang w:val="ro-RO"/>
        </w:rPr>
        <w:t xml:space="preserve"> dar și de alte </w:t>
      </w:r>
      <w:r w:rsidR="00C1324C" w:rsidRPr="00B0165B">
        <w:rPr>
          <w:rFonts w:ascii="Times New Roman" w:hAnsi="Times New Roman" w:cs="Times New Roman"/>
          <w:sz w:val="24"/>
          <w:szCs w:val="24"/>
          <w:lang w:val="ro-RO"/>
        </w:rPr>
        <w:t xml:space="preserve">dezechilibre create în anii ’70. Deși a dus la o recesiune severă pe termen scurt, această strategie a reușit să reducă inflația și să restabilească </w:t>
      </w:r>
      <w:r w:rsidR="009A5758" w:rsidRPr="00B0165B">
        <w:rPr>
          <w:rFonts w:ascii="Times New Roman" w:hAnsi="Times New Roman" w:cs="Times New Roman"/>
          <w:sz w:val="24"/>
          <w:szCs w:val="24"/>
          <w:lang w:val="ro-RO"/>
        </w:rPr>
        <w:t>echilibrul macroeconomic</w:t>
      </w:r>
      <w:r w:rsidR="00C1324C" w:rsidRPr="00B0165B">
        <w:rPr>
          <w:rFonts w:ascii="Times New Roman" w:hAnsi="Times New Roman" w:cs="Times New Roman"/>
          <w:sz w:val="24"/>
          <w:szCs w:val="24"/>
          <w:lang w:val="ro-RO"/>
        </w:rPr>
        <w:t xml:space="preserve">. </w:t>
      </w:r>
    </w:p>
    <w:p w14:paraId="16982B7B" w14:textId="76B1443F" w:rsidR="009D299F" w:rsidRPr="00B0165B" w:rsidRDefault="009D299F"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Elementul nou al crizei actuale: perturbări fizice ale ofertei de petrol și LNG</w:t>
      </w:r>
    </w:p>
    <w:p w14:paraId="57EA551D" w14:textId="505BD2A9" w:rsidR="00C1324C" w:rsidRPr="00B0165B" w:rsidRDefault="00C1324C"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Revenind la criz</w:t>
      </w:r>
      <w:r w:rsidR="009A5758" w:rsidRPr="00B0165B">
        <w:rPr>
          <w:rFonts w:ascii="Times New Roman" w:hAnsi="Times New Roman" w:cs="Times New Roman"/>
          <w:sz w:val="24"/>
          <w:szCs w:val="24"/>
          <w:lang w:val="ro-RO"/>
        </w:rPr>
        <w:t>a</w:t>
      </w:r>
      <w:r w:rsidRPr="00B0165B">
        <w:rPr>
          <w:rFonts w:ascii="Times New Roman" w:hAnsi="Times New Roman" w:cs="Times New Roman"/>
          <w:sz w:val="24"/>
          <w:szCs w:val="24"/>
          <w:lang w:val="ro-RO"/>
        </w:rPr>
        <w:t xml:space="preserve"> din Orientul Mijlociu, conform declarațiilor </w:t>
      </w:r>
      <w:r w:rsidR="00885CF0" w:rsidRPr="00B0165B">
        <w:rPr>
          <w:rFonts w:ascii="Times New Roman" w:hAnsi="Times New Roman" w:cs="Times New Roman"/>
          <w:sz w:val="24"/>
          <w:szCs w:val="24"/>
          <w:lang w:val="ro-RO"/>
        </w:rPr>
        <w:t xml:space="preserve">date </w:t>
      </w:r>
      <w:r w:rsidRPr="00B0165B">
        <w:rPr>
          <w:rFonts w:ascii="Times New Roman" w:hAnsi="Times New Roman" w:cs="Times New Roman"/>
          <w:sz w:val="24"/>
          <w:szCs w:val="24"/>
          <w:lang w:val="ro-RO"/>
        </w:rPr>
        <w:t>pentru Reuters de către directorul executiv al QatarEnergy și ministrul energiei, Saad al-Kaabi, atacurile atribuite Iranului au scos din funcțiune aproximativ 17% din capacitatea de export de gaz natural lichefiat (LNG) a Qatarului, generând pierderi anuale estimate la circa 20 de miliarde de dolari și punând în pericol livrările către Europa și</w:t>
      </w:r>
      <w:r w:rsidR="00885CF0" w:rsidRPr="00B0165B">
        <w:rPr>
          <w:rFonts w:ascii="Times New Roman" w:hAnsi="Times New Roman" w:cs="Times New Roman"/>
          <w:sz w:val="24"/>
          <w:szCs w:val="24"/>
          <w:lang w:val="ro-RO"/>
        </w:rPr>
        <w:t xml:space="preserve"> Asia</w:t>
      </w:r>
      <w:r w:rsidRPr="00B0165B">
        <w:rPr>
          <w:rFonts w:ascii="Times New Roman" w:hAnsi="Times New Roman" w:cs="Times New Roman"/>
          <w:sz w:val="24"/>
          <w:szCs w:val="24"/>
          <w:lang w:val="ro-RO"/>
        </w:rPr>
        <w:t>.</w:t>
      </w:r>
      <w:r w:rsidR="00F309C0"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 xml:space="preserve">Potrivit acestuia, două dintre cele 14 instalații de lichefiere a gazului, precum și una dintre cele două unități de transformare a </w:t>
      </w:r>
      <w:r w:rsidR="00885CF0" w:rsidRPr="00B0165B">
        <w:rPr>
          <w:rFonts w:ascii="Times New Roman" w:hAnsi="Times New Roman" w:cs="Times New Roman"/>
          <w:sz w:val="24"/>
          <w:szCs w:val="24"/>
          <w:lang w:val="ro-RO"/>
        </w:rPr>
        <w:t>gazului în combustibili lichizi</w:t>
      </w:r>
      <w:r w:rsidRPr="00B0165B">
        <w:rPr>
          <w:rFonts w:ascii="Times New Roman" w:hAnsi="Times New Roman" w:cs="Times New Roman"/>
          <w:sz w:val="24"/>
          <w:szCs w:val="24"/>
          <w:lang w:val="ro-RO"/>
        </w:rPr>
        <w:t xml:space="preserve"> au fost avariate în urma unor atacuri fără precedent. Din acest motiv, o capacitate de producție de aproximativ 12,8 milioane de tone de LNG pe an va rămâne indisponibilă pentru o perioadă estimată între trei și cinci ani.</w:t>
      </w:r>
    </w:p>
    <w:p w14:paraId="53D01F83" w14:textId="77777777" w:rsidR="00C1324C" w:rsidRDefault="00C1324C" w:rsidP="009A5758">
      <w:pPr>
        <w:spacing w:line="240" w:lineRule="auto"/>
        <w:jc w:val="center"/>
        <w:rPr>
          <w:rFonts w:ascii="Times New Roman" w:hAnsi="Times New Roman" w:cs="Times New Roman"/>
          <w:sz w:val="24"/>
          <w:szCs w:val="24"/>
          <w:lang w:val="ro-RO"/>
        </w:rPr>
      </w:pPr>
      <w:r w:rsidRPr="00B0165B">
        <w:rPr>
          <w:rFonts w:ascii="Times New Roman" w:hAnsi="Times New Roman" w:cs="Times New Roman"/>
          <w:noProof/>
          <w:sz w:val="24"/>
          <w:szCs w:val="24"/>
          <w:lang w:val="ro-RO"/>
        </w:rPr>
        <w:drawing>
          <wp:inline distT="0" distB="0" distL="0" distR="0" wp14:anchorId="12CAE9B9" wp14:editId="0D75259E">
            <wp:extent cx="5486400" cy="4627659"/>
            <wp:effectExtent l="0" t="0" r="0" b="1905"/>
            <wp:docPr id="98145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56057" name="Picture 981456057"/>
                    <pic:cNvPicPr/>
                  </pic:nvPicPr>
                  <pic:blipFill>
                    <a:blip r:embed="rId8"/>
                    <a:stretch>
                      <a:fillRect/>
                    </a:stretch>
                  </pic:blipFill>
                  <pic:spPr>
                    <a:xfrm>
                      <a:off x="0" y="0"/>
                      <a:ext cx="5490678" cy="4631267"/>
                    </a:xfrm>
                    <a:prstGeom prst="rect">
                      <a:avLst/>
                    </a:prstGeom>
                  </pic:spPr>
                </pic:pic>
              </a:graphicData>
            </a:graphic>
          </wp:inline>
        </w:drawing>
      </w:r>
    </w:p>
    <w:p w14:paraId="735440AD" w14:textId="77777777" w:rsidR="00B0165B" w:rsidRPr="00B0165B" w:rsidRDefault="00B0165B" w:rsidP="009A5758">
      <w:pPr>
        <w:spacing w:line="240" w:lineRule="auto"/>
        <w:jc w:val="center"/>
        <w:rPr>
          <w:rFonts w:ascii="Times New Roman" w:hAnsi="Times New Roman" w:cs="Times New Roman"/>
          <w:sz w:val="24"/>
          <w:szCs w:val="24"/>
          <w:lang w:val="ro-RO"/>
        </w:rPr>
      </w:pPr>
    </w:p>
    <w:p w14:paraId="10B673D5" w14:textId="545378A6" w:rsidR="009D299F" w:rsidRPr="00B0165B" w:rsidRDefault="00A85391"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lastRenderedPageBreak/>
        <w:t>C</w:t>
      </w:r>
      <w:r w:rsidR="009D299F" w:rsidRPr="00B0165B">
        <w:rPr>
          <w:rFonts w:ascii="Times New Roman" w:hAnsi="Times New Roman" w:cs="Times New Roman"/>
          <w:b/>
          <w:bCs/>
          <w:sz w:val="24"/>
          <w:szCs w:val="24"/>
          <w:lang w:val="ro-RO"/>
        </w:rPr>
        <w:t>onduit</w:t>
      </w:r>
      <w:r w:rsidRPr="00B0165B">
        <w:rPr>
          <w:rFonts w:ascii="Times New Roman" w:hAnsi="Times New Roman" w:cs="Times New Roman"/>
          <w:b/>
          <w:bCs/>
          <w:sz w:val="24"/>
          <w:szCs w:val="24"/>
          <w:lang w:val="ro-RO"/>
        </w:rPr>
        <w:t>a</w:t>
      </w:r>
      <w:r w:rsidR="009D299F" w:rsidRPr="00B0165B">
        <w:rPr>
          <w:rFonts w:ascii="Times New Roman" w:hAnsi="Times New Roman" w:cs="Times New Roman"/>
          <w:b/>
          <w:bCs/>
          <w:sz w:val="24"/>
          <w:szCs w:val="24"/>
          <w:lang w:val="ro-RO"/>
        </w:rPr>
        <w:t xml:space="preserve"> OPEC devine factorul determinat</w:t>
      </w:r>
      <w:r w:rsidRPr="00B0165B">
        <w:rPr>
          <w:rFonts w:ascii="Times New Roman" w:hAnsi="Times New Roman" w:cs="Times New Roman"/>
          <w:b/>
          <w:bCs/>
          <w:sz w:val="24"/>
          <w:szCs w:val="24"/>
          <w:lang w:val="ro-RO"/>
        </w:rPr>
        <w:t xml:space="preserve"> pe termen mediu</w:t>
      </w:r>
    </w:p>
    <w:p w14:paraId="2118C3DB" w14:textId="066D27BC" w:rsidR="004408AD" w:rsidRPr="00B0165B" w:rsidRDefault="00C1324C"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În </w:t>
      </w:r>
      <w:r w:rsidR="002E1E45" w:rsidRPr="00B0165B">
        <w:rPr>
          <w:rFonts w:ascii="Times New Roman" w:hAnsi="Times New Roman" w:cs="Times New Roman"/>
          <w:sz w:val="24"/>
          <w:szCs w:val="24"/>
          <w:lang w:val="ro-RO"/>
        </w:rPr>
        <w:t xml:space="preserve">acest </w:t>
      </w:r>
      <w:r w:rsidRPr="00B0165B">
        <w:rPr>
          <w:rFonts w:ascii="Times New Roman" w:hAnsi="Times New Roman" w:cs="Times New Roman"/>
          <w:sz w:val="24"/>
          <w:szCs w:val="24"/>
          <w:lang w:val="ro-RO"/>
        </w:rPr>
        <w:t xml:space="preserve">context, </w:t>
      </w:r>
      <w:r w:rsidR="006A39DC" w:rsidRPr="00B0165B">
        <w:rPr>
          <w:rFonts w:ascii="Times New Roman" w:hAnsi="Times New Roman" w:cs="Times New Roman"/>
          <w:sz w:val="24"/>
          <w:szCs w:val="24"/>
          <w:lang w:val="ro-RO"/>
        </w:rPr>
        <w:t xml:space="preserve">ca urmare a faptului că putem observa afectarea serioasă a </w:t>
      </w:r>
      <w:r w:rsidRPr="00B0165B">
        <w:rPr>
          <w:rFonts w:ascii="Times New Roman" w:hAnsi="Times New Roman" w:cs="Times New Roman"/>
          <w:sz w:val="24"/>
          <w:szCs w:val="24"/>
          <w:lang w:val="ro-RO"/>
        </w:rPr>
        <w:t>capacit</w:t>
      </w:r>
      <w:r w:rsidR="006A39DC" w:rsidRPr="00B0165B">
        <w:rPr>
          <w:rFonts w:ascii="Times New Roman" w:hAnsi="Times New Roman" w:cs="Times New Roman"/>
          <w:sz w:val="24"/>
          <w:szCs w:val="24"/>
          <w:lang w:val="ro-RO"/>
        </w:rPr>
        <w:t>ății</w:t>
      </w:r>
      <w:r w:rsidRPr="00B0165B">
        <w:rPr>
          <w:rFonts w:ascii="Times New Roman" w:hAnsi="Times New Roman" w:cs="Times New Roman"/>
          <w:sz w:val="24"/>
          <w:szCs w:val="24"/>
          <w:lang w:val="ro-RO"/>
        </w:rPr>
        <w:t xml:space="preserve"> de producție a țărilor din Orientul Mijlociu</w:t>
      </w:r>
      <w:r w:rsidR="00482C55" w:rsidRPr="00B0165B">
        <w:rPr>
          <w:rFonts w:ascii="Times New Roman" w:hAnsi="Times New Roman" w:cs="Times New Roman"/>
          <w:sz w:val="24"/>
          <w:szCs w:val="24"/>
          <w:lang w:val="ro-RO"/>
        </w:rPr>
        <w:t xml:space="preserve"> și</w:t>
      </w:r>
      <w:r w:rsidRPr="00B0165B">
        <w:rPr>
          <w:rFonts w:ascii="Times New Roman" w:hAnsi="Times New Roman" w:cs="Times New Roman"/>
          <w:sz w:val="24"/>
          <w:szCs w:val="24"/>
          <w:lang w:val="ro-RO"/>
        </w:rPr>
        <w:t xml:space="preserve"> costurile </w:t>
      </w:r>
      <w:r w:rsidR="00482C55" w:rsidRPr="00B0165B">
        <w:rPr>
          <w:rFonts w:ascii="Times New Roman" w:hAnsi="Times New Roman" w:cs="Times New Roman"/>
          <w:sz w:val="24"/>
          <w:szCs w:val="24"/>
          <w:lang w:val="ro-RO"/>
        </w:rPr>
        <w:t xml:space="preserve">semnificative </w:t>
      </w:r>
      <w:r w:rsidRPr="00B0165B">
        <w:rPr>
          <w:rFonts w:ascii="Times New Roman" w:hAnsi="Times New Roman" w:cs="Times New Roman"/>
          <w:sz w:val="24"/>
          <w:szCs w:val="24"/>
          <w:lang w:val="ro-RO"/>
        </w:rPr>
        <w:t xml:space="preserve">de refacere ale acesteia, </w:t>
      </w:r>
      <w:r w:rsidR="002E1E45" w:rsidRPr="00B0165B">
        <w:rPr>
          <w:rFonts w:ascii="Times New Roman" w:hAnsi="Times New Roman" w:cs="Times New Roman"/>
          <w:sz w:val="24"/>
          <w:szCs w:val="24"/>
          <w:lang w:val="ro-RO"/>
        </w:rPr>
        <w:t>o întrebare relevantă</w:t>
      </w:r>
      <w:r w:rsidRPr="00B0165B">
        <w:rPr>
          <w:rFonts w:ascii="Times New Roman" w:hAnsi="Times New Roman" w:cs="Times New Roman"/>
          <w:sz w:val="24"/>
          <w:szCs w:val="24"/>
          <w:lang w:val="ro-RO"/>
        </w:rPr>
        <w:t xml:space="preserve"> </w:t>
      </w:r>
      <w:r w:rsidR="006A39DC" w:rsidRPr="00B0165B">
        <w:rPr>
          <w:rFonts w:ascii="Times New Roman" w:hAnsi="Times New Roman" w:cs="Times New Roman"/>
          <w:sz w:val="24"/>
          <w:szCs w:val="24"/>
          <w:lang w:val="ro-RO"/>
        </w:rPr>
        <w:t xml:space="preserve">care se poate adresa </w:t>
      </w:r>
      <w:r w:rsidRPr="00B0165B">
        <w:rPr>
          <w:rFonts w:ascii="Times New Roman" w:hAnsi="Times New Roman" w:cs="Times New Roman"/>
          <w:sz w:val="24"/>
          <w:szCs w:val="24"/>
          <w:lang w:val="ro-RO"/>
        </w:rPr>
        <w:t xml:space="preserve">este </w:t>
      </w:r>
      <w:r w:rsidR="002E1E45" w:rsidRPr="00B0165B">
        <w:rPr>
          <w:rFonts w:ascii="Times New Roman" w:hAnsi="Times New Roman" w:cs="Times New Roman"/>
          <w:sz w:val="24"/>
          <w:szCs w:val="24"/>
          <w:lang w:val="ro-RO"/>
        </w:rPr>
        <w:t>ce strategie vor adopta</w:t>
      </w:r>
      <w:r w:rsidRPr="00B0165B">
        <w:rPr>
          <w:rFonts w:ascii="Times New Roman" w:hAnsi="Times New Roman" w:cs="Times New Roman"/>
          <w:sz w:val="24"/>
          <w:szCs w:val="24"/>
          <w:lang w:val="ro-RO"/>
        </w:rPr>
        <w:t xml:space="preserve"> țările din Orientul Mijlociu </w:t>
      </w:r>
      <w:r w:rsidR="002E1E45" w:rsidRPr="00B0165B">
        <w:rPr>
          <w:rFonts w:ascii="Times New Roman" w:hAnsi="Times New Roman" w:cs="Times New Roman"/>
          <w:sz w:val="24"/>
          <w:szCs w:val="24"/>
          <w:lang w:val="ro-RO"/>
        </w:rPr>
        <w:t>pe piața petrolului în următorii ani și cum vor influența deciziile</w:t>
      </w:r>
      <w:r w:rsidRPr="00B0165B">
        <w:rPr>
          <w:rFonts w:ascii="Times New Roman" w:hAnsi="Times New Roman" w:cs="Times New Roman"/>
          <w:sz w:val="24"/>
          <w:szCs w:val="24"/>
          <w:lang w:val="ro-RO"/>
        </w:rPr>
        <w:t xml:space="preserve"> OPEC</w:t>
      </w:r>
      <w:r w:rsidR="005D7C33" w:rsidRPr="00B0165B">
        <w:rPr>
          <w:rFonts w:ascii="Times New Roman" w:hAnsi="Times New Roman" w:cs="Times New Roman"/>
          <w:sz w:val="24"/>
          <w:szCs w:val="24"/>
          <w:lang w:val="ro-RO"/>
        </w:rPr>
        <w:t xml:space="preserve">. Dacă urmărim modelul evolutiv care a urmat anilor </w:t>
      </w:r>
      <w:r w:rsidRPr="00B0165B">
        <w:rPr>
          <w:rFonts w:ascii="Times New Roman" w:hAnsi="Times New Roman" w:cs="Times New Roman"/>
          <w:sz w:val="24"/>
          <w:szCs w:val="24"/>
          <w:lang w:val="ro-RO"/>
        </w:rPr>
        <w:t xml:space="preserve">’70, </w:t>
      </w:r>
      <w:r w:rsidR="005D7C33" w:rsidRPr="00B0165B">
        <w:rPr>
          <w:rFonts w:ascii="Times New Roman" w:hAnsi="Times New Roman" w:cs="Times New Roman"/>
          <w:sz w:val="24"/>
          <w:szCs w:val="24"/>
          <w:lang w:val="ro-RO"/>
        </w:rPr>
        <w:t xml:space="preserve">se poate observa cum </w:t>
      </w:r>
      <w:r w:rsidRPr="00B0165B">
        <w:rPr>
          <w:rFonts w:ascii="Times New Roman" w:hAnsi="Times New Roman" w:cs="Times New Roman"/>
          <w:sz w:val="24"/>
          <w:szCs w:val="24"/>
          <w:lang w:val="ro-RO"/>
        </w:rPr>
        <w:t xml:space="preserve">deciziile OPEC </w:t>
      </w:r>
      <w:r w:rsidR="009B2CFE" w:rsidRPr="00B0165B">
        <w:rPr>
          <w:rFonts w:ascii="Times New Roman" w:hAnsi="Times New Roman" w:cs="Times New Roman"/>
          <w:sz w:val="24"/>
          <w:szCs w:val="24"/>
          <w:lang w:val="ro-RO"/>
        </w:rPr>
        <w:t>privind</w:t>
      </w:r>
      <w:r w:rsidRPr="00B0165B">
        <w:rPr>
          <w:rFonts w:ascii="Times New Roman" w:hAnsi="Times New Roman" w:cs="Times New Roman"/>
          <w:sz w:val="24"/>
          <w:szCs w:val="24"/>
          <w:lang w:val="ro-RO"/>
        </w:rPr>
        <w:t xml:space="preserve"> </w:t>
      </w:r>
      <w:r w:rsidR="003B783E" w:rsidRPr="00B0165B">
        <w:rPr>
          <w:rFonts w:ascii="Times New Roman" w:hAnsi="Times New Roman" w:cs="Times New Roman"/>
          <w:sz w:val="24"/>
          <w:szCs w:val="24"/>
          <w:lang w:val="ro-RO"/>
        </w:rPr>
        <w:t xml:space="preserve">ajustarea voluntară a </w:t>
      </w:r>
      <w:r w:rsidR="009B2CFE" w:rsidRPr="00B0165B">
        <w:rPr>
          <w:rFonts w:ascii="Times New Roman" w:hAnsi="Times New Roman" w:cs="Times New Roman"/>
          <w:sz w:val="24"/>
          <w:szCs w:val="24"/>
          <w:lang w:val="ro-RO"/>
        </w:rPr>
        <w:t>nivelul</w:t>
      </w:r>
      <w:r w:rsidR="003B783E" w:rsidRPr="00B0165B">
        <w:rPr>
          <w:rFonts w:ascii="Times New Roman" w:hAnsi="Times New Roman" w:cs="Times New Roman"/>
          <w:sz w:val="24"/>
          <w:szCs w:val="24"/>
          <w:lang w:val="ro-RO"/>
        </w:rPr>
        <w:t>ui</w:t>
      </w:r>
      <w:r w:rsidR="009B2CFE" w:rsidRPr="00B0165B">
        <w:rPr>
          <w:rFonts w:ascii="Times New Roman" w:hAnsi="Times New Roman" w:cs="Times New Roman"/>
          <w:sz w:val="24"/>
          <w:szCs w:val="24"/>
          <w:lang w:val="ro-RO"/>
        </w:rPr>
        <w:t xml:space="preserve"> producției de hidrocarburi</w:t>
      </w:r>
      <w:r w:rsidRPr="00B0165B">
        <w:rPr>
          <w:rFonts w:ascii="Times New Roman" w:hAnsi="Times New Roman" w:cs="Times New Roman"/>
          <w:sz w:val="24"/>
          <w:szCs w:val="24"/>
          <w:lang w:val="ro-RO"/>
        </w:rPr>
        <w:t xml:space="preserve"> și </w:t>
      </w:r>
      <w:r w:rsidR="009B2CFE" w:rsidRPr="00B0165B">
        <w:rPr>
          <w:rFonts w:ascii="Times New Roman" w:hAnsi="Times New Roman" w:cs="Times New Roman"/>
          <w:sz w:val="24"/>
          <w:szCs w:val="24"/>
          <w:lang w:val="ro-RO"/>
        </w:rPr>
        <w:t>evoluția cotațiilor</w:t>
      </w:r>
      <w:r w:rsidRPr="00B0165B">
        <w:rPr>
          <w:rFonts w:ascii="Times New Roman" w:hAnsi="Times New Roman" w:cs="Times New Roman"/>
          <w:sz w:val="24"/>
          <w:szCs w:val="24"/>
          <w:lang w:val="ro-RO"/>
        </w:rPr>
        <w:t xml:space="preserve"> acestora </w:t>
      </w:r>
      <w:r w:rsidR="009B2CFE" w:rsidRPr="00B0165B">
        <w:rPr>
          <w:rFonts w:ascii="Times New Roman" w:hAnsi="Times New Roman" w:cs="Times New Roman"/>
          <w:sz w:val="24"/>
          <w:szCs w:val="24"/>
          <w:lang w:val="ro-RO"/>
        </w:rPr>
        <w:t>au avut potențialul de a genera fluctuații semnificative pe</w:t>
      </w:r>
      <w:r w:rsidRPr="00B0165B">
        <w:rPr>
          <w:rFonts w:ascii="Times New Roman" w:hAnsi="Times New Roman" w:cs="Times New Roman"/>
          <w:sz w:val="24"/>
          <w:szCs w:val="24"/>
          <w:lang w:val="ro-RO"/>
        </w:rPr>
        <w:t xml:space="preserve"> piețele</w:t>
      </w:r>
      <w:r w:rsidR="009B2CFE" w:rsidRPr="00B0165B">
        <w:rPr>
          <w:rFonts w:ascii="Times New Roman" w:hAnsi="Times New Roman" w:cs="Times New Roman"/>
          <w:sz w:val="24"/>
          <w:szCs w:val="24"/>
          <w:lang w:val="ro-RO"/>
        </w:rPr>
        <w:t xml:space="preserve"> financiare, cu efecte </w:t>
      </w:r>
      <w:r w:rsidR="005D7C33" w:rsidRPr="00B0165B">
        <w:rPr>
          <w:rFonts w:ascii="Times New Roman" w:hAnsi="Times New Roman" w:cs="Times New Roman"/>
          <w:sz w:val="24"/>
          <w:szCs w:val="24"/>
          <w:lang w:val="ro-RO"/>
        </w:rPr>
        <w:t>de runda a doua</w:t>
      </w:r>
      <w:r w:rsidRPr="00B0165B">
        <w:rPr>
          <w:rFonts w:ascii="Times New Roman" w:hAnsi="Times New Roman" w:cs="Times New Roman"/>
          <w:sz w:val="24"/>
          <w:szCs w:val="24"/>
          <w:lang w:val="ro-RO"/>
        </w:rPr>
        <w:t xml:space="preserve"> asupra economiei globale. </w:t>
      </w:r>
      <w:r w:rsidR="005D7C33" w:rsidRPr="00B0165B">
        <w:rPr>
          <w:rFonts w:ascii="Times New Roman" w:hAnsi="Times New Roman" w:cs="Times New Roman"/>
          <w:sz w:val="24"/>
          <w:szCs w:val="24"/>
          <w:lang w:val="ro-RO"/>
        </w:rPr>
        <w:t xml:space="preserve">Astăzi, </w:t>
      </w:r>
      <w:r w:rsidR="003B783E" w:rsidRPr="00B0165B">
        <w:rPr>
          <w:rFonts w:ascii="Times New Roman" w:hAnsi="Times New Roman" w:cs="Times New Roman"/>
          <w:sz w:val="24"/>
          <w:szCs w:val="24"/>
          <w:lang w:val="ro-RO"/>
        </w:rPr>
        <w:t xml:space="preserve">apare </w:t>
      </w:r>
      <w:r w:rsidR="005D7C33" w:rsidRPr="00B0165B">
        <w:rPr>
          <w:rFonts w:ascii="Times New Roman" w:hAnsi="Times New Roman" w:cs="Times New Roman"/>
          <w:sz w:val="24"/>
          <w:szCs w:val="24"/>
          <w:lang w:val="ro-RO"/>
        </w:rPr>
        <w:t xml:space="preserve">însă </w:t>
      </w:r>
      <w:r w:rsidR="003B783E" w:rsidRPr="00B0165B">
        <w:rPr>
          <w:rFonts w:ascii="Times New Roman" w:hAnsi="Times New Roman" w:cs="Times New Roman"/>
          <w:sz w:val="24"/>
          <w:szCs w:val="24"/>
          <w:lang w:val="ro-RO"/>
        </w:rPr>
        <w:t>un element nou</w:t>
      </w:r>
      <w:r w:rsidR="005D7C33"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 xml:space="preserve"> prin afectarea capacității de producție și perturbarea rutelor de distribuție</w:t>
      </w:r>
      <w:r w:rsidR="00482C55" w:rsidRPr="00B0165B">
        <w:rPr>
          <w:rFonts w:ascii="Times New Roman" w:hAnsi="Times New Roman" w:cs="Times New Roman"/>
          <w:sz w:val="24"/>
          <w:szCs w:val="24"/>
          <w:lang w:val="ro-RO"/>
        </w:rPr>
        <w:t>,</w:t>
      </w:r>
      <w:r w:rsidRPr="00B0165B">
        <w:rPr>
          <w:rFonts w:ascii="Times New Roman" w:hAnsi="Times New Roman" w:cs="Times New Roman"/>
          <w:sz w:val="24"/>
          <w:szCs w:val="24"/>
          <w:lang w:val="ro-RO"/>
        </w:rPr>
        <w:t xml:space="preserve"> </w:t>
      </w:r>
      <w:r w:rsidR="009D7E8B" w:rsidRPr="00B0165B">
        <w:rPr>
          <w:rFonts w:ascii="Times New Roman" w:hAnsi="Times New Roman" w:cs="Times New Roman"/>
          <w:sz w:val="24"/>
          <w:szCs w:val="24"/>
          <w:lang w:val="ro-RO"/>
        </w:rPr>
        <w:t xml:space="preserve">însăși </w:t>
      </w:r>
      <w:r w:rsidRPr="00B0165B">
        <w:rPr>
          <w:rFonts w:ascii="Times New Roman" w:hAnsi="Times New Roman" w:cs="Times New Roman"/>
          <w:sz w:val="24"/>
          <w:szCs w:val="24"/>
          <w:lang w:val="ro-RO"/>
        </w:rPr>
        <w:t>viabilitatea</w:t>
      </w:r>
      <w:r w:rsidR="003B783E" w:rsidRPr="00B0165B">
        <w:rPr>
          <w:rFonts w:ascii="Times New Roman" w:hAnsi="Times New Roman" w:cs="Times New Roman"/>
          <w:sz w:val="24"/>
          <w:szCs w:val="24"/>
          <w:lang w:val="ro-RO"/>
        </w:rPr>
        <w:t xml:space="preserve"> producției</w:t>
      </w:r>
      <w:r w:rsidRPr="00B0165B">
        <w:rPr>
          <w:rFonts w:ascii="Times New Roman" w:hAnsi="Times New Roman" w:cs="Times New Roman"/>
          <w:sz w:val="24"/>
          <w:szCs w:val="24"/>
          <w:lang w:val="ro-RO"/>
        </w:rPr>
        <w:t xml:space="preserve"> statelor din Orientul Mijlociu este </w:t>
      </w:r>
      <w:r w:rsidR="005D7C33" w:rsidRPr="00B0165B">
        <w:rPr>
          <w:rFonts w:ascii="Times New Roman" w:hAnsi="Times New Roman" w:cs="Times New Roman"/>
          <w:sz w:val="24"/>
          <w:szCs w:val="24"/>
          <w:lang w:val="ro-RO"/>
        </w:rPr>
        <w:t>alterată</w:t>
      </w:r>
      <w:r w:rsidRPr="00B0165B">
        <w:rPr>
          <w:rFonts w:ascii="Times New Roman" w:hAnsi="Times New Roman" w:cs="Times New Roman"/>
          <w:sz w:val="24"/>
          <w:szCs w:val="24"/>
          <w:lang w:val="ro-RO"/>
        </w:rPr>
        <w:t xml:space="preserve">. </w:t>
      </w:r>
      <w:r w:rsidR="00885CF0" w:rsidRPr="00B0165B">
        <w:rPr>
          <w:rFonts w:ascii="Times New Roman" w:hAnsi="Times New Roman" w:cs="Times New Roman"/>
          <w:sz w:val="24"/>
          <w:szCs w:val="24"/>
          <w:lang w:val="ro-RO"/>
        </w:rPr>
        <w:t>Astfel</w:t>
      </w:r>
      <w:r w:rsidR="005D7C33" w:rsidRPr="00B0165B">
        <w:rPr>
          <w:rFonts w:ascii="Times New Roman" w:hAnsi="Times New Roman" w:cs="Times New Roman"/>
          <w:sz w:val="24"/>
          <w:szCs w:val="24"/>
          <w:lang w:val="ro-RO"/>
        </w:rPr>
        <w:t>,</w:t>
      </w:r>
      <w:r w:rsidR="00885CF0" w:rsidRPr="00B0165B">
        <w:rPr>
          <w:rFonts w:ascii="Times New Roman" w:hAnsi="Times New Roman" w:cs="Times New Roman"/>
          <w:sz w:val="24"/>
          <w:szCs w:val="24"/>
          <w:lang w:val="ro-RO"/>
        </w:rPr>
        <w:t xml:space="preserve"> ne putem întreba dacă </w:t>
      </w:r>
      <w:r w:rsidR="003B783E" w:rsidRPr="00B0165B">
        <w:rPr>
          <w:rFonts w:ascii="Times New Roman" w:hAnsi="Times New Roman" w:cs="Times New Roman"/>
          <w:sz w:val="24"/>
          <w:szCs w:val="24"/>
          <w:lang w:val="ro-RO"/>
        </w:rPr>
        <w:t>pentru a compensa pierderile fin</w:t>
      </w:r>
      <w:r w:rsidR="00482C55" w:rsidRPr="00B0165B">
        <w:rPr>
          <w:rFonts w:ascii="Times New Roman" w:hAnsi="Times New Roman" w:cs="Times New Roman"/>
          <w:sz w:val="24"/>
          <w:szCs w:val="24"/>
          <w:lang w:val="ro-RO"/>
        </w:rPr>
        <w:t>an</w:t>
      </w:r>
      <w:r w:rsidR="003B783E" w:rsidRPr="00B0165B">
        <w:rPr>
          <w:rFonts w:ascii="Times New Roman" w:hAnsi="Times New Roman" w:cs="Times New Roman"/>
          <w:sz w:val="24"/>
          <w:szCs w:val="24"/>
          <w:lang w:val="ro-RO"/>
        </w:rPr>
        <w:t xml:space="preserve">ciare și afectarea fizică a infrastructurilor de extracție, procesare și livrare a petrolului și </w:t>
      </w:r>
      <w:r w:rsidR="005D7C33" w:rsidRPr="00B0165B">
        <w:rPr>
          <w:rFonts w:ascii="Times New Roman" w:hAnsi="Times New Roman" w:cs="Times New Roman"/>
          <w:sz w:val="24"/>
          <w:szCs w:val="24"/>
          <w:lang w:val="ro-RO"/>
        </w:rPr>
        <w:t xml:space="preserve">a </w:t>
      </w:r>
      <w:r w:rsidR="003B783E" w:rsidRPr="00B0165B">
        <w:rPr>
          <w:rFonts w:ascii="Times New Roman" w:hAnsi="Times New Roman" w:cs="Times New Roman"/>
          <w:sz w:val="24"/>
          <w:szCs w:val="24"/>
          <w:lang w:val="ro-RO"/>
        </w:rPr>
        <w:t>derivatelor acestuia</w:t>
      </w:r>
      <w:r w:rsidR="00885CF0" w:rsidRPr="00B0165B">
        <w:rPr>
          <w:rFonts w:ascii="Times New Roman" w:hAnsi="Times New Roman" w:cs="Times New Roman"/>
          <w:sz w:val="24"/>
          <w:szCs w:val="24"/>
          <w:lang w:val="ro-RO"/>
        </w:rPr>
        <w:t xml:space="preserve">, statele din Orientul Mijlociu vor recurge din nou la politici de tip cartel, similare celor din anii ’70, </w:t>
      </w:r>
      <w:r w:rsidR="003B783E" w:rsidRPr="00B0165B">
        <w:rPr>
          <w:rFonts w:ascii="Times New Roman" w:hAnsi="Times New Roman" w:cs="Times New Roman"/>
          <w:sz w:val="24"/>
          <w:szCs w:val="24"/>
          <w:lang w:val="ro-RO"/>
        </w:rPr>
        <w:t>cu scopul implicit de a</w:t>
      </w:r>
      <w:r w:rsidR="00885CF0" w:rsidRPr="00B0165B">
        <w:rPr>
          <w:rFonts w:ascii="Times New Roman" w:hAnsi="Times New Roman" w:cs="Times New Roman"/>
          <w:sz w:val="24"/>
          <w:szCs w:val="24"/>
          <w:lang w:val="ro-RO"/>
        </w:rPr>
        <w:t xml:space="preserve"> menține la niveluri ridicate cotațiile petrolului și ale gazului</w:t>
      </w:r>
      <w:r w:rsidR="003B783E" w:rsidRPr="00B0165B">
        <w:rPr>
          <w:rFonts w:ascii="Times New Roman" w:hAnsi="Times New Roman" w:cs="Times New Roman"/>
          <w:sz w:val="24"/>
          <w:szCs w:val="24"/>
          <w:lang w:val="ro-RO"/>
        </w:rPr>
        <w:t xml:space="preserve">, </w:t>
      </w:r>
      <w:r w:rsidR="00EE6AA1" w:rsidRPr="00B0165B">
        <w:rPr>
          <w:rFonts w:ascii="Times New Roman" w:hAnsi="Times New Roman" w:cs="Times New Roman"/>
          <w:sz w:val="24"/>
          <w:szCs w:val="24"/>
          <w:lang w:val="ro-RO"/>
        </w:rPr>
        <w:t>pentru a recupera pierderile și a putea finanța refacerea infrastructurii</w:t>
      </w:r>
      <w:r w:rsidR="00885CF0" w:rsidRPr="00B0165B">
        <w:rPr>
          <w:rFonts w:ascii="Times New Roman" w:hAnsi="Times New Roman" w:cs="Times New Roman"/>
          <w:sz w:val="24"/>
          <w:szCs w:val="24"/>
          <w:lang w:val="ro-RO"/>
        </w:rPr>
        <w:t>.</w:t>
      </w:r>
    </w:p>
    <w:p w14:paraId="32830B0B" w14:textId="1F813882" w:rsidR="00A85391" w:rsidRPr="00B0165B" w:rsidRDefault="00A85391"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Scenariul transferului de costuri către economiile importatoare de petrol și produse derivate</w:t>
      </w:r>
    </w:p>
    <w:p w14:paraId="1F1268B1" w14:textId="597682C1" w:rsidR="004408AD" w:rsidRPr="00B0165B" w:rsidRDefault="00C1324C"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Într-un astfel de scenariu, </w:t>
      </w:r>
      <w:r w:rsidR="00EE6AA1" w:rsidRPr="00B0165B">
        <w:rPr>
          <w:rFonts w:ascii="Times New Roman" w:hAnsi="Times New Roman" w:cs="Times New Roman"/>
          <w:sz w:val="24"/>
          <w:szCs w:val="24"/>
          <w:lang w:val="ro-RO"/>
        </w:rPr>
        <w:t>menținerea prin strategia OPEC a</w:t>
      </w:r>
      <w:r w:rsidRPr="00B0165B">
        <w:rPr>
          <w:rFonts w:ascii="Times New Roman" w:hAnsi="Times New Roman" w:cs="Times New Roman"/>
          <w:sz w:val="24"/>
          <w:szCs w:val="24"/>
          <w:lang w:val="ro-RO"/>
        </w:rPr>
        <w:t xml:space="preserve"> </w:t>
      </w:r>
      <w:r w:rsidR="00EE6AA1" w:rsidRPr="00B0165B">
        <w:rPr>
          <w:rFonts w:ascii="Times New Roman" w:hAnsi="Times New Roman" w:cs="Times New Roman"/>
          <w:sz w:val="24"/>
          <w:szCs w:val="24"/>
          <w:lang w:val="ro-RO"/>
        </w:rPr>
        <w:t xml:space="preserve">unor </w:t>
      </w:r>
      <w:r w:rsidRPr="00B0165B">
        <w:rPr>
          <w:rFonts w:ascii="Times New Roman" w:hAnsi="Times New Roman" w:cs="Times New Roman"/>
          <w:sz w:val="24"/>
          <w:szCs w:val="24"/>
          <w:lang w:val="ro-RO"/>
        </w:rPr>
        <w:t xml:space="preserve">cotații ridicate ale hidrocarburilor </w:t>
      </w:r>
      <w:r w:rsidR="00EE6AA1" w:rsidRPr="00B0165B">
        <w:rPr>
          <w:rFonts w:ascii="Times New Roman" w:hAnsi="Times New Roman" w:cs="Times New Roman"/>
          <w:sz w:val="24"/>
          <w:szCs w:val="24"/>
          <w:lang w:val="ro-RO"/>
        </w:rPr>
        <w:t xml:space="preserve">pentru un orizont mai lung de timp chiar și după încetarea conflictului militar în zonă </w:t>
      </w:r>
      <w:r w:rsidRPr="00B0165B">
        <w:rPr>
          <w:rFonts w:ascii="Times New Roman" w:hAnsi="Times New Roman" w:cs="Times New Roman"/>
          <w:sz w:val="24"/>
          <w:szCs w:val="24"/>
          <w:lang w:val="ro-RO"/>
        </w:rPr>
        <w:t xml:space="preserve">ar </w:t>
      </w:r>
      <w:r w:rsidR="00EE6AA1" w:rsidRPr="00B0165B">
        <w:rPr>
          <w:rFonts w:ascii="Times New Roman" w:hAnsi="Times New Roman" w:cs="Times New Roman"/>
          <w:sz w:val="24"/>
          <w:szCs w:val="24"/>
          <w:lang w:val="ro-RO"/>
        </w:rPr>
        <w:t>echivala</w:t>
      </w:r>
      <w:r w:rsidRPr="00B0165B">
        <w:rPr>
          <w:rFonts w:ascii="Times New Roman" w:hAnsi="Times New Roman" w:cs="Times New Roman"/>
          <w:sz w:val="24"/>
          <w:szCs w:val="24"/>
          <w:lang w:val="ro-RO"/>
        </w:rPr>
        <w:t xml:space="preserve"> </w:t>
      </w:r>
      <w:r w:rsidR="00EE6AA1" w:rsidRPr="00B0165B">
        <w:rPr>
          <w:rFonts w:ascii="Times New Roman" w:hAnsi="Times New Roman" w:cs="Times New Roman"/>
          <w:sz w:val="24"/>
          <w:szCs w:val="24"/>
          <w:lang w:val="ro-RO"/>
        </w:rPr>
        <w:t xml:space="preserve">cu </w:t>
      </w:r>
      <w:r w:rsidRPr="00B0165B">
        <w:rPr>
          <w:rFonts w:ascii="Times New Roman" w:hAnsi="Times New Roman" w:cs="Times New Roman"/>
          <w:sz w:val="24"/>
          <w:szCs w:val="24"/>
          <w:lang w:val="ro-RO"/>
        </w:rPr>
        <w:t xml:space="preserve">un transfer al poverii refacerii capacităților de producție către </w:t>
      </w:r>
      <w:r w:rsidR="00EE6AA1" w:rsidRPr="00B0165B">
        <w:rPr>
          <w:rFonts w:ascii="Times New Roman" w:hAnsi="Times New Roman" w:cs="Times New Roman"/>
          <w:sz w:val="24"/>
          <w:szCs w:val="24"/>
          <w:lang w:val="ro-RO"/>
        </w:rPr>
        <w:t xml:space="preserve">clienții OPEC, respectiv </w:t>
      </w:r>
      <w:r w:rsidRPr="00B0165B">
        <w:rPr>
          <w:rFonts w:ascii="Times New Roman" w:hAnsi="Times New Roman" w:cs="Times New Roman"/>
          <w:sz w:val="24"/>
          <w:szCs w:val="24"/>
          <w:lang w:val="ro-RO"/>
        </w:rPr>
        <w:t>statele dependente de sursele de energie din Orientul Mijlociu, în speță Uniunea Europeană, Japonia</w:t>
      </w:r>
      <w:r w:rsidR="00EE6AA1" w:rsidRPr="00B0165B">
        <w:rPr>
          <w:rFonts w:ascii="Times New Roman" w:hAnsi="Times New Roman" w:cs="Times New Roman"/>
          <w:sz w:val="24"/>
          <w:szCs w:val="24"/>
          <w:lang w:val="ro-RO"/>
        </w:rPr>
        <w:t>, China, India</w:t>
      </w:r>
      <w:r w:rsidRPr="00B0165B">
        <w:rPr>
          <w:rFonts w:ascii="Times New Roman" w:hAnsi="Times New Roman" w:cs="Times New Roman"/>
          <w:sz w:val="24"/>
          <w:szCs w:val="24"/>
          <w:lang w:val="ro-RO"/>
        </w:rPr>
        <w:t xml:space="preserve"> sau Coreea de Sud. </w:t>
      </w:r>
    </w:p>
    <w:p w14:paraId="264F3C50" w14:textId="77777777" w:rsidR="0065323E" w:rsidRPr="00B0165B" w:rsidRDefault="004408AD"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Așadar</w:t>
      </w:r>
      <w:r w:rsidR="00C1324C" w:rsidRPr="00B0165B">
        <w:rPr>
          <w:rFonts w:ascii="Times New Roman" w:hAnsi="Times New Roman" w:cs="Times New Roman"/>
          <w:sz w:val="24"/>
          <w:szCs w:val="24"/>
          <w:lang w:val="ro-RO"/>
        </w:rPr>
        <w:t>, în</w:t>
      </w:r>
      <w:r w:rsidRPr="00B0165B">
        <w:rPr>
          <w:rFonts w:ascii="Times New Roman" w:hAnsi="Times New Roman" w:cs="Times New Roman"/>
          <w:sz w:val="24"/>
          <w:szCs w:val="24"/>
          <w:lang w:val="ro-RO"/>
        </w:rPr>
        <w:t xml:space="preserve"> </w:t>
      </w:r>
      <w:r w:rsidR="00EE6AA1" w:rsidRPr="00B0165B">
        <w:rPr>
          <w:rFonts w:ascii="Times New Roman" w:hAnsi="Times New Roman" w:cs="Times New Roman"/>
          <w:sz w:val="24"/>
          <w:szCs w:val="24"/>
          <w:lang w:val="ro-RO"/>
        </w:rPr>
        <w:t>acest scenariu</w:t>
      </w:r>
      <w:r w:rsidRPr="00B0165B">
        <w:rPr>
          <w:rFonts w:ascii="Times New Roman" w:hAnsi="Times New Roman" w:cs="Times New Roman"/>
          <w:sz w:val="24"/>
          <w:szCs w:val="24"/>
          <w:lang w:val="ro-RO"/>
        </w:rPr>
        <w:t xml:space="preserve"> pesimist,</w:t>
      </w:r>
      <w:r w:rsidR="00EE6AA1" w:rsidRPr="00B0165B">
        <w:rPr>
          <w:rFonts w:ascii="Times New Roman" w:hAnsi="Times New Roman" w:cs="Times New Roman"/>
          <w:sz w:val="24"/>
          <w:szCs w:val="24"/>
          <w:lang w:val="ro-RO"/>
        </w:rPr>
        <w:t xml:space="preserve"> puseul inflaționist determinat de creșterea</w:t>
      </w:r>
      <w:r w:rsidR="00C1324C" w:rsidRPr="00B0165B">
        <w:rPr>
          <w:rFonts w:ascii="Times New Roman" w:hAnsi="Times New Roman" w:cs="Times New Roman"/>
          <w:sz w:val="24"/>
          <w:szCs w:val="24"/>
          <w:lang w:val="ro-RO"/>
        </w:rPr>
        <w:t xml:space="preserve"> prețurilor la energie</w:t>
      </w:r>
      <w:r w:rsidR="00EE6AA1" w:rsidRPr="00B0165B">
        <w:rPr>
          <w:rFonts w:ascii="Times New Roman" w:hAnsi="Times New Roman" w:cs="Times New Roman"/>
          <w:sz w:val="24"/>
          <w:szCs w:val="24"/>
          <w:lang w:val="ro-RO"/>
        </w:rPr>
        <w:t xml:space="preserve"> </w:t>
      </w:r>
      <w:r w:rsidR="00C1324C" w:rsidRPr="00B0165B">
        <w:rPr>
          <w:rFonts w:ascii="Times New Roman" w:hAnsi="Times New Roman" w:cs="Times New Roman"/>
          <w:sz w:val="24"/>
          <w:szCs w:val="24"/>
          <w:lang w:val="ro-RO"/>
        </w:rPr>
        <w:t xml:space="preserve">ar putea persista pentru o perioadă mai lungă de timp. </w:t>
      </w:r>
    </w:p>
    <w:p w14:paraId="23C76A86" w14:textId="77777777" w:rsidR="0065323E" w:rsidRPr="00B0165B" w:rsidRDefault="0065323E" w:rsidP="0065323E">
      <w:pPr>
        <w:spacing w:line="360" w:lineRule="auto"/>
        <w:jc w:val="both"/>
        <w:rPr>
          <w:rFonts w:ascii="Times New Roman" w:hAnsi="Times New Roman" w:cs="Times New Roman"/>
          <w:b/>
          <w:sz w:val="24"/>
          <w:szCs w:val="24"/>
          <w:lang w:val="ro-RO"/>
        </w:rPr>
      </w:pPr>
      <w:r w:rsidRPr="00B0165B">
        <w:rPr>
          <w:rFonts w:ascii="Times New Roman" w:hAnsi="Times New Roman" w:cs="Times New Roman"/>
          <w:b/>
          <w:sz w:val="24"/>
          <w:szCs w:val="24"/>
          <w:lang w:val="ro-RO"/>
        </w:rPr>
        <w:t>Dominanța politicii energetice - noua constrângere economică a Europei</w:t>
      </w:r>
    </w:p>
    <w:p w14:paraId="344E4BF4" w14:textId="29044F44" w:rsidR="0065323E" w:rsidRPr="00B0165B" w:rsidRDefault="0065323E" w:rsidP="0065323E">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În același timp, un eventual șoc asupra ofertei de LNG ar avea pentru Europa implicații macroeconomice care depășesc sfera piețelor de energie. Spre deosebire de șocurile petroliere din anii ’70, care afectau în principal transportul și costurile logistice, gazul natural ocupă astăzi o poziție structurală mult mai importantă în economia europeană. El reprezintă simultan un input esențial pentru industriile energointensive și un determinant major al prețului marginal al electricității în piețele europene.</w:t>
      </w:r>
    </w:p>
    <w:p w14:paraId="3AC4AF1A" w14:textId="4445E37B" w:rsidR="0065323E" w:rsidRPr="00B0165B" w:rsidRDefault="0065323E" w:rsidP="0065323E">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În aceste condiții, care sunt semnificativ diferite, un șoc asupra ofertei de LNG trebuie interpretat nu doar ca o perturbare sectorială, ci ca un șoc sistemic asupra structurii costurilor economiei </w:t>
      </w:r>
      <w:r w:rsidRPr="00B0165B">
        <w:rPr>
          <w:rFonts w:ascii="Times New Roman" w:hAnsi="Times New Roman" w:cs="Times New Roman"/>
          <w:sz w:val="24"/>
          <w:szCs w:val="24"/>
          <w:lang w:val="ro-RO"/>
        </w:rPr>
        <w:lastRenderedPageBreak/>
        <w:t>europene. Putem porni de la premisa c</w:t>
      </w:r>
      <w:r w:rsidR="00482C55" w:rsidRPr="00B0165B">
        <w:rPr>
          <w:rFonts w:ascii="Times New Roman" w:hAnsi="Times New Roman" w:cs="Times New Roman"/>
          <w:sz w:val="24"/>
          <w:szCs w:val="24"/>
          <w:lang w:val="ro-RO"/>
        </w:rPr>
        <w:t>ă</w:t>
      </w:r>
      <w:r w:rsidRPr="00B0165B">
        <w:rPr>
          <w:rFonts w:ascii="Times New Roman" w:hAnsi="Times New Roman" w:cs="Times New Roman"/>
          <w:sz w:val="24"/>
          <w:szCs w:val="24"/>
          <w:lang w:val="ro-RO"/>
        </w:rPr>
        <w:t xml:space="preserve"> impactul se transmite rapid dinspre piața gazului către piața electricității, apoi către industria energointensivă și, în final, către întregul lanț de producție din economie. Aceste mecanisme generează inevitabil efecte de runda a doua asupra inflației și asupra competitivității industriale.</w:t>
      </w:r>
    </w:p>
    <w:p w14:paraId="267E3BA8" w14:textId="68107AB7" w:rsidR="0065323E" w:rsidRPr="00B0165B" w:rsidRDefault="001D18B7" w:rsidP="0065323E">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Astfel, r</w:t>
      </w:r>
      <w:r w:rsidR="0065323E" w:rsidRPr="00B0165B">
        <w:rPr>
          <w:rFonts w:ascii="Times New Roman" w:hAnsi="Times New Roman" w:cs="Times New Roman"/>
          <w:sz w:val="24"/>
          <w:szCs w:val="24"/>
          <w:lang w:val="ro-RO"/>
        </w:rPr>
        <w:t>eapare o întrebare care părea deja depășită în dezbaterea europeană: dacă gazul devine prohibitiv, poate Europa recurge temporar la combustibili fosili precum cărbunele? Din perspectiva tranziției energetice, o astfel de evoluție pare contraintuitivă pentru un continent cu preocupări majore privind producerea de energie verde din surse regenerabile. Totuși, istoria economică arată că, în situații de constrângere severă a ofertei, sistemele energetice tind să privilegieze securitatea aprovizionării. Evoluțiile geopolitice pot conduce astfel la decizii de politică energetică care contrazic temporar logica optimă și meritorie a tranziției pe termen lung.</w:t>
      </w:r>
    </w:p>
    <w:p w14:paraId="59B2C15B" w14:textId="4F9CA9FB" w:rsidR="001D18B7" w:rsidRPr="00B0165B" w:rsidRDefault="001D18B7" w:rsidP="00C1324C">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 xml:space="preserve">Ar fi soluția Volcker la fel de eficientă astăzi în Europa? </w:t>
      </w:r>
    </w:p>
    <w:p w14:paraId="5FB0A589" w14:textId="6DE18AA2" w:rsidR="00C1324C" w:rsidRPr="00B0165B" w:rsidRDefault="00505A6E"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Continuând firul logic din perspectiva politicilor economice </w:t>
      </w:r>
      <w:r w:rsidR="005D7C33" w:rsidRPr="00B0165B">
        <w:rPr>
          <w:rFonts w:ascii="Times New Roman" w:hAnsi="Times New Roman" w:cs="Times New Roman"/>
          <w:sz w:val="24"/>
          <w:szCs w:val="24"/>
          <w:lang w:val="ro-RO"/>
        </w:rPr>
        <w:t>ale</w:t>
      </w:r>
      <w:r w:rsidRPr="00B0165B">
        <w:rPr>
          <w:rFonts w:ascii="Times New Roman" w:hAnsi="Times New Roman" w:cs="Times New Roman"/>
          <w:sz w:val="24"/>
          <w:szCs w:val="24"/>
          <w:lang w:val="ro-RO"/>
        </w:rPr>
        <w:t xml:space="preserve"> statel</w:t>
      </w:r>
      <w:r w:rsidR="005D7C33" w:rsidRPr="00B0165B">
        <w:rPr>
          <w:rFonts w:ascii="Times New Roman" w:hAnsi="Times New Roman" w:cs="Times New Roman"/>
          <w:sz w:val="24"/>
          <w:szCs w:val="24"/>
          <w:lang w:val="ro-RO"/>
        </w:rPr>
        <w:t>or</w:t>
      </w:r>
      <w:r w:rsidRPr="00B0165B">
        <w:rPr>
          <w:rFonts w:ascii="Times New Roman" w:hAnsi="Times New Roman" w:cs="Times New Roman"/>
          <w:sz w:val="24"/>
          <w:szCs w:val="24"/>
          <w:lang w:val="ro-RO"/>
        </w:rPr>
        <w:t xml:space="preserve"> dependente de importurile de energie menționate mai sus, </w:t>
      </w:r>
      <w:r w:rsidR="005D7C33" w:rsidRPr="00B0165B">
        <w:rPr>
          <w:rFonts w:ascii="Times New Roman" w:hAnsi="Times New Roman" w:cs="Times New Roman"/>
          <w:sz w:val="24"/>
          <w:szCs w:val="24"/>
          <w:lang w:val="ro-RO"/>
        </w:rPr>
        <w:t xml:space="preserve">abordarea firească a problematicii </w:t>
      </w:r>
      <w:r w:rsidR="00C1324C" w:rsidRPr="00B0165B">
        <w:rPr>
          <w:rFonts w:ascii="Times New Roman" w:hAnsi="Times New Roman" w:cs="Times New Roman"/>
          <w:sz w:val="24"/>
          <w:szCs w:val="24"/>
          <w:lang w:val="ro-RO"/>
        </w:rPr>
        <w:t xml:space="preserve">este </w:t>
      </w:r>
      <w:r w:rsidR="005D7C33" w:rsidRPr="00B0165B">
        <w:rPr>
          <w:rFonts w:ascii="Times New Roman" w:hAnsi="Times New Roman" w:cs="Times New Roman"/>
          <w:sz w:val="24"/>
          <w:szCs w:val="24"/>
          <w:lang w:val="ro-RO"/>
        </w:rPr>
        <w:t xml:space="preserve">analiza actualității unor măsuri </w:t>
      </w:r>
      <w:r w:rsidR="00C1324C" w:rsidRPr="00B0165B">
        <w:rPr>
          <w:rFonts w:ascii="Times New Roman" w:hAnsi="Times New Roman" w:cs="Times New Roman"/>
          <w:sz w:val="24"/>
          <w:szCs w:val="24"/>
          <w:lang w:val="ro-RO"/>
        </w:rPr>
        <w:t>de tip Volcker pentru reducerea inflației</w:t>
      </w:r>
      <w:r w:rsidR="005D7C33" w:rsidRPr="00B0165B">
        <w:rPr>
          <w:rFonts w:ascii="Times New Roman" w:hAnsi="Times New Roman" w:cs="Times New Roman"/>
          <w:sz w:val="24"/>
          <w:szCs w:val="24"/>
          <w:lang w:val="ro-RO"/>
        </w:rPr>
        <w:t xml:space="preserve"> ca op</w:t>
      </w:r>
      <w:r w:rsidRPr="00B0165B">
        <w:rPr>
          <w:rFonts w:ascii="Times New Roman" w:hAnsi="Times New Roman" w:cs="Times New Roman"/>
          <w:sz w:val="24"/>
          <w:szCs w:val="24"/>
          <w:lang w:val="ro-RO"/>
        </w:rPr>
        <w:t xml:space="preserve">țiune validă </w:t>
      </w:r>
      <w:r w:rsidR="00C1324C" w:rsidRPr="00B0165B">
        <w:rPr>
          <w:rFonts w:ascii="Times New Roman" w:hAnsi="Times New Roman" w:cs="Times New Roman"/>
          <w:sz w:val="24"/>
          <w:szCs w:val="24"/>
          <w:lang w:val="ro-RO"/>
        </w:rPr>
        <w:t xml:space="preserve">în circumstanțele prezente, </w:t>
      </w:r>
      <w:r w:rsidR="005D7C33" w:rsidRPr="00B0165B">
        <w:rPr>
          <w:rFonts w:ascii="Times New Roman" w:hAnsi="Times New Roman" w:cs="Times New Roman"/>
          <w:sz w:val="24"/>
          <w:szCs w:val="24"/>
          <w:lang w:val="ro-RO"/>
        </w:rPr>
        <w:t>cunoscute</w:t>
      </w:r>
      <w:r w:rsidR="00C1324C" w:rsidRPr="00B0165B">
        <w:rPr>
          <w:rFonts w:ascii="Times New Roman" w:hAnsi="Times New Roman" w:cs="Times New Roman"/>
          <w:sz w:val="24"/>
          <w:szCs w:val="24"/>
          <w:lang w:val="ro-RO"/>
        </w:rPr>
        <w:t xml:space="preserve"> fiind </w:t>
      </w:r>
      <w:r w:rsidRPr="00B0165B">
        <w:rPr>
          <w:rFonts w:ascii="Times New Roman" w:hAnsi="Times New Roman" w:cs="Times New Roman"/>
          <w:sz w:val="24"/>
          <w:szCs w:val="24"/>
          <w:lang w:val="ro-RO"/>
        </w:rPr>
        <w:t>interdependențele (și limitările) ce decurg din pozițiile actuale ale</w:t>
      </w:r>
      <w:r w:rsidR="00C1324C" w:rsidRPr="00B0165B">
        <w:rPr>
          <w:rFonts w:ascii="Times New Roman" w:hAnsi="Times New Roman" w:cs="Times New Roman"/>
          <w:sz w:val="24"/>
          <w:szCs w:val="24"/>
          <w:lang w:val="ro-RO"/>
        </w:rPr>
        <w:t xml:space="preserve">  politic</w:t>
      </w:r>
      <w:r w:rsidRPr="00B0165B">
        <w:rPr>
          <w:rFonts w:ascii="Times New Roman" w:hAnsi="Times New Roman" w:cs="Times New Roman"/>
          <w:sz w:val="24"/>
          <w:szCs w:val="24"/>
          <w:lang w:val="ro-RO"/>
        </w:rPr>
        <w:t>ilor</w:t>
      </w:r>
      <w:r w:rsidR="00C1324C" w:rsidRPr="00B0165B">
        <w:rPr>
          <w:rFonts w:ascii="Times New Roman" w:hAnsi="Times New Roman" w:cs="Times New Roman"/>
          <w:sz w:val="24"/>
          <w:szCs w:val="24"/>
          <w:lang w:val="ro-RO"/>
        </w:rPr>
        <w:t xml:space="preserve"> fiscal</w:t>
      </w:r>
      <w:r w:rsidRPr="00B0165B">
        <w:rPr>
          <w:rFonts w:ascii="Times New Roman" w:hAnsi="Times New Roman" w:cs="Times New Roman"/>
          <w:sz w:val="24"/>
          <w:szCs w:val="24"/>
          <w:lang w:val="ro-RO"/>
        </w:rPr>
        <w:t>e</w:t>
      </w:r>
      <w:r w:rsidR="00C1324C" w:rsidRPr="00B0165B">
        <w:rPr>
          <w:rFonts w:ascii="Times New Roman" w:hAnsi="Times New Roman" w:cs="Times New Roman"/>
          <w:sz w:val="24"/>
          <w:szCs w:val="24"/>
          <w:lang w:val="ro-RO"/>
        </w:rPr>
        <w:t xml:space="preserve"> și </w:t>
      </w:r>
      <w:r w:rsidRPr="00B0165B">
        <w:rPr>
          <w:rFonts w:ascii="Times New Roman" w:hAnsi="Times New Roman" w:cs="Times New Roman"/>
          <w:sz w:val="24"/>
          <w:szCs w:val="24"/>
          <w:lang w:val="ro-RO"/>
        </w:rPr>
        <w:t>macro-prudențiale</w:t>
      </w:r>
      <w:r w:rsidR="009D7E8B" w:rsidRPr="00B0165B">
        <w:rPr>
          <w:rFonts w:ascii="Times New Roman" w:hAnsi="Times New Roman" w:cs="Times New Roman"/>
          <w:sz w:val="24"/>
          <w:szCs w:val="24"/>
          <w:lang w:val="ro-RO"/>
        </w:rPr>
        <w:t>.</w:t>
      </w:r>
    </w:p>
    <w:p w14:paraId="3EFB85CF" w14:textId="28461F33" w:rsidR="00B17ABC" w:rsidRPr="00B0165B" w:rsidRDefault="00865AC9" w:rsidP="00B41CA9">
      <w:pPr>
        <w:spacing w:line="360" w:lineRule="auto"/>
        <w:jc w:val="both"/>
        <w:rPr>
          <w:rFonts w:ascii="Times New Roman" w:hAnsi="Times New Roman" w:cs="Times New Roman"/>
          <w:i/>
          <w:iCs/>
          <w:sz w:val="24"/>
          <w:szCs w:val="24"/>
          <w:lang w:val="ro-RO"/>
        </w:rPr>
      </w:pPr>
      <w:r w:rsidRPr="00B0165B">
        <w:rPr>
          <w:rFonts w:ascii="Times New Roman" w:hAnsi="Times New Roman" w:cs="Times New Roman"/>
          <w:sz w:val="24"/>
          <w:szCs w:val="24"/>
          <w:lang w:val="ro-RO"/>
        </w:rPr>
        <w:t>Î</w:t>
      </w:r>
      <w:r w:rsidR="004408AD" w:rsidRPr="00B0165B">
        <w:rPr>
          <w:rFonts w:ascii="Times New Roman" w:hAnsi="Times New Roman" w:cs="Times New Roman"/>
          <w:sz w:val="24"/>
          <w:szCs w:val="24"/>
          <w:lang w:val="ro-RO"/>
        </w:rPr>
        <w:t xml:space="preserve">n pofida </w:t>
      </w:r>
      <w:r w:rsidR="005D7C33" w:rsidRPr="00B0165B">
        <w:rPr>
          <w:rFonts w:ascii="Times New Roman" w:hAnsi="Times New Roman" w:cs="Times New Roman"/>
          <w:sz w:val="24"/>
          <w:szCs w:val="24"/>
          <w:lang w:val="ro-RO"/>
        </w:rPr>
        <w:t>similitudinilor</w:t>
      </w:r>
      <w:r w:rsidR="004408AD" w:rsidRPr="00B0165B">
        <w:rPr>
          <w:rFonts w:ascii="Times New Roman" w:hAnsi="Times New Roman" w:cs="Times New Roman"/>
          <w:sz w:val="24"/>
          <w:szCs w:val="24"/>
          <w:lang w:val="ro-RO"/>
        </w:rPr>
        <w:t xml:space="preserve"> istorice cu anii ’70, </w:t>
      </w:r>
      <w:r w:rsidR="005D7C33" w:rsidRPr="00B0165B">
        <w:rPr>
          <w:rFonts w:ascii="Times New Roman" w:hAnsi="Times New Roman" w:cs="Times New Roman"/>
          <w:sz w:val="24"/>
          <w:szCs w:val="24"/>
          <w:lang w:val="ro-RO"/>
        </w:rPr>
        <w:t xml:space="preserve">în circumstanțele actuale avem un alt tablou general, deoarece </w:t>
      </w:r>
      <w:r w:rsidR="004408AD" w:rsidRPr="00B0165B">
        <w:rPr>
          <w:rFonts w:ascii="Times New Roman" w:hAnsi="Times New Roman" w:cs="Times New Roman"/>
          <w:sz w:val="24"/>
          <w:szCs w:val="24"/>
          <w:lang w:val="ro-RO"/>
        </w:rPr>
        <w:t xml:space="preserve">contextul </w:t>
      </w:r>
      <w:r w:rsidR="00627735" w:rsidRPr="00B0165B">
        <w:rPr>
          <w:rFonts w:ascii="Times New Roman" w:hAnsi="Times New Roman" w:cs="Times New Roman"/>
          <w:sz w:val="24"/>
          <w:szCs w:val="24"/>
          <w:lang w:val="ro-RO"/>
        </w:rPr>
        <w:t>se diferențiază pozitiv</w:t>
      </w:r>
      <w:r w:rsidR="004408AD" w:rsidRPr="00B0165B">
        <w:rPr>
          <w:rFonts w:ascii="Times New Roman" w:hAnsi="Times New Roman" w:cs="Times New Roman"/>
          <w:sz w:val="24"/>
          <w:szCs w:val="24"/>
          <w:lang w:val="ro-RO"/>
        </w:rPr>
        <w:t xml:space="preserve"> prin</w:t>
      </w:r>
      <w:r w:rsidR="00627735" w:rsidRPr="00B0165B">
        <w:rPr>
          <w:rFonts w:ascii="Times New Roman" w:hAnsi="Times New Roman" w:cs="Times New Roman"/>
          <w:sz w:val="24"/>
          <w:szCs w:val="24"/>
          <w:lang w:val="ro-RO"/>
        </w:rPr>
        <w:t>tr-un</w:t>
      </w:r>
      <w:r w:rsidR="004408AD" w:rsidRPr="00B0165B">
        <w:rPr>
          <w:rFonts w:ascii="Times New Roman" w:hAnsi="Times New Roman" w:cs="Times New Roman"/>
          <w:sz w:val="24"/>
          <w:szCs w:val="24"/>
          <w:lang w:val="ro-RO"/>
        </w:rPr>
        <w:t xml:space="preserve"> grad mai ridicat de diversificare </w:t>
      </w:r>
      <w:r w:rsidR="00627735" w:rsidRPr="00B0165B">
        <w:rPr>
          <w:rFonts w:ascii="Times New Roman" w:hAnsi="Times New Roman" w:cs="Times New Roman"/>
          <w:sz w:val="24"/>
          <w:szCs w:val="24"/>
          <w:lang w:val="ro-RO"/>
        </w:rPr>
        <w:t>a surselor de energie</w:t>
      </w:r>
      <w:r w:rsidR="004408AD" w:rsidRPr="00B0165B">
        <w:rPr>
          <w:rFonts w:ascii="Times New Roman" w:hAnsi="Times New Roman" w:cs="Times New Roman"/>
          <w:sz w:val="24"/>
          <w:szCs w:val="24"/>
          <w:lang w:val="ro-RO"/>
        </w:rPr>
        <w:t xml:space="preserve">, </w:t>
      </w:r>
      <w:r w:rsidR="00627735" w:rsidRPr="00B0165B">
        <w:rPr>
          <w:rFonts w:ascii="Times New Roman" w:hAnsi="Times New Roman" w:cs="Times New Roman"/>
          <w:sz w:val="24"/>
          <w:szCs w:val="24"/>
          <w:lang w:val="ro-RO"/>
        </w:rPr>
        <w:t xml:space="preserve">mai multe opțiuni </w:t>
      </w:r>
      <w:r w:rsidR="005D7C33" w:rsidRPr="00B0165B">
        <w:rPr>
          <w:rFonts w:ascii="Times New Roman" w:hAnsi="Times New Roman" w:cs="Times New Roman"/>
          <w:sz w:val="24"/>
          <w:szCs w:val="24"/>
          <w:lang w:val="ro-RO"/>
        </w:rPr>
        <w:t xml:space="preserve">de </w:t>
      </w:r>
      <w:r w:rsidR="00627735" w:rsidRPr="00B0165B">
        <w:rPr>
          <w:rFonts w:ascii="Times New Roman" w:hAnsi="Times New Roman" w:cs="Times New Roman"/>
          <w:sz w:val="24"/>
          <w:szCs w:val="24"/>
          <w:lang w:val="ro-RO"/>
        </w:rPr>
        <w:t>furnizorii de hidrocarburi</w:t>
      </w:r>
      <w:r w:rsidR="00D10498" w:rsidRPr="00B0165B">
        <w:rPr>
          <w:rFonts w:ascii="Times New Roman" w:hAnsi="Times New Roman" w:cs="Times New Roman"/>
          <w:sz w:val="24"/>
          <w:szCs w:val="24"/>
          <w:lang w:val="ro-RO"/>
        </w:rPr>
        <w:t xml:space="preserve"> (inclusiv din afara OPEC)</w:t>
      </w:r>
      <w:r w:rsidR="00627735" w:rsidRPr="00B0165B">
        <w:rPr>
          <w:rFonts w:ascii="Times New Roman" w:hAnsi="Times New Roman" w:cs="Times New Roman"/>
          <w:sz w:val="24"/>
          <w:szCs w:val="24"/>
          <w:lang w:val="ro-RO"/>
        </w:rPr>
        <w:t>, precum și un grad mai redus al intensității energetice a majorității economiilor dezvoltate și emergente</w:t>
      </w:r>
      <w:r w:rsidR="004408AD" w:rsidRPr="00B0165B">
        <w:rPr>
          <w:rFonts w:ascii="Times New Roman" w:hAnsi="Times New Roman" w:cs="Times New Roman"/>
          <w:sz w:val="24"/>
          <w:szCs w:val="24"/>
          <w:lang w:val="ro-RO"/>
        </w:rPr>
        <w:t xml:space="preserve">. </w:t>
      </w:r>
      <w:r w:rsidR="005D7C33" w:rsidRPr="00B0165B">
        <w:rPr>
          <w:rFonts w:ascii="Times New Roman" w:hAnsi="Times New Roman" w:cs="Times New Roman"/>
          <w:sz w:val="24"/>
          <w:szCs w:val="24"/>
          <w:lang w:val="ro-RO"/>
        </w:rPr>
        <w:t xml:space="preserve">Sigur că și în aceste condiții este posibil </w:t>
      </w:r>
      <w:r w:rsidR="004408AD" w:rsidRPr="00B0165B">
        <w:rPr>
          <w:rFonts w:ascii="Times New Roman" w:hAnsi="Times New Roman" w:cs="Times New Roman"/>
          <w:sz w:val="24"/>
          <w:szCs w:val="24"/>
          <w:lang w:val="ro-RO"/>
        </w:rPr>
        <w:t xml:space="preserve">un episod de inflație persistentă determinată exclusiv de </w:t>
      </w:r>
      <w:r w:rsidRPr="00B0165B">
        <w:rPr>
          <w:rFonts w:ascii="Times New Roman" w:hAnsi="Times New Roman" w:cs="Times New Roman"/>
          <w:sz w:val="24"/>
          <w:szCs w:val="24"/>
          <w:lang w:val="ro-RO"/>
        </w:rPr>
        <w:t xml:space="preserve">un șoc al prețului </w:t>
      </w:r>
      <w:r w:rsidR="004408AD" w:rsidRPr="00B0165B">
        <w:rPr>
          <w:rFonts w:ascii="Times New Roman" w:hAnsi="Times New Roman" w:cs="Times New Roman"/>
          <w:sz w:val="24"/>
          <w:szCs w:val="24"/>
          <w:lang w:val="ro-RO"/>
        </w:rPr>
        <w:t>energie</w:t>
      </w:r>
      <w:r w:rsidRPr="00B0165B">
        <w:rPr>
          <w:rFonts w:ascii="Times New Roman" w:hAnsi="Times New Roman" w:cs="Times New Roman"/>
          <w:sz w:val="24"/>
          <w:szCs w:val="24"/>
          <w:lang w:val="ro-RO"/>
        </w:rPr>
        <w:t>i</w:t>
      </w:r>
      <w:r w:rsidR="004408AD"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 xml:space="preserve">(și ar putea fi agravat de eventuale decizii comune ale țărilor din OPEC de </w:t>
      </w:r>
      <w:r w:rsidR="00402743" w:rsidRPr="00B0165B">
        <w:rPr>
          <w:rFonts w:ascii="Times New Roman" w:hAnsi="Times New Roman" w:cs="Times New Roman"/>
          <w:sz w:val="24"/>
          <w:szCs w:val="24"/>
          <w:lang w:val="ro-RO"/>
        </w:rPr>
        <w:t>tipul</w:t>
      </w:r>
      <w:r w:rsidRPr="00B0165B">
        <w:rPr>
          <w:rFonts w:ascii="Times New Roman" w:hAnsi="Times New Roman" w:cs="Times New Roman"/>
          <w:sz w:val="24"/>
          <w:szCs w:val="24"/>
          <w:lang w:val="ro-RO"/>
        </w:rPr>
        <w:t xml:space="preserve"> celor adoptate în anii ’70)</w:t>
      </w:r>
      <w:r w:rsidR="004408AD" w:rsidRPr="00B0165B">
        <w:rPr>
          <w:rFonts w:ascii="Times New Roman" w:hAnsi="Times New Roman" w:cs="Times New Roman"/>
          <w:sz w:val="24"/>
          <w:szCs w:val="24"/>
          <w:lang w:val="ro-RO"/>
        </w:rPr>
        <w:t xml:space="preserve">, dar </w:t>
      </w:r>
      <w:r w:rsidRPr="00B0165B">
        <w:rPr>
          <w:rFonts w:ascii="Times New Roman" w:hAnsi="Times New Roman" w:cs="Times New Roman"/>
          <w:sz w:val="24"/>
          <w:szCs w:val="24"/>
          <w:lang w:val="ro-RO"/>
        </w:rPr>
        <w:t xml:space="preserve">este </w:t>
      </w:r>
      <w:r w:rsidR="004408AD" w:rsidRPr="00B0165B">
        <w:rPr>
          <w:rFonts w:ascii="Times New Roman" w:hAnsi="Times New Roman" w:cs="Times New Roman"/>
          <w:sz w:val="24"/>
          <w:szCs w:val="24"/>
          <w:lang w:val="ro-RO"/>
        </w:rPr>
        <w:t xml:space="preserve">mai puțin probabil </w:t>
      </w:r>
      <w:r w:rsidR="005D7C33" w:rsidRPr="00B0165B">
        <w:rPr>
          <w:rFonts w:ascii="Times New Roman" w:hAnsi="Times New Roman" w:cs="Times New Roman"/>
          <w:sz w:val="24"/>
          <w:szCs w:val="24"/>
          <w:lang w:val="ro-RO"/>
        </w:rPr>
        <w:t xml:space="preserve">ca acesta </w:t>
      </w:r>
      <w:r w:rsidR="004408AD" w:rsidRPr="00B0165B">
        <w:rPr>
          <w:rFonts w:ascii="Times New Roman" w:hAnsi="Times New Roman" w:cs="Times New Roman"/>
          <w:sz w:val="24"/>
          <w:szCs w:val="24"/>
          <w:lang w:val="ro-RO"/>
        </w:rPr>
        <w:t xml:space="preserve">să atingă magnitudinea șocurilor </w:t>
      </w:r>
      <w:r w:rsidRPr="00B0165B">
        <w:rPr>
          <w:rFonts w:ascii="Times New Roman" w:hAnsi="Times New Roman" w:cs="Times New Roman"/>
          <w:sz w:val="24"/>
          <w:szCs w:val="24"/>
          <w:lang w:val="ro-RO"/>
        </w:rPr>
        <w:t>observate în trecut</w:t>
      </w:r>
      <w:r w:rsidR="0092731C" w:rsidRPr="00B0165B">
        <w:rPr>
          <w:rFonts w:ascii="Times New Roman" w:hAnsi="Times New Roman" w:cs="Times New Roman"/>
          <w:sz w:val="24"/>
          <w:szCs w:val="24"/>
          <w:lang w:val="ro-RO"/>
        </w:rPr>
        <w:t>.</w:t>
      </w:r>
      <w:r w:rsidR="004408AD" w:rsidRPr="00B0165B">
        <w:rPr>
          <w:rFonts w:ascii="Times New Roman" w:hAnsi="Times New Roman" w:cs="Times New Roman"/>
          <w:sz w:val="24"/>
          <w:szCs w:val="24"/>
          <w:lang w:val="ro-RO"/>
        </w:rPr>
        <w:t xml:space="preserve"> </w:t>
      </w:r>
      <w:r w:rsidR="00B41CA9" w:rsidRPr="00B0165B">
        <w:rPr>
          <w:rFonts w:ascii="Times New Roman" w:hAnsi="Times New Roman" w:cs="Times New Roman"/>
          <w:sz w:val="24"/>
          <w:szCs w:val="24"/>
          <w:lang w:val="ro-RO"/>
        </w:rPr>
        <w:t xml:space="preserve">La </w:t>
      </w:r>
      <w:r w:rsidR="007403EA" w:rsidRPr="00B0165B">
        <w:rPr>
          <w:rFonts w:ascii="Times New Roman" w:hAnsi="Times New Roman" w:cs="Times New Roman"/>
          <w:sz w:val="24"/>
          <w:szCs w:val="24"/>
          <w:lang w:val="ro-RO"/>
        </w:rPr>
        <w:t xml:space="preserve">o astfel de concluzie ajunge și </w:t>
      </w:r>
      <w:r w:rsidR="004408AD" w:rsidRPr="00B0165B">
        <w:rPr>
          <w:rFonts w:ascii="Times New Roman" w:hAnsi="Times New Roman" w:cs="Times New Roman"/>
          <w:sz w:val="24"/>
          <w:szCs w:val="24"/>
          <w:lang w:val="ro-RO"/>
        </w:rPr>
        <w:t>Paul Krugman</w:t>
      </w:r>
      <w:r w:rsidR="00B41CA9" w:rsidRPr="00B0165B">
        <w:rPr>
          <w:rFonts w:ascii="Times New Roman" w:hAnsi="Times New Roman" w:cs="Times New Roman"/>
          <w:sz w:val="24"/>
          <w:szCs w:val="24"/>
          <w:lang w:val="ro-RO"/>
        </w:rPr>
        <w:t>, în editorialul publicat</w:t>
      </w:r>
      <w:r w:rsidR="007403EA" w:rsidRPr="00B0165B">
        <w:rPr>
          <w:rFonts w:ascii="Times New Roman" w:hAnsi="Times New Roman" w:cs="Times New Roman"/>
          <w:sz w:val="24"/>
          <w:szCs w:val="24"/>
          <w:lang w:val="ro-RO"/>
        </w:rPr>
        <w:t xml:space="preserve"> recent</w:t>
      </w:r>
      <w:r w:rsidR="00B41CA9" w:rsidRPr="00B0165B">
        <w:rPr>
          <w:rFonts w:ascii="Times New Roman" w:hAnsi="Times New Roman" w:cs="Times New Roman"/>
          <w:sz w:val="24"/>
          <w:szCs w:val="24"/>
          <w:lang w:val="ro-RO"/>
        </w:rPr>
        <w:t xml:space="preserve"> </w:t>
      </w:r>
      <w:r w:rsidR="00B41CA9" w:rsidRPr="00B0165B">
        <w:rPr>
          <w:rFonts w:ascii="Times New Roman" w:hAnsi="Times New Roman" w:cs="Times New Roman"/>
          <w:i/>
          <w:iCs/>
          <w:sz w:val="24"/>
          <w:szCs w:val="24"/>
          <w:lang w:val="ro-RO"/>
        </w:rPr>
        <w:t xml:space="preserve">Oil Crises, Past and Possibly Future: What the 70s can and can’t teach us. </w:t>
      </w:r>
    </w:p>
    <w:p w14:paraId="05364A87" w14:textId="4986DA1B" w:rsidR="004C3660" w:rsidRPr="00B0165B" w:rsidRDefault="00B17ABC" w:rsidP="00B41CA9">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Totodată, ținând seama de circumstanțele macro-financiare actuale, spațiul de manevră al politicii monetare la nivel european este probabil mai limitat prin comparație cu cel specific economiei SUA în era Volcker. De exemplu, Ricardo Reis ajunge la concluzii similare în lucrarea </w:t>
      </w:r>
      <w:r w:rsidRPr="00B0165B">
        <w:rPr>
          <w:rFonts w:ascii="Times New Roman" w:hAnsi="Times New Roman" w:cs="Times New Roman"/>
          <w:i/>
          <w:iCs/>
          <w:sz w:val="24"/>
          <w:szCs w:val="24"/>
          <w:lang w:val="ro-RO"/>
        </w:rPr>
        <w:t>What Can Keep Euro Area Inflation High?</w:t>
      </w:r>
      <w:r w:rsidRPr="00B0165B">
        <w:rPr>
          <w:rFonts w:ascii="Times New Roman" w:hAnsi="Times New Roman" w:cs="Times New Roman"/>
          <w:sz w:val="24"/>
          <w:szCs w:val="24"/>
          <w:lang w:val="ro-RO"/>
        </w:rPr>
        <w:t xml:space="preserve"> (2023), subliniind o serie de circumstanțe c</w:t>
      </w:r>
      <w:r w:rsidR="00402743" w:rsidRPr="00B0165B">
        <w:rPr>
          <w:rFonts w:ascii="Times New Roman" w:hAnsi="Times New Roman" w:cs="Times New Roman"/>
          <w:sz w:val="24"/>
          <w:szCs w:val="24"/>
          <w:lang w:val="ro-RO"/>
        </w:rPr>
        <w:t>are</w:t>
      </w:r>
      <w:r w:rsidRPr="00B0165B">
        <w:rPr>
          <w:rFonts w:ascii="Times New Roman" w:hAnsi="Times New Roman" w:cs="Times New Roman"/>
          <w:sz w:val="24"/>
          <w:szCs w:val="24"/>
          <w:lang w:val="ro-RO"/>
        </w:rPr>
        <w:t xml:space="preserve"> limitează capacitatea de manevră a politicii monetare în cadrul zonei euro. </w:t>
      </w:r>
    </w:p>
    <w:p w14:paraId="16CB5D67" w14:textId="5FE9EAA3" w:rsidR="00C1324C" w:rsidRPr="00B0165B" w:rsidRDefault="00865AC9" w:rsidP="00C1324C">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lastRenderedPageBreak/>
        <w:t>De aceea</w:t>
      </w:r>
      <w:r w:rsidR="004408AD" w:rsidRPr="00B0165B">
        <w:rPr>
          <w:rFonts w:ascii="Times New Roman" w:hAnsi="Times New Roman" w:cs="Times New Roman"/>
          <w:sz w:val="24"/>
          <w:szCs w:val="24"/>
          <w:lang w:val="ro-RO"/>
        </w:rPr>
        <w:t xml:space="preserve">, </w:t>
      </w:r>
      <w:r w:rsidR="004C3660" w:rsidRPr="00B0165B">
        <w:rPr>
          <w:rFonts w:ascii="Times New Roman" w:hAnsi="Times New Roman" w:cs="Times New Roman"/>
          <w:sz w:val="24"/>
          <w:szCs w:val="24"/>
          <w:lang w:val="ro-RO"/>
        </w:rPr>
        <w:t>apreciez că</w:t>
      </w:r>
      <w:r w:rsidRPr="00B0165B">
        <w:rPr>
          <w:rFonts w:ascii="Times New Roman" w:hAnsi="Times New Roman" w:cs="Times New Roman"/>
          <w:sz w:val="24"/>
          <w:szCs w:val="24"/>
          <w:lang w:val="ro-RO"/>
        </w:rPr>
        <w:t xml:space="preserve"> nu ar fi oportun</w:t>
      </w:r>
      <w:r w:rsidR="004408AD" w:rsidRPr="00B0165B">
        <w:rPr>
          <w:rFonts w:ascii="Times New Roman" w:hAnsi="Times New Roman" w:cs="Times New Roman"/>
          <w:sz w:val="24"/>
          <w:szCs w:val="24"/>
          <w:lang w:val="ro-RO"/>
        </w:rPr>
        <w:t xml:space="preserve"> </w:t>
      </w:r>
      <w:r w:rsidR="00402743" w:rsidRPr="00B0165B">
        <w:rPr>
          <w:rFonts w:ascii="Times New Roman" w:hAnsi="Times New Roman" w:cs="Times New Roman"/>
          <w:sz w:val="24"/>
          <w:szCs w:val="24"/>
          <w:lang w:val="ro-RO"/>
        </w:rPr>
        <w:t xml:space="preserve">un </w:t>
      </w:r>
      <w:r w:rsidR="004408AD" w:rsidRPr="00B0165B">
        <w:rPr>
          <w:rFonts w:ascii="Times New Roman" w:hAnsi="Times New Roman" w:cs="Times New Roman"/>
          <w:sz w:val="24"/>
          <w:szCs w:val="24"/>
          <w:lang w:val="ro-RO"/>
        </w:rPr>
        <w:t xml:space="preserve">răspuns al politicii monetare la nivel european </w:t>
      </w:r>
      <w:r w:rsidRPr="00B0165B">
        <w:rPr>
          <w:rFonts w:ascii="Times New Roman" w:hAnsi="Times New Roman" w:cs="Times New Roman"/>
          <w:sz w:val="24"/>
          <w:szCs w:val="24"/>
          <w:lang w:val="ro-RO"/>
        </w:rPr>
        <w:t>care să replice astăzi o abordare similară</w:t>
      </w:r>
      <w:r w:rsidR="004408AD" w:rsidRPr="00B0165B">
        <w:rPr>
          <w:rFonts w:ascii="Times New Roman" w:hAnsi="Times New Roman" w:cs="Times New Roman"/>
          <w:sz w:val="24"/>
          <w:szCs w:val="24"/>
          <w:lang w:val="ro-RO"/>
        </w:rPr>
        <w:t xml:space="preserve"> modelul</w:t>
      </w:r>
      <w:r w:rsidRPr="00B0165B">
        <w:rPr>
          <w:rFonts w:ascii="Times New Roman" w:hAnsi="Times New Roman" w:cs="Times New Roman"/>
          <w:sz w:val="24"/>
          <w:szCs w:val="24"/>
          <w:lang w:val="ro-RO"/>
        </w:rPr>
        <w:t>ui</w:t>
      </w:r>
      <w:r w:rsidR="004408AD" w:rsidRPr="00B0165B">
        <w:rPr>
          <w:rFonts w:ascii="Times New Roman" w:hAnsi="Times New Roman" w:cs="Times New Roman"/>
          <w:sz w:val="24"/>
          <w:szCs w:val="24"/>
          <w:lang w:val="ro-RO"/>
        </w:rPr>
        <w:t xml:space="preserve"> Volcker</w:t>
      </w:r>
      <w:r w:rsidR="004C3660" w:rsidRPr="00B0165B">
        <w:rPr>
          <w:rFonts w:ascii="Times New Roman" w:hAnsi="Times New Roman" w:cs="Times New Roman"/>
          <w:sz w:val="24"/>
          <w:szCs w:val="24"/>
          <w:lang w:val="ro-RO"/>
        </w:rPr>
        <w:t xml:space="preserve"> din trecut</w:t>
      </w:r>
      <w:r w:rsidRPr="00B0165B">
        <w:rPr>
          <w:rFonts w:ascii="Times New Roman" w:hAnsi="Times New Roman" w:cs="Times New Roman"/>
          <w:sz w:val="24"/>
          <w:szCs w:val="24"/>
          <w:lang w:val="ro-RO"/>
        </w:rPr>
        <w:t xml:space="preserve">. Consider că, în contextul actual, ar fi mai eficient </w:t>
      </w:r>
      <w:r w:rsidR="004408AD" w:rsidRPr="00B0165B">
        <w:rPr>
          <w:rFonts w:ascii="Times New Roman" w:hAnsi="Times New Roman" w:cs="Times New Roman"/>
          <w:sz w:val="24"/>
          <w:szCs w:val="24"/>
          <w:lang w:val="ro-RO"/>
        </w:rPr>
        <w:t xml:space="preserve">un </w:t>
      </w:r>
      <w:r w:rsidRPr="00B0165B">
        <w:rPr>
          <w:rFonts w:ascii="Times New Roman" w:hAnsi="Times New Roman" w:cs="Times New Roman"/>
          <w:sz w:val="24"/>
          <w:szCs w:val="24"/>
          <w:lang w:val="ro-RO"/>
        </w:rPr>
        <w:t xml:space="preserve">răspuns atent calibrat care să țină seama </w:t>
      </w:r>
      <w:r w:rsidR="005C20F7" w:rsidRPr="00B0165B">
        <w:rPr>
          <w:rFonts w:ascii="Times New Roman" w:hAnsi="Times New Roman" w:cs="Times New Roman"/>
          <w:sz w:val="24"/>
          <w:szCs w:val="24"/>
          <w:lang w:val="ro-RO"/>
        </w:rPr>
        <w:t>de rețeaua mai complexă de constrângeri de ordin economic și financiar c</w:t>
      </w:r>
      <w:r w:rsidR="00402743" w:rsidRPr="00B0165B">
        <w:rPr>
          <w:rFonts w:ascii="Times New Roman" w:hAnsi="Times New Roman" w:cs="Times New Roman"/>
          <w:sz w:val="24"/>
          <w:szCs w:val="24"/>
          <w:lang w:val="ro-RO"/>
        </w:rPr>
        <w:t>are</w:t>
      </w:r>
      <w:r w:rsidR="005C20F7" w:rsidRPr="00B0165B">
        <w:rPr>
          <w:rFonts w:ascii="Times New Roman" w:hAnsi="Times New Roman" w:cs="Times New Roman"/>
          <w:sz w:val="24"/>
          <w:szCs w:val="24"/>
          <w:lang w:val="ro-RO"/>
        </w:rPr>
        <w:t xml:space="preserve"> au </w:t>
      </w:r>
      <w:r w:rsidR="004C3660" w:rsidRPr="00B0165B">
        <w:rPr>
          <w:rFonts w:ascii="Times New Roman" w:hAnsi="Times New Roman" w:cs="Times New Roman"/>
          <w:sz w:val="24"/>
          <w:szCs w:val="24"/>
          <w:lang w:val="ro-RO"/>
        </w:rPr>
        <w:t>impact nu doar</w:t>
      </w:r>
      <w:r w:rsidR="005C20F7" w:rsidRPr="00B0165B">
        <w:rPr>
          <w:rFonts w:ascii="Times New Roman" w:hAnsi="Times New Roman" w:cs="Times New Roman"/>
          <w:sz w:val="24"/>
          <w:szCs w:val="24"/>
          <w:lang w:val="ro-RO"/>
        </w:rPr>
        <w:t xml:space="preserve"> </w:t>
      </w:r>
      <w:r w:rsidR="004C3660" w:rsidRPr="00B0165B">
        <w:rPr>
          <w:rFonts w:ascii="Times New Roman" w:hAnsi="Times New Roman" w:cs="Times New Roman"/>
          <w:sz w:val="24"/>
          <w:szCs w:val="24"/>
          <w:lang w:val="ro-RO"/>
        </w:rPr>
        <w:t>asupra dinamicii</w:t>
      </w:r>
      <w:r w:rsidR="005C20F7" w:rsidRPr="00B0165B">
        <w:rPr>
          <w:rFonts w:ascii="Times New Roman" w:hAnsi="Times New Roman" w:cs="Times New Roman"/>
          <w:sz w:val="24"/>
          <w:szCs w:val="24"/>
          <w:lang w:val="ro-RO"/>
        </w:rPr>
        <w:t xml:space="preserve"> </w:t>
      </w:r>
      <w:r w:rsidR="004408AD" w:rsidRPr="00B0165B">
        <w:rPr>
          <w:rFonts w:ascii="Times New Roman" w:hAnsi="Times New Roman" w:cs="Times New Roman"/>
          <w:sz w:val="24"/>
          <w:szCs w:val="24"/>
          <w:lang w:val="ro-RO"/>
        </w:rPr>
        <w:t xml:space="preserve">prețurilor, </w:t>
      </w:r>
      <w:r w:rsidR="005C20F7" w:rsidRPr="00B0165B">
        <w:rPr>
          <w:rFonts w:ascii="Times New Roman" w:hAnsi="Times New Roman" w:cs="Times New Roman"/>
          <w:sz w:val="24"/>
          <w:szCs w:val="24"/>
          <w:lang w:val="ro-RO"/>
        </w:rPr>
        <w:t xml:space="preserve">ci și </w:t>
      </w:r>
      <w:r w:rsidR="004C3660" w:rsidRPr="00B0165B">
        <w:rPr>
          <w:rFonts w:ascii="Times New Roman" w:hAnsi="Times New Roman" w:cs="Times New Roman"/>
          <w:sz w:val="24"/>
          <w:szCs w:val="24"/>
          <w:lang w:val="ro-RO"/>
        </w:rPr>
        <w:t xml:space="preserve">asupra </w:t>
      </w:r>
      <w:r w:rsidR="004408AD" w:rsidRPr="00B0165B">
        <w:rPr>
          <w:rFonts w:ascii="Times New Roman" w:hAnsi="Times New Roman" w:cs="Times New Roman"/>
          <w:sz w:val="24"/>
          <w:szCs w:val="24"/>
          <w:lang w:val="ro-RO"/>
        </w:rPr>
        <w:t>stabilit</w:t>
      </w:r>
      <w:r w:rsidR="004C3660" w:rsidRPr="00B0165B">
        <w:rPr>
          <w:rFonts w:ascii="Times New Roman" w:hAnsi="Times New Roman" w:cs="Times New Roman"/>
          <w:sz w:val="24"/>
          <w:szCs w:val="24"/>
          <w:lang w:val="ro-RO"/>
        </w:rPr>
        <w:t>ății</w:t>
      </w:r>
      <w:r w:rsidR="004408AD" w:rsidRPr="00B0165B">
        <w:rPr>
          <w:rFonts w:ascii="Times New Roman" w:hAnsi="Times New Roman" w:cs="Times New Roman"/>
          <w:sz w:val="24"/>
          <w:szCs w:val="24"/>
          <w:lang w:val="ro-RO"/>
        </w:rPr>
        <w:t xml:space="preserve"> financiar</w:t>
      </w:r>
      <w:r w:rsidR="004C3660" w:rsidRPr="00B0165B">
        <w:rPr>
          <w:rFonts w:ascii="Times New Roman" w:hAnsi="Times New Roman" w:cs="Times New Roman"/>
          <w:sz w:val="24"/>
          <w:szCs w:val="24"/>
          <w:lang w:val="ro-RO"/>
        </w:rPr>
        <w:t>e</w:t>
      </w:r>
      <w:r w:rsidR="005C20F7" w:rsidRPr="00B0165B">
        <w:rPr>
          <w:rFonts w:ascii="Times New Roman" w:hAnsi="Times New Roman" w:cs="Times New Roman"/>
          <w:sz w:val="24"/>
          <w:szCs w:val="24"/>
          <w:lang w:val="ro-RO"/>
        </w:rPr>
        <w:t>, dinamic</w:t>
      </w:r>
      <w:r w:rsidR="004C3660" w:rsidRPr="00B0165B">
        <w:rPr>
          <w:rFonts w:ascii="Times New Roman" w:hAnsi="Times New Roman" w:cs="Times New Roman"/>
          <w:sz w:val="24"/>
          <w:szCs w:val="24"/>
          <w:lang w:val="ro-RO"/>
        </w:rPr>
        <w:t>ii</w:t>
      </w:r>
      <w:r w:rsidR="005C20F7" w:rsidRPr="00B0165B">
        <w:rPr>
          <w:rFonts w:ascii="Times New Roman" w:hAnsi="Times New Roman" w:cs="Times New Roman"/>
          <w:sz w:val="24"/>
          <w:szCs w:val="24"/>
          <w:lang w:val="ro-RO"/>
        </w:rPr>
        <w:t xml:space="preserve"> decalajului dintre PIB nominal și PIB potențial</w:t>
      </w:r>
      <w:r w:rsidR="004C3660" w:rsidRPr="00B0165B">
        <w:rPr>
          <w:rFonts w:ascii="Times New Roman" w:hAnsi="Times New Roman" w:cs="Times New Roman"/>
          <w:sz w:val="24"/>
          <w:szCs w:val="24"/>
          <w:lang w:val="ro-RO"/>
        </w:rPr>
        <w:t>, precum</w:t>
      </w:r>
      <w:r w:rsidR="005C20F7" w:rsidRPr="00B0165B">
        <w:rPr>
          <w:rFonts w:ascii="Times New Roman" w:hAnsi="Times New Roman" w:cs="Times New Roman"/>
          <w:sz w:val="24"/>
          <w:szCs w:val="24"/>
          <w:lang w:val="ro-RO"/>
        </w:rPr>
        <w:t xml:space="preserve"> și </w:t>
      </w:r>
      <w:r w:rsidR="004C3660" w:rsidRPr="00B0165B">
        <w:rPr>
          <w:rFonts w:ascii="Times New Roman" w:hAnsi="Times New Roman" w:cs="Times New Roman"/>
          <w:sz w:val="24"/>
          <w:szCs w:val="24"/>
          <w:lang w:val="ro-RO"/>
        </w:rPr>
        <w:t xml:space="preserve">asupra </w:t>
      </w:r>
      <w:r w:rsidR="005C20F7" w:rsidRPr="00B0165B">
        <w:rPr>
          <w:rFonts w:ascii="Times New Roman" w:hAnsi="Times New Roman" w:cs="Times New Roman"/>
          <w:sz w:val="24"/>
          <w:szCs w:val="24"/>
          <w:lang w:val="ro-RO"/>
        </w:rPr>
        <w:t>sustenabilit</w:t>
      </w:r>
      <w:r w:rsidR="004C3660" w:rsidRPr="00B0165B">
        <w:rPr>
          <w:rFonts w:ascii="Times New Roman" w:hAnsi="Times New Roman" w:cs="Times New Roman"/>
          <w:sz w:val="24"/>
          <w:szCs w:val="24"/>
          <w:lang w:val="ro-RO"/>
        </w:rPr>
        <w:t>ății</w:t>
      </w:r>
      <w:r w:rsidR="005C20F7" w:rsidRPr="00B0165B">
        <w:rPr>
          <w:rFonts w:ascii="Times New Roman" w:hAnsi="Times New Roman" w:cs="Times New Roman"/>
          <w:sz w:val="24"/>
          <w:szCs w:val="24"/>
          <w:lang w:val="ro-RO"/>
        </w:rPr>
        <w:t xml:space="preserve"> fiscal</w:t>
      </w:r>
      <w:r w:rsidR="004C3660" w:rsidRPr="00B0165B">
        <w:rPr>
          <w:rFonts w:ascii="Times New Roman" w:hAnsi="Times New Roman" w:cs="Times New Roman"/>
          <w:sz w:val="24"/>
          <w:szCs w:val="24"/>
          <w:lang w:val="ro-RO"/>
        </w:rPr>
        <w:t>e</w:t>
      </w:r>
      <w:r w:rsidR="004408AD" w:rsidRPr="00B0165B">
        <w:rPr>
          <w:rFonts w:ascii="Times New Roman" w:hAnsi="Times New Roman" w:cs="Times New Roman"/>
          <w:sz w:val="24"/>
          <w:szCs w:val="24"/>
          <w:lang w:val="ro-RO"/>
        </w:rPr>
        <w:t>.</w:t>
      </w:r>
      <w:r w:rsidR="00B17ABC" w:rsidRPr="00B0165B">
        <w:rPr>
          <w:rFonts w:ascii="Times New Roman" w:hAnsi="Times New Roman" w:cs="Times New Roman"/>
          <w:sz w:val="24"/>
          <w:szCs w:val="24"/>
          <w:lang w:val="ro-RO"/>
        </w:rPr>
        <w:t xml:space="preserve"> Așadar, abordarea adecvată</w:t>
      </w:r>
      <w:r w:rsidR="007403EA" w:rsidRPr="00B0165B">
        <w:rPr>
          <w:rFonts w:ascii="Times New Roman" w:hAnsi="Times New Roman" w:cs="Times New Roman"/>
          <w:sz w:val="24"/>
          <w:szCs w:val="24"/>
          <w:lang w:val="ro-RO"/>
        </w:rPr>
        <w:t xml:space="preserve"> în momentul de față </w:t>
      </w:r>
      <w:r w:rsidR="00B17ABC" w:rsidRPr="00B0165B">
        <w:rPr>
          <w:rFonts w:ascii="Times New Roman" w:hAnsi="Times New Roman" w:cs="Times New Roman"/>
          <w:sz w:val="24"/>
          <w:szCs w:val="24"/>
          <w:lang w:val="ro-RO"/>
        </w:rPr>
        <w:t>ar fi una</w:t>
      </w:r>
      <w:r w:rsidR="00C1324C" w:rsidRPr="00B0165B">
        <w:rPr>
          <w:rFonts w:ascii="Times New Roman" w:hAnsi="Times New Roman" w:cs="Times New Roman"/>
          <w:sz w:val="24"/>
          <w:szCs w:val="24"/>
          <w:lang w:val="ro-RO"/>
        </w:rPr>
        <w:t xml:space="preserve"> de tip </w:t>
      </w:r>
      <w:r w:rsidR="00B17ABC" w:rsidRPr="00B0165B">
        <w:rPr>
          <w:rFonts w:ascii="Times New Roman" w:hAnsi="Times New Roman" w:cs="Times New Roman"/>
          <w:sz w:val="24"/>
          <w:szCs w:val="24"/>
          <w:lang w:val="ro-RO"/>
        </w:rPr>
        <w:t>„</w:t>
      </w:r>
      <w:r w:rsidR="00C1324C" w:rsidRPr="00B0165B">
        <w:rPr>
          <w:rFonts w:ascii="Times New Roman" w:hAnsi="Times New Roman" w:cs="Times New Roman"/>
          <w:i/>
          <w:iCs/>
          <w:sz w:val="24"/>
          <w:szCs w:val="24"/>
          <w:lang w:val="ro-RO"/>
        </w:rPr>
        <w:t>balancing act</w:t>
      </w:r>
      <w:r w:rsidR="00B17ABC" w:rsidRPr="00B0165B">
        <w:rPr>
          <w:rFonts w:ascii="Times New Roman" w:hAnsi="Times New Roman" w:cs="Times New Roman"/>
          <w:i/>
          <w:iCs/>
          <w:sz w:val="24"/>
          <w:szCs w:val="24"/>
          <w:lang w:val="ro-RO"/>
        </w:rPr>
        <w:t>”</w:t>
      </w:r>
      <w:r w:rsidR="00B41CA9" w:rsidRPr="00B0165B">
        <w:rPr>
          <w:rFonts w:ascii="Times New Roman" w:hAnsi="Times New Roman" w:cs="Times New Roman"/>
          <w:sz w:val="24"/>
          <w:szCs w:val="24"/>
          <w:lang w:val="ro-RO"/>
        </w:rPr>
        <w:t xml:space="preserve">, susținută </w:t>
      </w:r>
      <w:r w:rsidR="007403EA" w:rsidRPr="00B0165B">
        <w:rPr>
          <w:rFonts w:ascii="Times New Roman" w:hAnsi="Times New Roman" w:cs="Times New Roman"/>
          <w:sz w:val="24"/>
          <w:szCs w:val="24"/>
          <w:lang w:val="ro-RO"/>
        </w:rPr>
        <w:t xml:space="preserve">concomitent </w:t>
      </w:r>
      <w:r w:rsidR="00B41CA9" w:rsidRPr="00B0165B">
        <w:rPr>
          <w:rFonts w:ascii="Times New Roman" w:hAnsi="Times New Roman" w:cs="Times New Roman"/>
          <w:sz w:val="24"/>
          <w:szCs w:val="24"/>
          <w:lang w:val="ro-RO"/>
        </w:rPr>
        <w:t>de o re</w:t>
      </w:r>
      <w:r w:rsidR="007403EA" w:rsidRPr="00B0165B">
        <w:rPr>
          <w:rFonts w:ascii="Times New Roman" w:hAnsi="Times New Roman" w:cs="Times New Roman"/>
          <w:sz w:val="24"/>
          <w:szCs w:val="24"/>
          <w:lang w:val="ro-RO"/>
        </w:rPr>
        <w:t>calibrare</w:t>
      </w:r>
      <w:r w:rsidR="00B41CA9" w:rsidRPr="00B0165B">
        <w:rPr>
          <w:rFonts w:ascii="Times New Roman" w:hAnsi="Times New Roman" w:cs="Times New Roman"/>
          <w:sz w:val="24"/>
          <w:szCs w:val="24"/>
          <w:lang w:val="ro-RO"/>
        </w:rPr>
        <w:t xml:space="preserve"> a mixului de politici macroeconomice.</w:t>
      </w:r>
    </w:p>
    <w:p w14:paraId="23CE6642" w14:textId="77777777" w:rsidR="00A85391" w:rsidRPr="00B0165B" w:rsidRDefault="00A85391" w:rsidP="00D2143D">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Ce mix de politici poate răspunde acestui tip de șoc?</w:t>
      </w:r>
    </w:p>
    <w:p w14:paraId="5D022135" w14:textId="782D363A" w:rsidR="00D2143D" w:rsidRPr="00B0165B" w:rsidRDefault="00D2143D" w:rsidP="00D2143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Putem </w:t>
      </w:r>
      <w:r w:rsidR="00FD5EE5" w:rsidRPr="00B0165B">
        <w:rPr>
          <w:rFonts w:ascii="Times New Roman" w:hAnsi="Times New Roman" w:cs="Times New Roman"/>
          <w:sz w:val="24"/>
          <w:szCs w:val="24"/>
          <w:lang w:val="ro-RO"/>
        </w:rPr>
        <w:t>începe</w:t>
      </w:r>
      <w:r w:rsidRPr="00B0165B">
        <w:rPr>
          <w:rFonts w:ascii="Times New Roman" w:hAnsi="Times New Roman" w:cs="Times New Roman"/>
          <w:sz w:val="24"/>
          <w:szCs w:val="24"/>
          <w:lang w:val="ro-RO"/>
        </w:rPr>
        <w:t xml:space="preserve"> analiza cu perioada anilor 80.</w:t>
      </w:r>
      <w:r w:rsidR="00FD5EE5"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Din punct de vedere macroeconomic, comparația cu perioada Volcker evidențiază o diferență fundamentală</w:t>
      </w:r>
      <w:r w:rsidR="001D18B7" w:rsidRPr="00B0165B">
        <w:rPr>
          <w:rFonts w:ascii="Times New Roman" w:hAnsi="Times New Roman" w:cs="Times New Roman"/>
          <w:sz w:val="24"/>
          <w:szCs w:val="24"/>
          <w:lang w:val="ro-RO"/>
        </w:rPr>
        <w:t>:</w:t>
      </w:r>
      <w:r w:rsidRPr="00B0165B">
        <w:rPr>
          <w:rFonts w:ascii="Times New Roman" w:hAnsi="Times New Roman" w:cs="Times New Roman"/>
          <w:sz w:val="24"/>
          <w:szCs w:val="24"/>
          <w:lang w:val="ro-RO"/>
        </w:rPr>
        <w:t xml:space="preserve"> </w:t>
      </w:r>
      <w:r w:rsidR="001D18B7" w:rsidRPr="00B0165B">
        <w:rPr>
          <w:rFonts w:ascii="Times New Roman" w:hAnsi="Times New Roman" w:cs="Times New Roman"/>
          <w:sz w:val="24"/>
          <w:szCs w:val="24"/>
          <w:lang w:val="ro-RO"/>
        </w:rPr>
        <w:t>î</w:t>
      </w:r>
      <w:r w:rsidRPr="00B0165B">
        <w:rPr>
          <w:rFonts w:ascii="Times New Roman" w:hAnsi="Times New Roman" w:cs="Times New Roman"/>
          <w:sz w:val="24"/>
          <w:szCs w:val="24"/>
          <w:lang w:val="ro-RO"/>
        </w:rPr>
        <w:t xml:space="preserve">n </w:t>
      </w:r>
      <w:r w:rsidR="00EC32A8" w:rsidRPr="00B0165B">
        <w:rPr>
          <w:rFonts w:ascii="Times New Roman" w:hAnsi="Times New Roman" w:cs="Times New Roman"/>
          <w:sz w:val="24"/>
          <w:szCs w:val="24"/>
          <w:lang w:val="ro-RO"/>
        </w:rPr>
        <w:t xml:space="preserve">SUA </w:t>
      </w:r>
      <w:r w:rsidRPr="00B0165B">
        <w:rPr>
          <w:rFonts w:ascii="Times New Roman" w:hAnsi="Times New Roman" w:cs="Times New Roman"/>
          <w:sz w:val="24"/>
          <w:szCs w:val="24"/>
          <w:lang w:val="ro-RO"/>
        </w:rPr>
        <w:t>ani</w:t>
      </w:r>
      <w:r w:rsidR="00EC32A8" w:rsidRPr="00B0165B">
        <w:rPr>
          <w:rFonts w:ascii="Times New Roman" w:hAnsi="Times New Roman" w:cs="Times New Roman"/>
          <w:sz w:val="24"/>
          <w:szCs w:val="24"/>
          <w:lang w:val="ro-RO"/>
        </w:rPr>
        <w:t>lor</w:t>
      </w:r>
      <w:r w:rsidRPr="00B0165B">
        <w:rPr>
          <w:rFonts w:ascii="Times New Roman" w:hAnsi="Times New Roman" w:cs="Times New Roman"/>
          <w:sz w:val="24"/>
          <w:szCs w:val="24"/>
          <w:lang w:val="ro-RO"/>
        </w:rPr>
        <w:t xml:space="preserve"> ’80, inflația era alimentată atât de șocuri energetice, cât și de </w:t>
      </w:r>
      <w:r w:rsidR="006D77BD" w:rsidRPr="00B0165B">
        <w:rPr>
          <w:rFonts w:ascii="Times New Roman" w:hAnsi="Times New Roman" w:cs="Times New Roman"/>
          <w:sz w:val="24"/>
          <w:szCs w:val="24"/>
          <w:lang w:val="ro-RO"/>
        </w:rPr>
        <w:t>factori fundamentali</w:t>
      </w:r>
      <w:r w:rsidR="00EC32A8" w:rsidRPr="00B0165B">
        <w:rPr>
          <w:rFonts w:ascii="Times New Roman" w:hAnsi="Times New Roman" w:cs="Times New Roman"/>
          <w:sz w:val="24"/>
          <w:szCs w:val="24"/>
          <w:lang w:val="ro-RO"/>
        </w:rPr>
        <w:t>,</w:t>
      </w:r>
      <w:r w:rsidR="006D77BD" w:rsidRPr="00B0165B">
        <w:rPr>
          <w:rFonts w:ascii="Times New Roman" w:hAnsi="Times New Roman" w:cs="Times New Roman"/>
          <w:sz w:val="24"/>
          <w:szCs w:val="24"/>
          <w:lang w:val="ro-RO"/>
        </w:rPr>
        <w:t xml:space="preserve"> reprezentați de </w:t>
      </w:r>
      <w:r w:rsidRPr="00B0165B">
        <w:rPr>
          <w:rFonts w:ascii="Times New Roman" w:hAnsi="Times New Roman" w:cs="Times New Roman"/>
          <w:sz w:val="24"/>
          <w:szCs w:val="24"/>
          <w:lang w:val="ro-RO"/>
        </w:rPr>
        <w:t xml:space="preserve">o spirală salarii-prețuri și de așteptări inflaționiste dezancorate. </w:t>
      </w:r>
      <w:r w:rsidR="001D18B7" w:rsidRPr="00B0165B">
        <w:rPr>
          <w:rFonts w:ascii="Times New Roman" w:hAnsi="Times New Roman" w:cs="Times New Roman"/>
          <w:sz w:val="24"/>
          <w:szCs w:val="24"/>
          <w:lang w:val="ro-RO"/>
        </w:rPr>
        <w:t>Totuși, î</w:t>
      </w:r>
      <w:r w:rsidRPr="00B0165B">
        <w:rPr>
          <w:rFonts w:ascii="Times New Roman" w:hAnsi="Times New Roman" w:cs="Times New Roman"/>
          <w:sz w:val="24"/>
          <w:szCs w:val="24"/>
          <w:lang w:val="ro-RO"/>
        </w:rPr>
        <w:t xml:space="preserve">n prezent, în Europa, o parte semnificativă a presiunilor inflaționiste este determinată de factori externi </w:t>
      </w:r>
      <w:r w:rsidR="001D18B7" w:rsidRPr="00B0165B">
        <w:rPr>
          <w:rFonts w:ascii="Times New Roman" w:hAnsi="Times New Roman" w:cs="Times New Roman"/>
          <w:sz w:val="24"/>
          <w:szCs w:val="24"/>
          <w:lang w:val="ro-RO"/>
        </w:rPr>
        <w:t xml:space="preserve">pe partea ofertei, </w:t>
      </w:r>
      <w:r w:rsidRPr="00B0165B">
        <w:rPr>
          <w:rFonts w:ascii="Times New Roman" w:hAnsi="Times New Roman" w:cs="Times New Roman"/>
          <w:sz w:val="24"/>
          <w:szCs w:val="24"/>
          <w:lang w:val="ro-RO"/>
        </w:rPr>
        <w:t>în special de costurile energiei.</w:t>
      </w:r>
    </w:p>
    <w:p w14:paraId="35C0CA57" w14:textId="798657F6" w:rsidR="00D2143D" w:rsidRPr="00B0165B" w:rsidRDefault="00D2143D" w:rsidP="00D2143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Această realitate </w:t>
      </w:r>
      <w:r w:rsidR="006D77BD" w:rsidRPr="00B0165B">
        <w:rPr>
          <w:rFonts w:ascii="Times New Roman" w:hAnsi="Times New Roman" w:cs="Times New Roman"/>
          <w:sz w:val="24"/>
          <w:szCs w:val="24"/>
          <w:lang w:val="ro-RO"/>
        </w:rPr>
        <w:t xml:space="preserve">actuală, așa cum am arătat mai sus, </w:t>
      </w:r>
      <w:r w:rsidRPr="00B0165B">
        <w:rPr>
          <w:rFonts w:ascii="Times New Roman" w:hAnsi="Times New Roman" w:cs="Times New Roman"/>
          <w:sz w:val="24"/>
          <w:szCs w:val="24"/>
          <w:lang w:val="ro-RO"/>
        </w:rPr>
        <w:t xml:space="preserve">limitează </w:t>
      </w:r>
      <w:r w:rsidR="006D77BD" w:rsidRPr="00B0165B">
        <w:rPr>
          <w:rFonts w:ascii="Times New Roman" w:hAnsi="Times New Roman" w:cs="Times New Roman"/>
          <w:sz w:val="24"/>
          <w:szCs w:val="24"/>
          <w:lang w:val="ro-RO"/>
        </w:rPr>
        <w:t>în mod firesc eficiența</w:t>
      </w:r>
      <w:r w:rsidRPr="00B0165B">
        <w:rPr>
          <w:rFonts w:ascii="Times New Roman" w:hAnsi="Times New Roman" w:cs="Times New Roman"/>
          <w:sz w:val="24"/>
          <w:szCs w:val="24"/>
          <w:lang w:val="ro-RO"/>
        </w:rPr>
        <w:t xml:space="preserve"> </w:t>
      </w:r>
      <w:r w:rsidR="006D77BD" w:rsidRPr="00B0165B">
        <w:rPr>
          <w:rFonts w:ascii="Times New Roman" w:hAnsi="Times New Roman" w:cs="Times New Roman"/>
          <w:sz w:val="24"/>
          <w:szCs w:val="24"/>
          <w:lang w:val="ro-RO"/>
        </w:rPr>
        <w:t>instrumentelor politicii</w:t>
      </w:r>
      <w:r w:rsidRPr="00B0165B">
        <w:rPr>
          <w:rFonts w:ascii="Times New Roman" w:hAnsi="Times New Roman" w:cs="Times New Roman"/>
          <w:sz w:val="24"/>
          <w:szCs w:val="24"/>
          <w:lang w:val="ro-RO"/>
        </w:rPr>
        <w:t xml:space="preserve"> </w:t>
      </w:r>
      <w:r w:rsidR="00FD5EE5" w:rsidRPr="00B0165B">
        <w:rPr>
          <w:rFonts w:ascii="Times New Roman" w:hAnsi="Times New Roman" w:cs="Times New Roman"/>
          <w:sz w:val="24"/>
          <w:szCs w:val="24"/>
          <w:lang w:val="ro-RO"/>
        </w:rPr>
        <w:t>monetare</w:t>
      </w:r>
      <w:r w:rsidR="006D77BD" w:rsidRPr="00B0165B">
        <w:rPr>
          <w:rFonts w:ascii="Times New Roman" w:hAnsi="Times New Roman" w:cs="Times New Roman"/>
          <w:sz w:val="24"/>
          <w:szCs w:val="24"/>
          <w:lang w:val="ro-RO"/>
        </w:rPr>
        <w:t>, care acționează preponderent pe latura cererii</w:t>
      </w:r>
      <w:r w:rsidRPr="00B0165B">
        <w:rPr>
          <w:rFonts w:ascii="Times New Roman" w:hAnsi="Times New Roman" w:cs="Times New Roman"/>
          <w:sz w:val="24"/>
          <w:szCs w:val="24"/>
          <w:lang w:val="ro-RO"/>
        </w:rPr>
        <w:t xml:space="preserve">. O politică monetară </w:t>
      </w:r>
      <w:r w:rsidR="006D77BD" w:rsidRPr="00B0165B">
        <w:rPr>
          <w:rFonts w:ascii="Times New Roman" w:hAnsi="Times New Roman" w:cs="Times New Roman"/>
          <w:sz w:val="24"/>
          <w:szCs w:val="24"/>
          <w:lang w:val="ro-RO"/>
        </w:rPr>
        <w:t>care devine în mod abrupt puternic</w:t>
      </w:r>
      <w:r w:rsidRPr="00B0165B">
        <w:rPr>
          <w:rFonts w:ascii="Times New Roman" w:hAnsi="Times New Roman" w:cs="Times New Roman"/>
          <w:sz w:val="24"/>
          <w:szCs w:val="24"/>
          <w:lang w:val="ro-RO"/>
        </w:rPr>
        <w:t xml:space="preserve"> restrictivă</w:t>
      </w:r>
      <w:r w:rsidR="006D77BD"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 xml:space="preserve">poate reduce cererea agregată și poate preveni transmiterea inflației către salarii și prețuri de bază, dar nu poate relaxa constrângerile de ofertă a energiei. În aceste condiții, o ajustare </w:t>
      </w:r>
      <w:r w:rsidR="006D77BD" w:rsidRPr="00B0165B">
        <w:rPr>
          <w:rFonts w:ascii="Times New Roman" w:hAnsi="Times New Roman" w:cs="Times New Roman"/>
          <w:sz w:val="24"/>
          <w:szCs w:val="24"/>
          <w:lang w:val="ro-RO"/>
        </w:rPr>
        <w:t xml:space="preserve">amplă </w:t>
      </w:r>
      <w:r w:rsidRPr="00B0165B">
        <w:rPr>
          <w:rFonts w:ascii="Times New Roman" w:hAnsi="Times New Roman" w:cs="Times New Roman"/>
          <w:sz w:val="24"/>
          <w:szCs w:val="24"/>
          <w:lang w:val="ro-RO"/>
        </w:rPr>
        <w:t>exclus</w:t>
      </w:r>
      <w:r w:rsidR="00FD5EE5" w:rsidRPr="00B0165B">
        <w:rPr>
          <w:rFonts w:ascii="Times New Roman" w:hAnsi="Times New Roman" w:cs="Times New Roman"/>
          <w:sz w:val="24"/>
          <w:szCs w:val="24"/>
          <w:lang w:val="ro-RO"/>
        </w:rPr>
        <w:t>iv monetară riscă mai degrabă să</w:t>
      </w:r>
      <w:r w:rsidRPr="00B0165B">
        <w:rPr>
          <w:rFonts w:ascii="Times New Roman" w:hAnsi="Times New Roman" w:cs="Times New Roman"/>
          <w:sz w:val="24"/>
          <w:szCs w:val="24"/>
          <w:lang w:val="ro-RO"/>
        </w:rPr>
        <w:t xml:space="preserve"> contribuie la acutizarea unei contracții economice decât la rezolvarea </w:t>
      </w:r>
      <w:r w:rsidR="00361A4B" w:rsidRPr="00B0165B">
        <w:rPr>
          <w:rFonts w:ascii="Times New Roman" w:hAnsi="Times New Roman" w:cs="Times New Roman"/>
          <w:sz w:val="24"/>
          <w:szCs w:val="24"/>
          <w:lang w:val="ro-RO"/>
        </w:rPr>
        <w:t xml:space="preserve">efectelor unui </w:t>
      </w:r>
      <w:r w:rsidRPr="00B0165B">
        <w:rPr>
          <w:rFonts w:ascii="Times New Roman" w:hAnsi="Times New Roman" w:cs="Times New Roman"/>
          <w:sz w:val="24"/>
          <w:szCs w:val="24"/>
          <w:lang w:val="ro-RO"/>
        </w:rPr>
        <w:t>dezechilibru</w:t>
      </w:r>
      <w:r w:rsidR="00361A4B" w:rsidRPr="00B0165B">
        <w:rPr>
          <w:rFonts w:ascii="Times New Roman" w:hAnsi="Times New Roman" w:cs="Times New Roman"/>
          <w:sz w:val="24"/>
          <w:szCs w:val="24"/>
          <w:lang w:val="ro-RO"/>
        </w:rPr>
        <w:t xml:space="preserve"> în</w:t>
      </w:r>
      <w:r w:rsidRPr="00B0165B">
        <w:rPr>
          <w:rFonts w:ascii="Times New Roman" w:hAnsi="Times New Roman" w:cs="Times New Roman"/>
          <w:sz w:val="24"/>
          <w:szCs w:val="24"/>
          <w:lang w:val="ro-RO"/>
        </w:rPr>
        <w:t xml:space="preserve"> </w:t>
      </w:r>
      <w:r w:rsidR="00361A4B" w:rsidRPr="00B0165B">
        <w:rPr>
          <w:rFonts w:ascii="Times New Roman" w:hAnsi="Times New Roman" w:cs="Times New Roman"/>
          <w:sz w:val="24"/>
          <w:szCs w:val="24"/>
          <w:lang w:val="ro-RO"/>
        </w:rPr>
        <w:t xml:space="preserve">oferta de </w:t>
      </w:r>
      <w:r w:rsidRPr="00B0165B">
        <w:rPr>
          <w:rFonts w:ascii="Times New Roman" w:hAnsi="Times New Roman" w:cs="Times New Roman"/>
          <w:sz w:val="24"/>
          <w:szCs w:val="24"/>
          <w:lang w:val="ro-RO"/>
        </w:rPr>
        <w:t>energi</w:t>
      </w:r>
      <w:r w:rsidR="00361A4B" w:rsidRPr="00B0165B">
        <w:rPr>
          <w:rFonts w:ascii="Times New Roman" w:hAnsi="Times New Roman" w:cs="Times New Roman"/>
          <w:sz w:val="24"/>
          <w:szCs w:val="24"/>
          <w:lang w:val="ro-RO"/>
        </w:rPr>
        <w:t>e</w:t>
      </w:r>
      <w:r w:rsidRPr="00B0165B">
        <w:rPr>
          <w:rFonts w:ascii="Times New Roman" w:hAnsi="Times New Roman" w:cs="Times New Roman"/>
          <w:sz w:val="24"/>
          <w:szCs w:val="24"/>
          <w:lang w:val="ro-RO"/>
        </w:rPr>
        <w:t>.</w:t>
      </w:r>
    </w:p>
    <w:p w14:paraId="0C13C871" w14:textId="3EBB738D" w:rsidR="00D2143D" w:rsidRPr="00B0165B" w:rsidRDefault="00D2143D" w:rsidP="00D2143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În același timp, contextul fiscal actual </w:t>
      </w:r>
      <w:r w:rsidR="00361A4B" w:rsidRPr="00B0165B">
        <w:rPr>
          <w:rFonts w:ascii="Times New Roman" w:hAnsi="Times New Roman" w:cs="Times New Roman"/>
          <w:sz w:val="24"/>
          <w:szCs w:val="24"/>
          <w:lang w:val="ro-RO"/>
        </w:rPr>
        <w:t xml:space="preserve">din Europa </w:t>
      </w:r>
      <w:r w:rsidRPr="00B0165B">
        <w:rPr>
          <w:rFonts w:ascii="Times New Roman" w:hAnsi="Times New Roman" w:cs="Times New Roman"/>
          <w:sz w:val="24"/>
          <w:szCs w:val="24"/>
          <w:lang w:val="ro-RO"/>
        </w:rPr>
        <w:t xml:space="preserve">diferă radical </w:t>
      </w:r>
      <w:r w:rsidR="00361A4B" w:rsidRPr="00B0165B">
        <w:rPr>
          <w:rFonts w:ascii="Times New Roman" w:hAnsi="Times New Roman" w:cs="Times New Roman"/>
          <w:sz w:val="24"/>
          <w:szCs w:val="24"/>
          <w:lang w:val="ro-RO"/>
        </w:rPr>
        <w:t>de cel specific</w:t>
      </w:r>
      <w:r w:rsidRPr="00B0165B">
        <w:rPr>
          <w:rFonts w:ascii="Times New Roman" w:hAnsi="Times New Roman" w:cs="Times New Roman"/>
          <w:sz w:val="24"/>
          <w:szCs w:val="24"/>
          <w:lang w:val="ro-RO"/>
        </w:rPr>
        <w:t xml:space="preserve"> perioad</w:t>
      </w:r>
      <w:r w:rsidR="00361A4B" w:rsidRPr="00B0165B">
        <w:rPr>
          <w:rFonts w:ascii="Times New Roman" w:hAnsi="Times New Roman" w:cs="Times New Roman"/>
          <w:sz w:val="24"/>
          <w:szCs w:val="24"/>
          <w:lang w:val="ro-RO"/>
        </w:rPr>
        <w:t>ei</w:t>
      </w:r>
      <w:r w:rsidRPr="00B0165B">
        <w:rPr>
          <w:rFonts w:ascii="Times New Roman" w:hAnsi="Times New Roman" w:cs="Times New Roman"/>
          <w:sz w:val="24"/>
          <w:szCs w:val="24"/>
          <w:lang w:val="ro-RO"/>
        </w:rPr>
        <w:t xml:space="preserve"> Volcker</w:t>
      </w:r>
      <w:r w:rsidR="00361A4B" w:rsidRPr="00B0165B">
        <w:rPr>
          <w:rFonts w:ascii="Times New Roman" w:hAnsi="Times New Roman" w:cs="Times New Roman"/>
          <w:sz w:val="24"/>
          <w:szCs w:val="24"/>
          <w:lang w:val="ro-RO"/>
        </w:rPr>
        <w:t xml:space="preserve"> în SUA</w:t>
      </w:r>
      <w:r w:rsidRPr="00B0165B">
        <w:rPr>
          <w:rFonts w:ascii="Times New Roman" w:hAnsi="Times New Roman" w:cs="Times New Roman"/>
          <w:sz w:val="24"/>
          <w:szCs w:val="24"/>
          <w:lang w:val="ro-RO"/>
        </w:rPr>
        <w:t>. Nivelurile datoriei publice sunt mult mai ridicate în multe economii europene, ceea ce limitează spațiul de manevră. Creșteri abrupte ale ratelor dobânzilor ar amplifica presiunile asupra sustenabilității fiscale</w:t>
      </w:r>
      <w:r w:rsidR="00361A4B" w:rsidRPr="00B0165B">
        <w:rPr>
          <w:rFonts w:ascii="Times New Roman" w:hAnsi="Times New Roman" w:cs="Times New Roman"/>
          <w:sz w:val="24"/>
          <w:szCs w:val="24"/>
          <w:lang w:val="ro-RO"/>
        </w:rPr>
        <w:t>,</w:t>
      </w:r>
      <w:r w:rsidRPr="00B0165B">
        <w:rPr>
          <w:rFonts w:ascii="Times New Roman" w:hAnsi="Times New Roman" w:cs="Times New Roman"/>
          <w:sz w:val="24"/>
          <w:szCs w:val="24"/>
          <w:lang w:val="ro-RO"/>
        </w:rPr>
        <w:t xml:space="preserve"> ar putea genera riscuri </w:t>
      </w:r>
      <w:r w:rsidR="00FD5EE5" w:rsidRPr="00B0165B">
        <w:rPr>
          <w:rFonts w:ascii="Times New Roman" w:hAnsi="Times New Roman" w:cs="Times New Roman"/>
          <w:sz w:val="24"/>
          <w:szCs w:val="24"/>
          <w:lang w:val="ro-RO"/>
        </w:rPr>
        <w:t>de fragmentare financiară</w:t>
      </w:r>
      <w:r w:rsidR="00361A4B" w:rsidRPr="00B0165B">
        <w:rPr>
          <w:rFonts w:ascii="Times New Roman" w:hAnsi="Times New Roman" w:cs="Times New Roman"/>
          <w:sz w:val="24"/>
          <w:szCs w:val="24"/>
          <w:lang w:val="ro-RO"/>
        </w:rPr>
        <w:t xml:space="preserve"> și destabilizare a cadrului macro-financiar</w:t>
      </w:r>
      <w:r w:rsidRPr="00B0165B">
        <w:rPr>
          <w:rFonts w:ascii="Times New Roman" w:hAnsi="Times New Roman" w:cs="Times New Roman"/>
          <w:sz w:val="24"/>
          <w:szCs w:val="24"/>
          <w:lang w:val="ro-RO"/>
        </w:rPr>
        <w:t>.</w:t>
      </w:r>
    </w:p>
    <w:p w14:paraId="02B2144F" w14:textId="77777777" w:rsidR="00965882" w:rsidRPr="00B0165B" w:rsidRDefault="00965882" w:rsidP="00D2143D">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O nouă constrângere în mixul de politici: Energy Dominance</w:t>
      </w:r>
    </w:p>
    <w:p w14:paraId="29128F5D" w14:textId="4FED19B4" w:rsidR="00D2143D" w:rsidRPr="00B0165B" w:rsidRDefault="00831A57" w:rsidP="00D2143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Din punct de vedere al contextului macroeconomic, e</w:t>
      </w:r>
      <w:r w:rsidR="00D2143D" w:rsidRPr="00B0165B">
        <w:rPr>
          <w:rFonts w:ascii="Times New Roman" w:hAnsi="Times New Roman" w:cs="Times New Roman"/>
          <w:sz w:val="24"/>
          <w:szCs w:val="24"/>
          <w:lang w:val="ro-RO"/>
        </w:rPr>
        <w:t>conomia europeană pare să se apropie de o situație care ar putea fi descrisă drept „Energy Dominance</w:t>
      </w:r>
      <w:r w:rsidR="00361A4B" w:rsidRPr="00B0165B">
        <w:rPr>
          <w:rFonts w:ascii="Times New Roman" w:hAnsi="Times New Roman" w:cs="Times New Roman"/>
          <w:sz w:val="24"/>
          <w:szCs w:val="24"/>
          <w:lang w:val="ro-RO"/>
        </w:rPr>
        <w:t>”</w:t>
      </w:r>
      <w:r w:rsidR="00D2143D" w:rsidRPr="00B0165B">
        <w:rPr>
          <w:rFonts w:ascii="Times New Roman" w:hAnsi="Times New Roman" w:cs="Times New Roman"/>
          <w:sz w:val="24"/>
          <w:szCs w:val="24"/>
          <w:lang w:val="ro-RO"/>
        </w:rPr>
        <w:t xml:space="preserve">, în care </w:t>
      </w:r>
      <w:r w:rsidRPr="00B0165B">
        <w:rPr>
          <w:rFonts w:ascii="Times New Roman" w:hAnsi="Times New Roman" w:cs="Times New Roman"/>
          <w:sz w:val="24"/>
          <w:szCs w:val="24"/>
          <w:lang w:val="ro-RO"/>
        </w:rPr>
        <w:t xml:space="preserve">este afectat spațiul de manevră al </w:t>
      </w:r>
      <w:r w:rsidR="00D2143D" w:rsidRPr="00B0165B">
        <w:rPr>
          <w:rFonts w:ascii="Times New Roman" w:hAnsi="Times New Roman" w:cs="Times New Roman"/>
          <w:sz w:val="24"/>
          <w:szCs w:val="24"/>
          <w:lang w:val="ro-RO"/>
        </w:rPr>
        <w:t>politic</w:t>
      </w:r>
      <w:r w:rsidRPr="00B0165B">
        <w:rPr>
          <w:rFonts w:ascii="Times New Roman" w:hAnsi="Times New Roman" w:cs="Times New Roman"/>
          <w:sz w:val="24"/>
          <w:szCs w:val="24"/>
          <w:lang w:val="ro-RO"/>
        </w:rPr>
        <w:t>ilor</w:t>
      </w:r>
      <w:r w:rsidR="00D2143D" w:rsidRPr="00B0165B">
        <w:rPr>
          <w:rFonts w:ascii="Times New Roman" w:hAnsi="Times New Roman" w:cs="Times New Roman"/>
          <w:sz w:val="24"/>
          <w:szCs w:val="24"/>
          <w:lang w:val="ro-RO"/>
        </w:rPr>
        <w:t xml:space="preserve"> monetar</w:t>
      </w:r>
      <w:r w:rsidRPr="00B0165B">
        <w:rPr>
          <w:rFonts w:ascii="Times New Roman" w:hAnsi="Times New Roman" w:cs="Times New Roman"/>
          <w:sz w:val="24"/>
          <w:szCs w:val="24"/>
          <w:lang w:val="ro-RO"/>
        </w:rPr>
        <w:t>e</w:t>
      </w:r>
      <w:r w:rsidR="00D2143D" w:rsidRPr="00B0165B">
        <w:rPr>
          <w:rFonts w:ascii="Times New Roman" w:hAnsi="Times New Roman" w:cs="Times New Roman"/>
          <w:sz w:val="24"/>
          <w:szCs w:val="24"/>
          <w:lang w:val="ro-RO"/>
        </w:rPr>
        <w:t xml:space="preserve"> </w:t>
      </w:r>
      <w:r w:rsidRPr="00B0165B">
        <w:rPr>
          <w:rFonts w:ascii="Times New Roman" w:hAnsi="Times New Roman" w:cs="Times New Roman"/>
          <w:sz w:val="24"/>
          <w:szCs w:val="24"/>
          <w:lang w:val="ro-RO"/>
        </w:rPr>
        <w:t>și fiscale</w:t>
      </w:r>
      <w:r w:rsidR="00D2143D" w:rsidRPr="00B0165B">
        <w:rPr>
          <w:rFonts w:ascii="Times New Roman" w:hAnsi="Times New Roman" w:cs="Times New Roman"/>
          <w:sz w:val="24"/>
          <w:szCs w:val="24"/>
          <w:lang w:val="ro-RO"/>
        </w:rPr>
        <w:t xml:space="preserve">. Crizele energetice recente sugerează apariția unei a treia constrângeri: situații în care disponibilitatea și costul energiei devin factorii dominanți ai dinamicii </w:t>
      </w:r>
      <w:r w:rsidR="00D2143D" w:rsidRPr="00B0165B">
        <w:rPr>
          <w:rFonts w:ascii="Times New Roman" w:hAnsi="Times New Roman" w:cs="Times New Roman"/>
          <w:sz w:val="24"/>
          <w:szCs w:val="24"/>
          <w:lang w:val="ro-RO"/>
        </w:rPr>
        <w:lastRenderedPageBreak/>
        <w:t>macroeconomice pe termen</w:t>
      </w:r>
      <w:r w:rsidR="00FD5EE5" w:rsidRPr="00B0165B">
        <w:rPr>
          <w:rFonts w:ascii="Times New Roman" w:hAnsi="Times New Roman" w:cs="Times New Roman"/>
          <w:sz w:val="24"/>
          <w:szCs w:val="24"/>
          <w:lang w:val="ro-RO"/>
        </w:rPr>
        <w:t xml:space="preserve"> scurt ș</w:t>
      </w:r>
      <w:r w:rsidR="00D2143D" w:rsidRPr="00B0165B">
        <w:rPr>
          <w:rFonts w:ascii="Times New Roman" w:hAnsi="Times New Roman" w:cs="Times New Roman"/>
          <w:sz w:val="24"/>
          <w:szCs w:val="24"/>
          <w:lang w:val="ro-RO"/>
        </w:rPr>
        <w:t>i mediu</w:t>
      </w:r>
      <w:r w:rsidR="009C25CD" w:rsidRPr="00B0165B">
        <w:rPr>
          <w:rFonts w:ascii="Times New Roman" w:hAnsi="Times New Roman" w:cs="Times New Roman"/>
          <w:sz w:val="24"/>
          <w:szCs w:val="24"/>
          <w:lang w:val="ro-RO"/>
        </w:rPr>
        <w:t>, precum și</w:t>
      </w:r>
      <w:r w:rsidR="00361A4B" w:rsidRPr="00B0165B">
        <w:rPr>
          <w:rFonts w:ascii="Times New Roman" w:hAnsi="Times New Roman" w:cs="Times New Roman"/>
          <w:sz w:val="24"/>
          <w:szCs w:val="24"/>
          <w:lang w:val="ro-RO"/>
        </w:rPr>
        <w:t xml:space="preserve"> condiționalități pentru eficiența politicilor monetare și fiscale</w:t>
      </w:r>
      <w:r w:rsidR="00D2143D" w:rsidRPr="00B0165B">
        <w:rPr>
          <w:rFonts w:ascii="Times New Roman" w:hAnsi="Times New Roman" w:cs="Times New Roman"/>
          <w:sz w:val="24"/>
          <w:szCs w:val="24"/>
          <w:lang w:val="ro-RO"/>
        </w:rPr>
        <w:t>.</w:t>
      </w:r>
    </w:p>
    <w:p w14:paraId="0F237719" w14:textId="217B7CD8" w:rsidR="00D2143D" w:rsidRPr="00B0165B" w:rsidRDefault="00D2143D" w:rsidP="00D2143D">
      <w:pPr>
        <w:spacing w:line="360" w:lineRule="auto"/>
        <w:jc w:val="both"/>
        <w:rPr>
          <w:rFonts w:ascii="Times New Roman" w:hAnsi="Times New Roman" w:cs="Times New Roman"/>
          <w:sz w:val="24"/>
          <w:szCs w:val="24"/>
          <w:lang w:val="ro-RO"/>
        </w:rPr>
      </w:pPr>
      <w:r w:rsidRPr="00B0165B">
        <w:rPr>
          <w:rFonts w:ascii="Times New Roman" w:hAnsi="Times New Roman" w:cs="Times New Roman"/>
          <w:sz w:val="24"/>
          <w:szCs w:val="24"/>
          <w:lang w:val="ro-RO"/>
        </w:rPr>
        <w:t xml:space="preserve">Într-un regim de Energy Dominance, </w:t>
      </w:r>
      <w:r w:rsidR="009C25CD" w:rsidRPr="00B0165B">
        <w:rPr>
          <w:rFonts w:ascii="Times New Roman" w:hAnsi="Times New Roman" w:cs="Times New Roman"/>
          <w:sz w:val="24"/>
          <w:szCs w:val="24"/>
          <w:lang w:val="ro-RO"/>
        </w:rPr>
        <w:t xml:space="preserve">majoritatea </w:t>
      </w:r>
      <w:r w:rsidRPr="00B0165B">
        <w:rPr>
          <w:rFonts w:ascii="Times New Roman" w:hAnsi="Times New Roman" w:cs="Times New Roman"/>
          <w:sz w:val="24"/>
          <w:szCs w:val="24"/>
          <w:lang w:val="ro-RO"/>
        </w:rPr>
        <w:t>instrumentel</w:t>
      </w:r>
      <w:r w:rsidR="009C25CD" w:rsidRPr="00B0165B">
        <w:rPr>
          <w:rFonts w:ascii="Times New Roman" w:hAnsi="Times New Roman" w:cs="Times New Roman"/>
          <w:sz w:val="24"/>
          <w:szCs w:val="24"/>
          <w:lang w:val="ro-RO"/>
        </w:rPr>
        <w:t>or</w:t>
      </w:r>
      <w:r w:rsidRPr="00B0165B">
        <w:rPr>
          <w:rFonts w:ascii="Times New Roman" w:hAnsi="Times New Roman" w:cs="Times New Roman"/>
          <w:sz w:val="24"/>
          <w:szCs w:val="24"/>
          <w:lang w:val="ro-RO"/>
        </w:rPr>
        <w:t xml:space="preserve"> tradiționale de stabilizare macroeconomică devin mai puțin eficiente. Politica monetară poate influența cererea, iar politica fiscală poate redistribui costurile ajustării, dar niciuna dintre ele nu poate modi</w:t>
      </w:r>
      <w:r w:rsidR="00FD5EE5" w:rsidRPr="00B0165B">
        <w:rPr>
          <w:rFonts w:ascii="Times New Roman" w:hAnsi="Times New Roman" w:cs="Times New Roman"/>
          <w:sz w:val="24"/>
          <w:szCs w:val="24"/>
          <w:lang w:val="ro-RO"/>
        </w:rPr>
        <w:t>fica rapid constrângerea fizică d</w:t>
      </w:r>
      <w:r w:rsidRPr="00B0165B">
        <w:rPr>
          <w:rFonts w:ascii="Times New Roman" w:hAnsi="Times New Roman" w:cs="Times New Roman"/>
          <w:sz w:val="24"/>
          <w:szCs w:val="24"/>
          <w:lang w:val="ro-RO"/>
        </w:rPr>
        <w:t>e infrastruct</w:t>
      </w:r>
      <w:r w:rsidR="00FD5EE5" w:rsidRPr="00B0165B">
        <w:rPr>
          <w:rFonts w:ascii="Times New Roman" w:hAnsi="Times New Roman" w:cs="Times New Roman"/>
          <w:sz w:val="24"/>
          <w:szCs w:val="24"/>
          <w:lang w:val="ro-RO"/>
        </w:rPr>
        <w:t xml:space="preserve">ură și securitate privind </w:t>
      </w:r>
      <w:r w:rsidR="00831A57" w:rsidRPr="00B0165B">
        <w:rPr>
          <w:rFonts w:ascii="Times New Roman" w:hAnsi="Times New Roman" w:cs="Times New Roman"/>
          <w:sz w:val="24"/>
          <w:szCs w:val="24"/>
          <w:lang w:val="ro-RO"/>
        </w:rPr>
        <w:t xml:space="preserve">efectele generate de </w:t>
      </w:r>
      <w:r w:rsidR="00FD5EE5" w:rsidRPr="00B0165B">
        <w:rPr>
          <w:rFonts w:ascii="Times New Roman" w:hAnsi="Times New Roman" w:cs="Times New Roman"/>
          <w:sz w:val="24"/>
          <w:szCs w:val="24"/>
          <w:lang w:val="ro-RO"/>
        </w:rPr>
        <w:t>oferta</w:t>
      </w:r>
      <w:r w:rsidRPr="00B0165B">
        <w:rPr>
          <w:rFonts w:ascii="Times New Roman" w:hAnsi="Times New Roman" w:cs="Times New Roman"/>
          <w:sz w:val="24"/>
          <w:szCs w:val="24"/>
          <w:lang w:val="ro-RO"/>
        </w:rPr>
        <w:t xml:space="preserve"> </w:t>
      </w:r>
      <w:r w:rsidR="00FD5EE5" w:rsidRPr="00B0165B">
        <w:rPr>
          <w:rFonts w:ascii="Times New Roman" w:hAnsi="Times New Roman" w:cs="Times New Roman"/>
          <w:sz w:val="24"/>
          <w:szCs w:val="24"/>
          <w:lang w:val="ro-RO"/>
        </w:rPr>
        <w:t>de energie</w:t>
      </w:r>
      <w:r w:rsidRPr="00B0165B">
        <w:rPr>
          <w:rFonts w:ascii="Times New Roman" w:hAnsi="Times New Roman" w:cs="Times New Roman"/>
          <w:sz w:val="24"/>
          <w:szCs w:val="24"/>
          <w:lang w:val="ro-RO"/>
        </w:rPr>
        <w:t>.</w:t>
      </w:r>
    </w:p>
    <w:p w14:paraId="3BA419A8" w14:textId="58505062" w:rsidR="00D2143D" w:rsidRPr="00B0165B" w:rsidRDefault="00D2143D" w:rsidP="00D2143D">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 xml:space="preserve">Această realitate </w:t>
      </w:r>
      <w:r w:rsidR="00FD5EE5" w:rsidRPr="00B0165B">
        <w:rPr>
          <w:rFonts w:ascii="Times New Roman" w:hAnsi="Times New Roman" w:cs="Times New Roman"/>
          <w:b/>
          <w:bCs/>
          <w:sz w:val="24"/>
          <w:szCs w:val="24"/>
          <w:lang w:val="ro-RO"/>
        </w:rPr>
        <w:t>influențează și poate să</w:t>
      </w:r>
      <w:r w:rsidRPr="00B0165B">
        <w:rPr>
          <w:rFonts w:ascii="Times New Roman" w:hAnsi="Times New Roman" w:cs="Times New Roman"/>
          <w:b/>
          <w:bCs/>
          <w:sz w:val="24"/>
          <w:szCs w:val="24"/>
          <w:lang w:val="ro-RO"/>
        </w:rPr>
        <w:t xml:space="preserve"> afecteze cadrul de politic</w:t>
      </w:r>
      <w:r w:rsidR="009C25CD" w:rsidRPr="00B0165B">
        <w:rPr>
          <w:rFonts w:ascii="Times New Roman" w:hAnsi="Times New Roman" w:cs="Times New Roman"/>
          <w:b/>
          <w:bCs/>
          <w:sz w:val="24"/>
          <w:szCs w:val="24"/>
          <w:lang w:val="ro-RO"/>
        </w:rPr>
        <w:t>i</w:t>
      </w:r>
      <w:r w:rsidRPr="00B0165B">
        <w:rPr>
          <w:rFonts w:ascii="Times New Roman" w:hAnsi="Times New Roman" w:cs="Times New Roman"/>
          <w:b/>
          <w:bCs/>
          <w:sz w:val="24"/>
          <w:szCs w:val="24"/>
          <w:lang w:val="ro-RO"/>
        </w:rPr>
        <w:t xml:space="preserve"> economic</w:t>
      </w:r>
      <w:r w:rsidR="009C25CD" w:rsidRPr="00B0165B">
        <w:rPr>
          <w:rFonts w:ascii="Times New Roman" w:hAnsi="Times New Roman" w:cs="Times New Roman"/>
          <w:b/>
          <w:bCs/>
          <w:sz w:val="24"/>
          <w:szCs w:val="24"/>
          <w:lang w:val="ro-RO"/>
        </w:rPr>
        <w:t>e</w:t>
      </w:r>
      <w:r w:rsidRPr="00B0165B">
        <w:rPr>
          <w:rFonts w:ascii="Times New Roman" w:hAnsi="Times New Roman" w:cs="Times New Roman"/>
          <w:b/>
          <w:bCs/>
          <w:sz w:val="24"/>
          <w:szCs w:val="24"/>
          <w:lang w:val="ro-RO"/>
        </w:rPr>
        <w:t xml:space="preserve"> al Europei.</w:t>
      </w:r>
      <w:r w:rsidRPr="00B0165B">
        <w:rPr>
          <w:rFonts w:ascii="Times New Roman" w:hAnsi="Times New Roman" w:cs="Times New Roman"/>
          <w:sz w:val="24"/>
          <w:szCs w:val="24"/>
          <w:lang w:val="ro-RO"/>
        </w:rPr>
        <w:t xml:space="preserve"> </w:t>
      </w:r>
      <w:r w:rsidR="009C25CD" w:rsidRPr="00B0165B">
        <w:rPr>
          <w:rFonts w:ascii="Times New Roman" w:hAnsi="Times New Roman" w:cs="Times New Roman"/>
          <w:b/>
          <w:bCs/>
          <w:sz w:val="24"/>
          <w:szCs w:val="24"/>
          <w:lang w:val="ro-RO"/>
        </w:rPr>
        <w:t xml:space="preserve">În noua </w:t>
      </w:r>
      <w:r w:rsidR="00831A57" w:rsidRPr="00B0165B">
        <w:rPr>
          <w:rFonts w:ascii="Times New Roman" w:hAnsi="Times New Roman" w:cs="Times New Roman"/>
          <w:b/>
          <w:bCs/>
          <w:sz w:val="24"/>
          <w:szCs w:val="24"/>
          <w:lang w:val="ro-RO"/>
        </w:rPr>
        <w:t>normalitate</w:t>
      </w:r>
      <w:r w:rsidR="009C25CD" w:rsidRPr="00B0165B">
        <w:rPr>
          <w:rFonts w:ascii="Times New Roman" w:hAnsi="Times New Roman" w:cs="Times New Roman"/>
          <w:b/>
          <w:bCs/>
          <w:sz w:val="24"/>
          <w:szCs w:val="24"/>
          <w:lang w:val="ro-RO"/>
        </w:rPr>
        <w:t xml:space="preserve">, </w:t>
      </w:r>
      <w:r w:rsidR="00831A57" w:rsidRPr="00B0165B">
        <w:rPr>
          <w:rFonts w:ascii="Times New Roman" w:hAnsi="Times New Roman" w:cs="Times New Roman"/>
          <w:b/>
          <w:bCs/>
          <w:sz w:val="24"/>
          <w:szCs w:val="24"/>
          <w:lang w:val="ro-RO"/>
        </w:rPr>
        <w:t xml:space="preserve">observăm </w:t>
      </w:r>
      <w:r w:rsidR="009C25CD" w:rsidRPr="00B0165B">
        <w:rPr>
          <w:rFonts w:ascii="Times New Roman" w:hAnsi="Times New Roman" w:cs="Times New Roman"/>
          <w:b/>
          <w:bCs/>
          <w:sz w:val="24"/>
          <w:szCs w:val="24"/>
          <w:lang w:val="ro-RO"/>
        </w:rPr>
        <w:t>că s</w:t>
      </w:r>
      <w:r w:rsidRPr="00B0165B">
        <w:rPr>
          <w:rFonts w:ascii="Times New Roman" w:hAnsi="Times New Roman" w:cs="Times New Roman"/>
          <w:b/>
          <w:bCs/>
          <w:sz w:val="24"/>
          <w:szCs w:val="24"/>
          <w:lang w:val="ro-RO"/>
        </w:rPr>
        <w:t xml:space="preserve">tabilitatea macroeconomică depinde </w:t>
      </w:r>
      <w:r w:rsidR="00A128A3" w:rsidRPr="00B0165B">
        <w:rPr>
          <w:rFonts w:ascii="Times New Roman" w:hAnsi="Times New Roman" w:cs="Times New Roman"/>
          <w:b/>
          <w:bCs/>
          <w:sz w:val="24"/>
          <w:szCs w:val="24"/>
          <w:lang w:val="ro-RO"/>
        </w:rPr>
        <w:t>(</w:t>
      </w:r>
      <w:r w:rsidR="009C25CD" w:rsidRPr="00B0165B">
        <w:rPr>
          <w:rFonts w:ascii="Times New Roman" w:hAnsi="Times New Roman" w:cs="Times New Roman"/>
          <w:b/>
          <w:bCs/>
          <w:sz w:val="24"/>
          <w:szCs w:val="24"/>
          <w:lang w:val="ro-RO"/>
        </w:rPr>
        <w:t>alături de conduita</w:t>
      </w:r>
      <w:r w:rsidRPr="00B0165B">
        <w:rPr>
          <w:rFonts w:ascii="Times New Roman" w:hAnsi="Times New Roman" w:cs="Times New Roman"/>
          <w:b/>
          <w:bCs/>
          <w:sz w:val="24"/>
          <w:szCs w:val="24"/>
          <w:lang w:val="ro-RO"/>
        </w:rPr>
        <w:t xml:space="preserve"> băncii centrale </w:t>
      </w:r>
      <w:r w:rsidR="009C25CD" w:rsidRPr="00B0165B">
        <w:rPr>
          <w:rFonts w:ascii="Times New Roman" w:hAnsi="Times New Roman" w:cs="Times New Roman"/>
          <w:b/>
          <w:bCs/>
          <w:sz w:val="24"/>
          <w:szCs w:val="24"/>
          <w:lang w:val="ro-RO"/>
        </w:rPr>
        <w:t>și</w:t>
      </w:r>
      <w:r w:rsidRPr="00B0165B">
        <w:rPr>
          <w:rFonts w:ascii="Times New Roman" w:hAnsi="Times New Roman" w:cs="Times New Roman"/>
          <w:b/>
          <w:bCs/>
          <w:sz w:val="24"/>
          <w:szCs w:val="24"/>
          <w:lang w:val="ro-RO"/>
        </w:rPr>
        <w:t xml:space="preserve"> de disciplina fiscală a guvernelor</w:t>
      </w:r>
      <w:r w:rsidR="00A128A3" w:rsidRPr="00B0165B">
        <w:rPr>
          <w:rFonts w:ascii="Times New Roman" w:hAnsi="Times New Roman" w:cs="Times New Roman"/>
          <w:b/>
          <w:bCs/>
          <w:sz w:val="24"/>
          <w:szCs w:val="24"/>
          <w:lang w:val="ro-RO"/>
        </w:rPr>
        <w:t>)</w:t>
      </w:r>
      <w:r w:rsidRPr="00B0165B">
        <w:rPr>
          <w:rFonts w:ascii="Times New Roman" w:hAnsi="Times New Roman" w:cs="Times New Roman"/>
          <w:b/>
          <w:bCs/>
          <w:sz w:val="24"/>
          <w:szCs w:val="24"/>
          <w:lang w:val="ro-RO"/>
        </w:rPr>
        <w:t>, într-o măsură tot mai mare</w:t>
      </w:r>
      <w:r w:rsidR="00A128A3" w:rsidRPr="00B0165B">
        <w:rPr>
          <w:rFonts w:ascii="Times New Roman" w:hAnsi="Times New Roman" w:cs="Times New Roman"/>
          <w:b/>
          <w:bCs/>
          <w:sz w:val="24"/>
          <w:szCs w:val="24"/>
          <w:lang w:val="ro-RO"/>
        </w:rPr>
        <w:t>,</w:t>
      </w:r>
      <w:r w:rsidRPr="00B0165B">
        <w:rPr>
          <w:rFonts w:ascii="Times New Roman" w:hAnsi="Times New Roman" w:cs="Times New Roman"/>
          <w:b/>
          <w:bCs/>
          <w:sz w:val="24"/>
          <w:szCs w:val="24"/>
          <w:lang w:val="ro-RO"/>
        </w:rPr>
        <w:t xml:space="preserve"> de viteza </w:t>
      </w:r>
      <w:r w:rsidR="00A128A3" w:rsidRPr="00B0165B">
        <w:rPr>
          <w:rFonts w:ascii="Times New Roman" w:hAnsi="Times New Roman" w:cs="Times New Roman"/>
          <w:b/>
          <w:bCs/>
          <w:sz w:val="24"/>
          <w:szCs w:val="24"/>
          <w:lang w:val="ro-RO"/>
        </w:rPr>
        <w:t xml:space="preserve">și amploarea </w:t>
      </w:r>
      <w:r w:rsidRPr="00B0165B">
        <w:rPr>
          <w:rFonts w:ascii="Times New Roman" w:hAnsi="Times New Roman" w:cs="Times New Roman"/>
          <w:b/>
          <w:bCs/>
          <w:sz w:val="24"/>
          <w:szCs w:val="24"/>
          <w:lang w:val="ro-RO"/>
        </w:rPr>
        <w:t xml:space="preserve">diversificării energetice, de flexibilitatea </w:t>
      </w:r>
      <w:r w:rsidR="00A128A3" w:rsidRPr="00B0165B">
        <w:rPr>
          <w:rFonts w:ascii="Times New Roman" w:hAnsi="Times New Roman" w:cs="Times New Roman"/>
          <w:b/>
          <w:bCs/>
          <w:sz w:val="24"/>
          <w:szCs w:val="24"/>
          <w:lang w:val="ro-RO"/>
        </w:rPr>
        <w:t xml:space="preserve">și robustețea </w:t>
      </w:r>
      <w:r w:rsidRPr="00B0165B">
        <w:rPr>
          <w:rFonts w:ascii="Times New Roman" w:hAnsi="Times New Roman" w:cs="Times New Roman"/>
          <w:b/>
          <w:bCs/>
          <w:sz w:val="24"/>
          <w:szCs w:val="24"/>
          <w:lang w:val="ro-RO"/>
        </w:rPr>
        <w:t>sistemului energetic</w:t>
      </w:r>
      <w:r w:rsidR="00A128A3" w:rsidRPr="00B0165B">
        <w:rPr>
          <w:rFonts w:ascii="Times New Roman" w:hAnsi="Times New Roman" w:cs="Times New Roman"/>
          <w:b/>
          <w:bCs/>
          <w:sz w:val="24"/>
          <w:szCs w:val="24"/>
          <w:lang w:val="ro-RO"/>
        </w:rPr>
        <w:t>, precum</w:t>
      </w:r>
      <w:r w:rsidRPr="00B0165B">
        <w:rPr>
          <w:rFonts w:ascii="Times New Roman" w:hAnsi="Times New Roman" w:cs="Times New Roman"/>
          <w:b/>
          <w:bCs/>
          <w:sz w:val="24"/>
          <w:szCs w:val="24"/>
          <w:lang w:val="ro-RO"/>
        </w:rPr>
        <w:t xml:space="preserve"> și de </w:t>
      </w:r>
      <w:r w:rsidR="00A128A3" w:rsidRPr="00B0165B">
        <w:rPr>
          <w:rFonts w:ascii="Times New Roman" w:hAnsi="Times New Roman" w:cs="Times New Roman"/>
          <w:b/>
          <w:bCs/>
          <w:sz w:val="24"/>
          <w:szCs w:val="24"/>
          <w:lang w:val="ro-RO"/>
        </w:rPr>
        <w:t>eficiența energetică</w:t>
      </w:r>
      <w:r w:rsidRPr="00B0165B">
        <w:rPr>
          <w:rFonts w:ascii="Times New Roman" w:hAnsi="Times New Roman" w:cs="Times New Roman"/>
          <w:b/>
          <w:bCs/>
          <w:sz w:val="24"/>
          <w:szCs w:val="24"/>
          <w:lang w:val="ro-RO"/>
        </w:rPr>
        <w:t xml:space="preserve"> a economiei.</w:t>
      </w:r>
      <w:r w:rsidR="00DB1E2C" w:rsidRPr="00B0165B">
        <w:rPr>
          <w:rFonts w:ascii="Times New Roman" w:hAnsi="Times New Roman" w:cs="Times New Roman"/>
          <w:b/>
          <w:bCs/>
          <w:sz w:val="24"/>
          <w:szCs w:val="24"/>
          <w:lang w:val="ro-RO"/>
        </w:rPr>
        <w:t xml:space="preserve"> </w:t>
      </w:r>
      <w:r w:rsidR="00817DEE" w:rsidRPr="00B0165B">
        <w:rPr>
          <w:rFonts w:ascii="Times New Roman" w:hAnsi="Times New Roman" w:cs="Times New Roman"/>
          <w:b/>
          <w:bCs/>
          <w:sz w:val="24"/>
          <w:szCs w:val="24"/>
          <w:lang w:val="ro-RO"/>
        </w:rPr>
        <w:t>Pentru România</w:t>
      </w:r>
      <w:r w:rsidR="00935C09" w:rsidRPr="00B0165B">
        <w:rPr>
          <w:rFonts w:ascii="Times New Roman" w:hAnsi="Times New Roman" w:cs="Times New Roman"/>
          <w:b/>
          <w:bCs/>
          <w:sz w:val="24"/>
          <w:szCs w:val="24"/>
          <w:lang w:val="ro-RO"/>
        </w:rPr>
        <w:t>,</w:t>
      </w:r>
      <w:r w:rsidR="00817DEE" w:rsidRPr="00B0165B">
        <w:rPr>
          <w:rFonts w:ascii="Times New Roman" w:hAnsi="Times New Roman" w:cs="Times New Roman"/>
          <w:b/>
          <w:bCs/>
          <w:sz w:val="24"/>
          <w:szCs w:val="24"/>
          <w:lang w:val="ro-RO"/>
        </w:rPr>
        <w:t xml:space="preserve"> acest lucru s-ar traduce prin necesitatea continuării investițiilor în infrastructura energetică</w:t>
      </w:r>
      <w:r w:rsidR="00935C09" w:rsidRPr="00B0165B">
        <w:rPr>
          <w:rFonts w:ascii="Times New Roman" w:hAnsi="Times New Roman" w:cs="Times New Roman"/>
          <w:b/>
          <w:bCs/>
          <w:sz w:val="24"/>
          <w:szCs w:val="24"/>
          <w:lang w:val="ro-RO"/>
        </w:rPr>
        <w:t xml:space="preserve"> (România beneficiind în acest moment de o bună diversificare a resurselor de producer</w:t>
      </w:r>
      <w:r w:rsidR="00831A57" w:rsidRPr="00B0165B">
        <w:rPr>
          <w:rFonts w:ascii="Times New Roman" w:hAnsi="Times New Roman" w:cs="Times New Roman"/>
          <w:b/>
          <w:bCs/>
          <w:sz w:val="24"/>
          <w:szCs w:val="24"/>
          <w:lang w:val="ro-RO"/>
        </w:rPr>
        <w:t>e</w:t>
      </w:r>
      <w:r w:rsidR="00935C09" w:rsidRPr="00B0165B">
        <w:rPr>
          <w:rFonts w:ascii="Times New Roman" w:hAnsi="Times New Roman" w:cs="Times New Roman"/>
          <w:b/>
          <w:bCs/>
          <w:sz w:val="24"/>
          <w:szCs w:val="24"/>
          <w:lang w:val="ro-RO"/>
        </w:rPr>
        <w:t xml:space="preserve"> a energiei)</w:t>
      </w:r>
      <w:r w:rsidR="00573C05" w:rsidRPr="00B0165B">
        <w:rPr>
          <w:rFonts w:ascii="Times New Roman" w:hAnsi="Times New Roman" w:cs="Times New Roman"/>
          <w:b/>
          <w:bCs/>
          <w:sz w:val="24"/>
          <w:szCs w:val="24"/>
          <w:lang w:val="ro-RO"/>
        </w:rPr>
        <w:t>,</w:t>
      </w:r>
      <w:r w:rsidR="00817DEE" w:rsidRPr="00B0165B">
        <w:rPr>
          <w:rFonts w:ascii="Times New Roman" w:hAnsi="Times New Roman" w:cs="Times New Roman"/>
          <w:b/>
          <w:bCs/>
          <w:sz w:val="24"/>
          <w:szCs w:val="24"/>
          <w:lang w:val="ro-RO"/>
        </w:rPr>
        <w:t xml:space="preserve"> îmbunătățirea și extinderea capacităților nucleare, exploatarea resurselor din Marea Neagră și</w:t>
      </w:r>
      <w:r w:rsidR="00573C05" w:rsidRPr="00B0165B">
        <w:rPr>
          <w:rFonts w:ascii="Times New Roman" w:hAnsi="Times New Roman" w:cs="Times New Roman"/>
          <w:b/>
          <w:bCs/>
          <w:sz w:val="24"/>
          <w:szCs w:val="24"/>
          <w:lang w:val="ro-RO"/>
        </w:rPr>
        <w:t>,</w:t>
      </w:r>
      <w:r w:rsidR="00817DEE" w:rsidRPr="00B0165B">
        <w:rPr>
          <w:rFonts w:ascii="Times New Roman" w:hAnsi="Times New Roman" w:cs="Times New Roman"/>
          <w:b/>
          <w:bCs/>
          <w:sz w:val="24"/>
          <w:szCs w:val="24"/>
          <w:lang w:val="ro-RO"/>
        </w:rPr>
        <w:t xml:space="preserve"> nu în ultimul rând</w:t>
      </w:r>
      <w:r w:rsidR="00573C05" w:rsidRPr="00B0165B">
        <w:rPr>
          <w:rFonts w:ascii="Times New Roman" w:hAnsi="Times New Roman" w:cs="Times New Roman"/>
          <w:b/>
          <w:bCs/>
          <w:sz w:val="24"/>
          <w:szCs w:val="24"/>
          <w:lang w:val="ro-RO"/>
        </w:rPr>
        <w:t>,</w:t>
      </w:r>
      <w:r w:rsidR="00817DEE" w:rsidRPr="00B0165B">
        <w:rPr>
          <w:rFonts w:ascii="Times New Roman" w:hAnsi="Times New Roman" w:cs="Times New Roman"/>
          <w:b/>
          <w:bCs/>
          <w:sz w:val="24"/>
          <w:szCs w:val="24"/>
          <w:lang w:val="ro-RO"/>
        </w:rPr>
        <w:t xml:space="preserve"> menținerea în prim plan a proiectelor dezvoltate utilizând energia regenerabilă. În același timp, pe termen scurt, trebuie să se acorde importanță creșterii eficienței energetice și modernizării rețelelor de transport și distribuție în vederea utilizării optime a resurselor existente.</w:t>
      </w:r>
    </w:p>
    <w:p w14:paraId="3AB3B3B9" w14:textId="1C289373" w:rsidR="00825C44" w:rsidRPr="00B0165B" w:rsidRDefault="00825C44" w:rsidP="00D2143D">
      <w:pPr>
        <w:spacing w:line="360" w:lineRule="auto"/>
        <w:jc w:val="both"/>
        <w:rPr>
          <w:rFonts w:ascii="Times New Roman" w:hAnsi="Times New Roman" w:cs="Times New Roman"/>
          <w:b/>
          <w:bCs/>
          <w:sz w:val="24"/>
          <w:szCs w:val="24"/>
          <w:lang w:val="ro-RO"/>
        </w:rPr>
      </w:pPr>
      <w:r w:rsidRPr="00B0165B">
        <w:rPr>
          <w:rFonts w:ascii="Times New Roman" w:hAnsi="Times New Roman" w:cs="Times New Roman"/>
          <w:b/>
          <w:bCs/>
          <w:sz w:val="24"/>
          <w:szCs w:val="24"/>
          <w:lang w:val="ro-RO"/>
        </w:rPr>
        <w:t>În mediul economic actual, caracterizat de tensiuni în creștere și volatilitate pe piețele internaționale, avem nevoie atât de întărirea unei alegeri strategice privind dezvoltarea independenței energetice, cât și de instrumente utilizate pentru gestiunea pe termen scurt a dezechilibrelor economice care apar. Încă o dată în istoria recentă</w:t>
      </w:r>
      <w:r w:rsidR="00573C05" w:rsidRPr="00B0165B">
        <w:rPr>
          <w:rFonts w:ascii="Times New Roman" w:hAnsi="Times New Roman" w:cs="Times New Roman"/>
          <w:b/>
          <w:bCs/>
          <w:sz w:val="24"/>
          <w:szCs w:val="24"/>
          <w:lang w:val="ro-RO"/>
        </w:rPr>
        <w:t>,</w:t>
      </w:r>
      <w:r w:rsidRPr="00B0165B">
        <w:rPr>
          <w:rFonts w:ascii="Times New Roman" w:hAnsi="Times New Roman" w:cs="Times New Roman"/>
          <w:b/>
          <w:bCs/>
          <w:sz w:val="24"/>
          <w:szCs w:val="24"/>
          <w:lang w:val="ro-RO"/>
        </w:rPr>
        <w:t xml:space="preserve"> suntem supuși unei crize care capătă dimensiuni internaționale și care afectează rețelele globale de distribuție și aprovizionare. </w:t>
      </w:r>
    </w:p>
    <w:p w14:paraId="1574DEAA" w14:textId="3166F811" w:rsidR="00817DEE" w:rsidRPr="00B85733" w:rsidRDefault="00817DEE" w:rsidP="00A128A3">
      <w:pPr>
        <w:spacing w:line="360" w:lineRule="auto"/>
        <w:jc w:val="both"/>
        <w:rPr>
          <w:rFonts w:ascii="Times New Roman" w:hAnsi="Times New Roman" w:cs="Times New Roman"/>
          <w:sz w:val="24"/>
          <w:szCs w:val="24"/>
          <w:lang w:val="ro-RO"/>
        </w:rPr>
      </w:pPr>
    </w:p>
    <w:sectPr w:rsidR="00817DEE" w:rsidRPr="00B85733" w:rsidSect="0092674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D70C" w14:textId="77777777" w:rsidR="00DB2B66" w:rsidRDefault="00DB2B66" w:rsidP="00926740">
      <w:pPr>
        <w:spacing w:after="0" w:line="240" w:lineRule="auto"/>
      </w:pPr>
      <w:r>
        <w:separator/>
      </w:r>
    </w:p>
  </w:endnote>
  <w:endnote w:type="continuationSeparator" w:id="0">
    <w:p w14:paraId="5EC26996" w14:textId="77777777" w:rsidR="00DB2B66" w:rsidRDefault="00DB2B66" w:rsidP="0092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5BE2" w14:textId="77777777" w:rsidR="00A93F50" w:rsidRDefault="00A9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561566"/>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Content>
          <w:p w14:paraId="7ACBA943" w14:textId="4E152D31" w:rsidR="00926740" w:rsidRPr="00A93F50" w:rsidRDefault="00926740" w:rsidP="00A93F50">
            <w:pPr>
              <w:pStyle w:val="Footer"/>
              <w:jc w:val="center"/>
              <w:rPr>
                <w:sz w:val="20"/>
                <w:szCs w:val="20"/>
              </w:rPr>
            </w:pPr>
            <w:r w:rsidRPr="00A93F50">
              <w:rPr>
                <w:rFonts w:cs="Calibri"/>
                <w:sz w:val="20"/>
                <w:szCs w:val="20"/>
              </w:rPr>
              <w:fldChar w:fldCharType="begin"/>
            </w:r>
            <w:r w:rsidRPr="00A93F50">
              <w:rPr>
                <w:rFonts w:cs="Calibri"/>
                <w:sz w:val="20"/>
                <w:szCs w:val="20"/>
              </w:rPr>
              <w:instrText xml:space="preserve"> PAGE </w:instrText>
            </w:r>
            <w:r w:rsidRPr="00A93F50">
              <w:rPr>
                <w:rFonts w:cs="Calibri"/>
                <w:sz w:val="20"/>
                <w:szCs w:val="20"/>
              </w:rPr>
              <w:fldChar w:fldCharType="separate"/>
            </w:r>
            <w:r w:rsidR="009B2CFE">
              <w:rPr>
                <w:rFonts w:cs="Calibri"/>
                <w:noProof/>
                <w:sz w:val="20"/>
                <w:szCs w:val="20"/>
              </w:rPr>
              <w:t>4</w:t>
            </w:r>
            <w:r w:rsidRPr="00A93F50">
              <w:rPr>
                <w:rFonts w:cs="Calibri"/>
                <w:sz w:val="20"/>
                <w:szCs w:val="20"/>
              </w:rPr>
              <w:fldChar w:fldCharType="end"/>
            </w:r>
            <w:r w:rsidRPr="00A93F50">
              <w:rPr>
                <w:rFonts w:cs="Calibri"/>
                <w:sz w:val="20"/>
                <w:szCs w:val="20"/>
              </w:rPr>
              <w:t>/</w:t>
            </w:r>
            <w:r w:rsidRPr="00A93F50">
              <w:rPr>
                <w:rFonts w:cs="Calibri"/>
                <w:sz w:val="20"/>
                <w:szCs w:val="20"/>
              </w:rPr>
              <w:fldChar w:fldCharType="begin"/>
            </w:r>
            <w:r w:rsidRPr="00A93F50">
              <w:rPr>
                <w:rFonts w:cs="Calibri"/>
                <w:sz w:val="20"/>
                <w:szCs w:val="20"/>
              </w:rPr>
              <w:instrText xml:space="preserve"> NUMPAGES  </w:instrText>
            </w:r>
            <w:r w:rsidRPr="00A93F50">
              <w:rPr>
                <w:rFonts w:cs="Calibri"/>
                <w:sz w:val="20"/>
                <w:szCs w:val="20"/>
              </w:rPr>
              <w:fldChar w:fldCharType="separate"/>
            </w:r>
            <w:r w:rsidR="009B2CFE">
              <w:rPr>
                <w:rFonts w:cs="Calibri"/>
                <w:noProof/>
                <w:sz w:val="20"/>
                <w:szCs w:val="20"/>
              </w:rPr>
              <w:t>5</w:t>
            </w:r>
            <w:r w:rsidRPr="00A93F50">
              <w:rPr>
                <w:rFonts w:cs="Calibri"/>
                <w:sz w:val="20"/>
                <w:szCs w:val="20"/>
              </w:rPr>
              <w:fldChar w:fldCharType="end"/>
            </w:r>
            <w:r w:rsidR="00A93F50">
              <w:rPr>
                <w:rFonts w:cs="Calibri"/>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BAE4" w14:textId="77777777" w:rsidR="00A93F50" w:rsidRDefault="00A9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A0F2" w14:textId="77777777" w:rsidR="00DB2B66" w:rsidRDefault="00DB2B66" w:rsidP="00926740">
      <w:pPr>
        <w:spacing w:after="0" w:line="240" w:lineRule="auto"/>
      </w:pPr>
      <w:r>
        <w:separator/>
      </w:r>
    </w:p>
  </w:footnote>
  <w:footnote w:type="continuationSeparator" w:id="0">
    <w:p w14:paraId="4DDD24DC" w14:textId="77777777" w:rsidR="00DB2B66" w:rsidRDefault="00DB2B66" w:rsidP="0092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897" w14:textId="4E8D51F0" w:rsidR="00A93F50" w:rsidRDefault="00A9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6AF6" w14:textId="1F926730" w:rsidR="00A93F50" w:rsidRPr="00A93F50" w:rsidRDefault="00A93F50">
    <w:pPr>
      <w:pStyle w:val="Header"/>
      <w:rPr>
        <w:rFonts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2F28" w14:textId="0F753C2E" w:rsidR="00A93F50" w:rsidRDefault="00A9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A29"/>
    <w:multiLevelType w:val="hybridMultilevel"/>
    <w:tmpl w:val="A8B6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D4AC1"/>
    <w:multiLevelType w:val="hybridMultilevel"/>
    <w:tmpl w:val="013E0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72FDE"/>
    <w:multiLevelType w:val="hybridMultilevel"/>
    <w:tmpl w:val="251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25EEB"/>
    <w:multiLevelType w:val="hybridMultilevel"/>
    <w:tmpl w:val="72C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843B1"/>
    <w:multiLevelType w:val="hybridMultilevel"/>
    <w:tmpl w:val="640CA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0160535">
    <w:abstractNumId w:val="0"/>
  </w:num>
  <w:num w:numId="2" w16cid:durableId="860896847">
    <w:abstractNumId w:val="4"/>
  </w:num>
  <w:num w:numId="3" w16cid:durableId="1455904963">
    <w:abstractNumId w:val="2"/>
  </w:num>
  <w:num w:numId="4" w16cid:durableId="1090347669">
    <w:abstractNumId w:val="1"/>
  </w:num>
  <w:num w:numId="5" w16cid:durableId="1812290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9B"/>
    <w:rsid w:val="00025A77"/>
    <w:rsid w:val="00035E72"/>
    <w:rsid w:val="000652D0"/>
    <w:rsid w:val="000F4844"/>
    <w:rsid w:val="00151058"/>
    <w:rsid w:val="001666E1"/>
    <w:rsid w:val="001D18B7"/>
    <w:rsid w:val="00213EFE"/>
    <w:rsid w:val="002157BC"/>
    <w:rsid w:val="00285772"/>
    <w:rsid w:val="002C5198"/>
    <w:rsid w:val="002E1E45"/>
    <w:rsid w:val="00361A4B"/>
    <w:rsid w:val="003637AD"/>
    <w:rsid w:val="003A2E10"/>
    <w:rsid w:val="003A494D"/>
    <w:rsid w:val="003B783E"/>
    <w:rsid w:val="00402743"/>
    <w:rsid w:val="00414F73"/>
    <w:rsid w:val="004354B3"/>
    <w:rsid w:val="004408AD"/>
    <w:rsid w:val="004717B6"/>
    <w:rsid w:val="00482C55"/>
    <w:rsid w:val="004C3660"/>
    <w:rsid w:val="00505A6E"/>
    <w:rsid w:val="00573C05"/>
    <w:rsid w:val="00593AA8"/>
    <w:rsid w:val="005C20F7"/>
    <w:rsid w:val="005D626B"/>
    <w:rsid w:val="005D7C33"/>
    <w:rsid w:val="00627735"/>
    <w:rsid w:val="0065323E"/>
    <w:rsid w:val="006618AF"/>
    <w:rsid w:val="006950E2"/>
    <w:rsid w:val="006A39DC"/>
    <w:rsid w:val="006D65D0"/>
    <w:rsid w:val="006D77BD"/>
    <w:rsid w:val="006E08A0"/>
    <w:rsid w:val="0072036F"/>
    <w:rsid w:val="007225FC"/>
    <w:rsid w:val="00736CD2"/>
    <w:rsid w:val="007403EA"/>
    <w:rsid w:val="007470E9"/>
    <w:rsid w:val="0074728B"/>
    <w:rsid w:val="00761CC4"/>
    <w:rsid w:val="007C4650"/>
    <w:rsid w:val="00811DDD"/>
    <w:rsid w:val="00817DEE"/>
    <w:rsid w:val="00825C44"/>
    <w:rsid w:val="00831A57"/>
    <w:rsid w:val="00865AC9"/>
    <w:rsid w:val="00885CF0"/>
    <w:rsid w:val="0089033F"/>
    <w:rsid w:val="008C209B"/>
    <w:rsid w:val="008C29CA"/>
    <w:rsid w:val="00926740"/>
    <w:rsid w:val="0092731C"/>
    <w:rsid w:val="00935C09"/>
    <w:rsid w:val="00965882"/>
    <w:rsid w:val="00996278"/>
    <w:rsid w:val="00996A00"/>
    <w:rsid w:val="009A5758"/>
    <w:rsid w:val="009B2CFE"/>
    <w:rsid w:val="009C25CD"/>
    <w:rsid w:val="009D299F"/>
    <w:rsid w:val="009D54AD"/>
    <w:rsid w:val="009D6AC5"/>
    <w:rsid w:val="009D7E8B"/>
    <w:rsid w:val="009F4B68"/>
    <w:rsid w:val="00A128A3"/>
    <w:rsid w:val="00A71754"/>
    <w:rsid w:val="00A85391"/>
    <w:rsid w:val="00A93F50"/>
    <w:rsid w:val="00AA5DD2"/>
    <w:rsid w:val="00AD1442"/>
    <w:rsid w:val="00B0165B"/>
    <w:rsid w:val="00B12536"/>
    <w:rsid w:val="00B17ABC"/>
    <w:rsid w:val="00B242B6"/>
    <w:rsid w:val="00B41CA9"/>
    <w:rsid w:val="00B60617"/>
    <w:rsid w:val="00B85733"/>
    <w:rsid w:val="00BB0B07"/>
    <w:rsid w:val="00C1324C"/>
    <w:rsid w:val="00C55A2D"/>
    <w:rsid w:val="00D10498"/>
    <w:rsid w:val="00D2143D"/>
    <w:rsid w:val="00D93F3C"/>
    <w:rsid w:val="00DA6CA5"/>
    <w:rsid w:val="00DB1E2C"/>
    <w:rsid w:val="00DB2B66"/>
    <w:rsid w:val="00E60AD7"/>
    <w:rsid w:val="00E75D1D"/>
    <w:rsid w:val="00EC32A8"/>
    <w:rsid w:val="00EE6AA1"/>
    <w:rsid w:val="00EF0777"/>
    <w:rsid w:val="00EF55CC"/>
    <w:rsid w:val="00F10C88"/>
    <w:rsid w:val="00F1129F"/>
    <w:rsid w:val="00F309C0"/>
    <w:rsid w:val="00F771E5"/>
    <w:rsid w:val="00F91C8F"/>
    <w:rsid w:val="00FD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99F8"/>
  <w15:chartTrackingRefBased/>
  <w15:docId w15:val="{D7F7F2FF-9606-402C-869E-9DB10474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4C"/>
    <w:pPr>
      <w:spacing w:after="200" w:line="276" w:lineRule="auto"/>
    </w:pPr>
    <w:rPr>
      <w:rFonts w:eastAsiaTheme="minorEastAsia"/>
    </w:rPr>
  </w:style>
  <w:style w:type="paragraph" w:styleId="Heading1">
    <w:name w:val="heading 1"/>
    <w:basedOn w:val="Normal"/>
    <w:next w:val="Normal"/>
    <w:link w:val="Heading1Char"/>
    <w:uiPriority w:val="9"/>
    <w:qFormat/>
    <w:rsid w:val="008C209B"/>
    <w:pPr>
      <w:keepNext/>
      <w:keepLines/>
      <w:spacing w:before="360" w:after="80" w:line="288" w:lineRule="auto"/>
      <w:jc w:val="both"/>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09B"/>
    <w:pPr>
      <w:keepNext/>
      <w:keepLines/>
      <w:spacing w:before="160" w:after="80" w:line="288" w:lineRule="auto"/>
      <w:jc w:val="both"/>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09B"/>
    <w:pPr>
      <w:keepNext/>
      <w:keepLines/>
      <w:spacing w:before="160" w:after="80" w:line="288" w:lineRule="auto"/>
      <w:jc w:val="both"/>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09B"/>
    <w:pPr>
      <w:keepNext/>
      <w:keepLines/>
      <w:spacing w:before="80" w:after="40" w:line="288" w:lineRule="auto"/>
      <w:jc w:val="both"/>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8C209B"/>
    <w:pPr>
      <w:keepNext/>
      <w:keepLines/>
      <w:spacing w:before="80" w:after="40" w:line="288" w:lineRule="auto"/>
      <w:jc w:val="both"/>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8C209B"/>
    <w:pPr>
      <w:keepNext/>
      <w:keepLines/>
      <w:spacing w:before="40" w:after="0" w:line="288" w:lineRule="auto"/>
      <w:jc w:val="both"/>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C209B"/>
    <w:pPr>
      <w:keepNext/>
      <w:keepLines/>
      <w:spacing w:before="40" w:after="0" w:line="288" w:lineRule="auto"/>
      <w:jc w:val="both"/>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C209B"/>
    <w:pPr>
      <w:keepNext/>
      <w:keepLines/>
      <w:spacing w:after="0" w:line="288" w:lineRule="auto"/>
      <w:jc w:val="both"/>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C209B"/>
    <w:pPr>
      <w:keepNext/>
      <w:keepLines/>
      <w:spacing w:after="0" w:line="288" w:lineRule="auto"/>
      <w:jc w:val="both"/>
      <w:outlineLvl w:val="8"/>
    </w:pPr>
    <w:rPr>
      <w:rFonts w:eastAsiaTheme="majorEastAsia" w:cstheme="majorBid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spacing w:after="0" w:line="240" w:lineRule="auto"/>
      <w:jc w:val="both"/>
    </w:pPr>
    <w:rPr>
      <w:rFonts w:ascii="Calibri" w:eastAsiaTheme="minorHAnsi" w:hAnsi="Calibri"/>
      <w:sz w:val="24"/>
    </w:r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jc w:val="both"/>
    </w:pPr>
    <w:rPr>
      <w:rFonts w:ascii="Calibri" w:eastAsiaTheme="minorHAnsi" w:hAnsi="Calibri"/>
      <w:sz w:val="24"/>
    </w:r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AA5DD2"/>
    <w:pPr>
      <w:spacing w:after="60" w:line="288" w:lineRule="auto"/>
      <w:ind w:left="720"/>
      <w:contextualSpacing/>
    </w:pPr>
    <w:rPr>
      <w:rFonts w:ascii="Calibri" w:eastAsiaTheme="minorHAnsi" w:hAnsi="Calibri"/>
      <w:sz w:val="24"/>
    </w:rPr>
  </w:style>
  <w:style w:type="paragraph" w:styleId="Title">
    <w:name w:val="Title"/>
    <w:basedOn w:val="Normal"/>
    <w:next w:val="Normal"/>
    <w:link w:val="TitleChar"/>
    <w:uiPriority w:val="10"/>
    <w:qFormat/>
    <w:rsid w:val="00AD1442"/>
    <w:pPr>
      <w:spacing w:after="0" w:line="240" w:lineRule="auto"/>
      <w:contextualSpacing/>
      <w:jc w:val="both"/>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8C2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09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8C209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8C209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C209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C209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C209B"/>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8C209B"/>
    <w:pPr>
      <w:numPr>
        <w:ilvl w:val="1"/>
      </w:numPr>
      <w:spacing w:after="160" w:line="288" w:lineRule="auto"/>
      <w:jc w:val="both"/>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09B"/>
    <w:pPr>
      <w:spacing w:before="160" w:after="160" w:line="288" w:lineRule="auto"/>
      <w:jc w:val="center"/>
    </w:pPr>
    <w:rPr>
      <w:rFonts w:ascii="Calibri" w:eastAsiaTheme="minorHAnsi" w:hAnsi="Calibri"/>
      <w:i/>
      <w:iCs/>
      <w:color w:val="404040" w:themeColor="text1" w:themeTint="BF"/>
      <w:sz w:val="24"/>
    </w:rPr>
  </w:style>
  <w:style w:type="character" w:customStyle="1" w:styleId="QuoteChar">
    <w:name w:val="Quote Char"/>
    <w:basedOn w:val="DefaultParagraphFont"/>
    <w:link w:val="Quote"/>
    <w:uiPriority w:val="29"/>
    <w:rsid w:val="008C209B"/>
    <w:rPr>
      <w:rFonts w:ascii="Calibri" w:hAnsi="Calibri"/>
      <w:i/>
      <w:iCs/>
      <w:color w:val="404040" w:themeColor="text1" w:themeTint="BF"/>
      <w:sz w:val="24"/>
    </w:rPr>
  </w:style>
  <w:style w:type="character" w:styleId="IntenseEmphasis">
    <w:name w:val="Intense Emphasis"/>
    <w:basedOn w:val="DefaultParagraphFont"/>
    <w:uiPriority w:val="21"/>
    <w:qFormat/>
    <w:rsid w:val="008C209B"/>
    <w:rPr>
      <w:i/>
      <w:iCs/>
      <w:color w:val="2F5496" w:themeColor="accent1" w:themeShade="BF"/>
    </w:rPr>
  </w:style>
  <w:style w:type="paragraph" w:styleId="IntenseQuote">
    <w:name w:val="Intense Quote"/>
    <w:basedOn w:val="Normal"/>
    <w:next w:val="Normal"/>
    <w:link w:val="IntenseQuoteChar"/>
    <w:uiPriority w:val="30"/>
    <w:qFormat/>
    <w:rsid w:val="008C209B"/>
    <w:pPr>
      <w:pBdr>
        <w:top w:val="single" w:sz="4" w:space="10" w:color="2F5496" w:themeColor="accent1" w:themeShade="BF"/>
        <w:bottom w:val="single" w:sz="4" w:space="10" w:color="2F5496" w:themeColor="accent1" w:themeShade="BF"/>
      </w:pBdr>
      <w:spacing w:before="360" w:after="360" w:line="288" w:lineRule="auto"/>
      <w:ind w:left="864" w:right="864"/>
      <w:jc w:val="center"/>
    </w:pPr>
    <w:rPr>
      <w:rFonts w:ascii="Calibri" w:eastAsiaTheme="minorHAnsi" w:hAnsi="Calibri"/>
      <w:i/>
      <w:iCs/>
      <w:color w:val="2F5496" w:themeColor="accent1" w:themeShade="BF"/>
      <w:sz w:val="24"/>
    </w:rPr>
  </w:style>
  <w:style w:type="character" w:customStyle="1" w:styleId="IntenseQuoteChar">
    <w:name w:val="Intense Quote Char"/>
    <w:basedOn w:val="DefaultParagraphFont"/>
    <w:link w:val="IntenseQuote"/>
    <w:uiPriority w:val="30"/>
    <w:rsid w:val="008C209B"/>
    <w:rPr>
      <w:rFonts w:ascii="Calibri" w:hAnsi="Calibri"/>
      <w:i/>
      <w:iCs/>
      <w:color w:val="2F5496" w:themeColor="accent1" w:themeShade="BF"/>
      <w:sz w:val="24"/>
    </w:rPr>
  </w:style>
  <w:style w:type="character" w:styleId="IntenseReference">
    <w:name w:val="Intense Reference"/>
    <w:basedOn w:val="DefaultParagraphFont"/>
    <w:uiPriority w:val="32"/>
    <w:qFormat/>
    <w:rsid w:val="008C2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CD249-2622-483C-9C07-E35EB508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2121</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Radu Armand</cp:lastModifiedBy>
  <cp:revision>3</cp:revision>
  <cp:lastPrinted>2026-03-22T16:52:00Z</cp:lastPrinted>
  <dcterms:created xsi:type="dcterms:W3CDTF">2026-03-23T10:11:00Z</dcterms:created>
  <dcterms:modified xsi:type="dcterms:W3CDTF">2026-03-23T10:12:00Z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5b6ce484-c6f5-4c56-95c4-b3b3f66d72ed</vt:lpwstr>
  </property>
  <property fmtid="{D5CDD505-2E9C-101B-9397-08002B2CF9AE}" pid="3" name="MSIP_Label_d4854e4d-cbd9-4add-afce-3efecf8cc4fb_Enabled">
    <vt:lpwstr>true</vt:lpwstr>
  </property>
  <property fmtid="{D5CDD505-2E9C-101B-9397-08002B2CF9AE}" pid="4" name="MSIP_Label_d4854e4d-cbd9-4add-afce-3efecf8cc4fb_SetDate">
    <vt:lpwstr>2026-03-23T07:20:44Z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f4f32ab4-d3ce-4c8d-ae53-c68f508c0c89</vt:lpwstr>
  </property>
  <property fmtid="{D5CDD505-2E9C-101B-9397-08002B2CF9AE}" pid="9" name="MSIP_Label_d4854e4d-cbd9-4add-afce-3efecf8cc4fb_ContentBits">
    <vt:lpwstr>0</vt:lpwstr>
  </property>
  <property fmtid="{D5CDD505-2E9C-101B-9397-08002B2CF9AE}" pid="10" name="MSIP_Label_d4854e4d-cbd9-4add-afce-3efecf8cc4fb_Tag">
    <vt:lpwstr>10, 0, 1, 1</vt:lpwstr>
  </property>
</Properties>
</file>