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6D8A1" w14:textId="744EC913" w:rsidR="0088679C" w:rsidRPr="00834B27" w:rsidRDefault="000D4B0D" w:rsidP="00FA68DC">
      <w:pPr>
        <w:pStyle w:val="Titlu"/>
        <w:rPr>
          <w:rFonts w:ascii="Calibri" w:hAnsi="Calibri" w:cs="Calibri"/>
          <w:color w:val="0070C0"/>
          <w:lang w:val="ro-RO"/>
        </w:rPr>
      </w:pPr>
      <w:r w:rsidRPr="00834B27">
        <w:rPr>
          <w:rFonts w:ascii="Calibri" w:hAnsi="Calibri" w:cs="Calibri"/>
          <w:color w:val="0070C0"/>
          <w:lang w:val="ro-RO"/>
        </w:rPr>
        <w:t>STUDIU CU PRIVIRE LA IMPOZITAREA VENITURILOR OB</w:t>
      </w:r>
      <w:r w:rsidR="00D77C4B" w:rsidRPr="00834B27">
        <w:rPr>
          <w:rFonts w:ascii="Calibri" w:hAnsi="Calibri" w:cs="Calibri"/>
          <w:color w:val="0070C0"/>
          <w:lang w:val="ro-RO"/>
        </w:rPr>
        <w:t>Ț</w:t>
      </w:r>
      <w:r w:rsidRPr="00834B27">
        <w:rPr>
          <w:rFonts w:ascii="Calibri" w:hAnsi="Calibri" w:cs="Calibri"/>
          <w:color w:val="0070C0"/>
          <w:lang w:val="ro-RO"/>
        </w:rPr>
        <w:t>INUTE DE PERSOANE FIZICE</w:t>
      </w:r>
    </w:p>
    <w:p w14:paraId="57EB2240" w14:textId="3B32DB9C" w:rsidR="000D4B0D" w:rsidRPr="00834B27" w:rsidRDefault="00FA68DC" w:rsidP="00FA68DC">
      <w:pPr>
        <w:pStyle w:val="Titlu"/>
        <w:rPr>
          <w:rFonts w:ascii="Calibri" w:hAnsi="Calibri" w:cs="Calibri"/>
          <w:color w:val="0070C0"/>
          <w:sz w:val="40"/>
          <w:szCs w:val="40"/>
          <w:lang w:val="ro-RO"/>
        </w:rPr>
      </w:pPr>
      <w:r w:rsidRPr="00834B27">
        <w:rPr>
          <w:rFonts w:ascii="Calibri" w:hAnsi="Calibri" w:cs="Calibri"/>
          <w:color w:val="0070C0"/>
          <w:sz w:val="40"/>
          <w:szCs w:val="40"/>
          <w:lang w:val="ro-RO"/>
        </w:rPr>
        <w:t xml:space="preserve">- </w:t>
      </w:r>
      <w:r w:rsidR="000D4B0D" w:rsidRPr="00834B27">
        <w:rPr>
          <w:rFonts w:ascii="Calibri" w:hAnsi="Calibri" w:cs="Calibri"/>
          <w:color w:val="0070C0"/>
          <w:sz w:val="40"/>
          <w:szCs w:val="40"/>
          <w:lang w:val="ro-RO"/>
        </w:rPr>
        <w:t>SITUA</w:t>
      </w:r>
      <w:r w:rsidR="00D77C4B" w:rsidRPr="00834B27">
        <w:rPr>
          <w:rFonts w:ascii="Calibri" w:hAnsi="Calibri" w:cs="Calibri"/>
          <w:color w:val="0070C0"/>
          <w:sz w:val="40"/>
          <w:szCs w:val="40"/>
          <w:lang w:val="ro-RO"/>
        </w:rPr>
        <w:t>Ț</w:t>
      </w:r>
      <w:r w:rsidR="000D4B0D" w:rsidRPr="00834B27">
        <w:rPr>
          <w:rFonts w:ascii="Calibri" w:hAnsi="Calibri" w:cs="Calibri"/>
          <w:color w:val="0070C0"/>
          <w:sz w:val="40"/>
          <w:szCs w:val="40"/>
          <w:lang w:val="ro-RO"/>
        </w:rPr>
        <w:t>IA ACTUAL</w:t>
      </w:r>
      <w:r w:rsidR="00C90E84" w:rsidRPr="00834B27">
        <w:rPr>
          <w:rFonts w:ascii="Calibri" w:hAnsi="Calibri" w:cs="Calibri"/>
          <w:color w:val="0070C0"/>
          <w:sz w:val="40"/>
          <w:szCs w:val="40"/>
          <w:lang w:val="ro-RO"/>
        </w:rPr>
        <w:t>Ă</w:t>
      </w:r>
      <w:r w:rsidR="000D4B0D" w:rsidRPr="00834B27">
        <w:rPr>
          <w:rFonts w:ascii="Calibri" w:hAnsi="Calibri" w:cs="Calibri"/>
          <w:color w:val="0070C0"/>
          <w:sz w:val="40"/>
          <w:szCs w:val="40"/>
          <w:lang w:val="ro-RO"/>
        </w:rPr>
        <w:t xml:space="preserve">. </w:t>
      </w:r>
      <w:r w:rsidR="00AB0EBC" w:rsidRPr="00834B27">
        <w:rPr>
          <w:rFonts w:ascii="Calibri" w:hAnsi="Calibri" w:cs="Calibri"/>
          <w:color w:val="0070C0"/>
          <w:sz w:val="40"/>
          <w:szCs w:val="40"/>
          <w:lang w:val="ro-RO"/>
        </w:rPr>
        <w:t xml:space="preserve">SCENARII </w:t>
      </w:r>
      <w:r w:rsidR="002E2FE4" w:rsidRPr="00834B27">
        <w:rPr>
          <w:rFonts w:ascii="Calibri" w:hAnsi="Calibri" w:cs="Calibri"/>
          <w:color w:val="0070C0"/>
          <w:sz w:val="40"/>
          <w:szCs w:val="40"/>
          <w:lang w:val="ro-RO"/>
        </w:rPr>
        <w:t>PENTRU</w:t>
      </w:r>
      <w:r w:rsidR="000D4B0D" w:rsidRPr="00834B27">
        <w:rPr>
          <w:rFonts w:ascii="Calibri" w:hAnsi="Calibri" w:cs="Calibri"/>
          <w:color w:val="0070C0"/>
          <w:sz w:val="40"/>
          <w:szCs w:val="40"/>
          <w:lang w:val="ro-RO"/>
        </w:rPr>
        <w:t xml:space="preserve"> REFORM</w:t>
      </w:r>
      <w:r w:rsidR="00C90E84" w:rsidRPr="00834B27">
        <w:rPr>
          <w:rFonts w:ascii="Calibri" w:hAnsi="Calibri" w:cs="Calibri"/>
          <w:color w:val="0070C0"/>
          <w:sz w:val="40"/>
          <w:szCs w:val="40"/>
          <w:lang w:val="ro-RO"/>
        </w:rPr>
        <w:t>Ă</w:t>
      </w:r>
      <w:r w:rsidR="000D4B0D" w:rsidRPr="00834B27">
        <w:rPr>
          <w:rFonts w:ascii="Calibri" w:hAnsi="Calibri" w:cs="Calibri"/>
          <w:color w:val="0070C0"/>
          <w:sz w:val="40"/>
          <w:szCs w:val="40"/>
          <w:lang w:val="ro-RO"/>
        </w:rPr>
        <w:t xml:space="preserve"> –</w:t>
      </w:r>
    </w:p>
    <w:p w14:paraId="197599FF" w14:textId="77777777" w:rsidR="000D4B0D" w:rsidRPr="00834B27" w:rsidRDefault="000D4B0D" w:rsidP="00B91E74">
      <w:pPr>
        <w:spacing w:line="276" w:lineRule="auto"/>
        <w:jc w:val="both"/>
        <w:rPr>
          <w:rFonts w:ascii="Calibri" w:hAnsi="Calibri" w:cs="Calibri"/>
          <w:lang w:val="ro-RO"/>
        </w:rPr>
      </w:pPr>
    </w:p>
    <w:p w14:paraId="29BBDA67" w14:textId="699EF0BF" w:rsidR="000D4B0D" w:rsidRPr="00834B27" w:rsidRDefault="002660C6" w:rsidP="002660C6">
      <w:pPr>
        <w:spacing w:line="276" w:lineRule="auto"/>
        <w:rPr>
          <w:rFonts w:ascii="Calibri" w:hAnsi="Calibri" w:cs="Calibri"/>
          <w:b/>
          <w:bCs/>
          <w:lang w:val="ro-RO"/>
        </w:rPr>
      </w:pPr>
      <w:r w:rsidRPr="00834B27">
        <w:rPr>
          <w:rFonts w:ascii="Calibri" w:hAnsi="Calibri" w:cs="Calibri"/>
          <w:b/>
          <w:bCs/>
          <w:lang w:val="ro-RO"/>
        </w:rPr>
        <w:t>Cu</w:t>
      </w:r>
      <w:r w:rsidR="000D4B0D" w:rsidRPr="00834B27">
        <w:rPr>
          <w:rFonts w:ascii="Calibri" w:hAnsi="Calibri" w:cs="Calibri"/>
          <w:b/>
          <w:bCs/>
          <w:lang w:val="ro-RO"/>
        </w:rPr>
        <w:t>prins</w:t>
      </w:r>
    </w:p>
    <w:sdt>
      <w:sdtPr>
        <w:rPr>
          <w:rFonts w:ascii="Calibri" w:eastAsiaTheme="minorHAnsi" w:hAnsi="Calibri" w:cs="Calibri"/>
          <w:color w:val="auto"/>
          <w:kern w:val="2"/>
          <w:sz w:val="20"/>
          <w:szCs w:val="20"/>
          <w:lang w:val="ro-RO"/>
          <w14:ligatures w14:val="standardContextual"/>
        </w:rPr>
        <w:id w:val="-1708319154"/>
        <w:docPartObj>
          <w:docPartGallery w:val="Table of Contents"/>
          <w:docPartUnique/>
        </w:docPartObj>
      </w:sdtPr>
      <w:sdtEndPr>
        <w:rPr>
          <w:b/>
          <w:bCs/>
        </w:rPr>
      </w:sdtEndPr>
      <w:sdtContent>
        <w:p w14:paraId="398D82BF" w14:textId="4495682B" w:rsidR="009F2FDA" w:rsidRPr="00834B27" w:rsidRDefault="009F2FDA" w:rsidP="00957582">
          <w:pPr>
            <w:pStyle w:val="Titlucuprins"/>
            <w:spacing w:before="0"/>
            <w:rPr>
              <w:rFonts w:ascii="Calibri" w:hAnsi="Calibri" w:cs="Calibri"/>
              <w:sz w:val="20"/>
              <w:szCs w:val="20"/>
              <w:lang w:val="ro-RO"/>
            </w:rPr>
          </w:pPr>
        </w:p>
        <w:p w14:paraId="37BDE808" w14:textId="06F2C998" w:rsidR="00957582" w:rsidRPr="00834B27" w:rsidRDefault="00957582" w:rsidP="00957582">
          <w:pPr>
            <w:pStyle w:val="Cuprins1"/>
            <w:tabs>
              <w:tab w:val="right" w:leader="underscore" w:pos="9350"/>
            </w:tabs>
            <w:spacing w:before="0"/>
            <w:rPr>
              <w:rFonts w:ascii="Calibri" w:eastAsiaTheme="minorEastAsia" w:hAnsi="Calibri" w:cs="Calibri"/>
              <w:b w:val="0"/>
              <w:bCs w:val="0"/>
              <w:i w:val="0"/>
              <w:iCs w:val="0"/>
              <w:noProof/>
              <w:sz w:val="20"/>
              <w:szCs w:val="20"/>
              <w:lang w:val="ro-RO" w:eastAsia="en-GB"/>
            </w:rPr>
          </w:pPr>
          <w:r w:rsidRPr="00834B27">
            <w:rPr>
              <w:rFonts w:ascii="Calibri" w:hAnsi="Calibri" w:cs="Calibri"/>
              <w:i w:val="0"/>
              <w:iCs w:val="0"/>
              <w:sz w:val="20"/>
              <w:szCs w:val="20"/>
              <w:lang w:val="ro-RO"/>
            </w:rPr>
            <w:fldChar w:fldCharType="begin"/>
          </w:r>
          <w:r w:rsidRPr="00834B27">
            <w:rPr>
              <w:rFonts w:ascii="Calibri" w:hAnsi="Calibri" w:cs="Calibri"/>
              <w:i w:val="0"/>
              <w:iCs w:val="0"/>
              <w:sz w:val="20"/>
              <w:szCs w:val="20"/>
              <w:lang w:val="ro-RO"/>
            </w:rPr>
            <w:instrText xml:space="preserve"> TOC \o "1-3" \h \z \u </w:instrText>
          </w:r>
          <w:r w:rsidRPr="00834B27">
            <w:rPr>
              <w:rFonts w:ascii="Calibri" w:hAnsi="Calibri" w:cs="Calibri"/>
              <w:i w:val="0"/>
              <w:iCs w:val="0"/>
              <w:sz w:val="20"/>
              <w:szCs w:val="20"/>
              <w:lang w:val="ro-RO"/>
            </w:rPr>
            <w:fldChar w:fldCharType="separate"/>
          </w:r>
          <w:hyperlink w:anchor="_Toc223643869" w:history="1">
            <w:r w:rsidRPr="00834B27">
              <w:rPr>
                <w:rStyle w:val="Hyperlink"/>
                <w:rFonts w:ascii="Calibri" w:hAnsi="Calibri" w:cs="Calibri"/>
                <w:noProof/>
                <w:sz w:val="20"/>
                <w:szCs w:val="20"/>
                <w:lang w:val="ro-RO"/>
              </w:rPr>
              <w:t>Preambul</w:t>
            </w:r>
            <w:r w:rsidRPr="00834B27">
              <w:rPr>
                <w:rFonts w:ascii="Calibri" w:hAnsi="Calibri" w:cs="Calibri"/>
                <w:noProof/>
                <w:webHidden/>
                <w:sz w:val="20"/>
                <w:szCs w:val="20"/>
                <w:lang w:val="ro-RO"/>
              </w:rPr>
              <w:tab/>
            </w:r>
            <w:r w:rsidRPr="00834B27">
              <w:rPr>
                <w:rFonts w:ascii="Calibri" w:hAnsi="Calibri" w:cs="Calibri"/>
                <w:noProof/>
                <w:webHidden/>
                <w:sz w:val="20"/>
                <w:szCs w:val="20"/>
                <w:lang w:val="ro-RO"/>
              </w:rPr>
              <w:fldChar w:fldCharType="begin"/>
            </w:r>
            <w:r w:rsidRPr="00834B27">
              <w:rPr>
                <w:rFonts w:ascii="Calibri" w:hAnsi="Calibri" w:cs="Calibri"/>
                <w:noProof/>
                <w:webHidden/>
                <w:sz w:val="20"/>
                <w:szCs w:val="20"/>
                <w:lang w:val="ro-RO"/>
              </w:rPr>
              <w:instrText xml:space="preserve"> PAGEREF _Toc223643869 \h </w:instrText>
            </w:r>
            <w:r w:rsidRPr="00834B27">
              <w:rPr>
                <w:rFonts w:ascii="Calibri" w:hAnsi="Calibri" w:cs="Calibri"/>
                <w:noProof/>
                <w:webHidden/>
                <w:sz w:val="20"/>
                <w:szCs w:val="20"/>
                <w:lang w:val="ro-RO"/>
              </w:rPr>
            </w:r>
            <w:r w:rsidRPr="00834B27">
              <w:rPr>
                <w:rFonts w:ascii="Calibri" w:hAnsi="Calibri" w:cs="Calibri"/>
                <w:noProof/>
                <w:webHidden/>
                <w:sz w:val="20"/>
                <w:szCs w:val="20"/>
                <w:lang w:val="ro-RO"/>
              </w:rPr>
              <w:fldChar w:fldCharType="separate"/>
            </w:r>
            <w:r w:rsidR="00E5474C" w:rsidRPr="00834B27">
              <w:rPr>
                <w:rFonts w:ascii="Calibri" w:hAnsi="Calibri" w:cs="Calibri"/>
                <w:noProof/>
                <w:webHidden/>
                <w:sz w:val="20"/>
                <w:szCs w:val="20"/>
                <w:lang w:val="ro-RO"/>
              </w:rPr>
              <w:t>3</w:t>
            </w:r>
            <w:r w:rsidRPr="00834B27">
              <w:rPr>
                <w:rFonts w:ascii="Calibri" w:hAnsi="Calibri" w:cs="Calibri"/>
                <w:noProof/>
                <w:webHidden/>
                <w:sz w:val="20"/>
                <w:szCs w:val="20"/>
                <w:lang w:val="ro-RO"/>
              </w:rPr>
              <w:fldChar w:fldCharType="end"/>
            </w:r>
          </w:hyperlink>
        </w:p>
        <w:p w14:paraId="0B7B5CD7" w14:textId="2DEF863D" w:rsidR="00957582" w:rsidRPr="00834B27" w:rsidRDefault="00957582" w:rsidP="00957582">
          <w:pPr>
            <w:pStyle w:val="Cuprins1"/>
            <w:tabs>
              <w:tab w:val="left" w:pos="1440"/>
              <w:tab w:val="right" w:leader="underscore" w:pos="9350"/>
            </w:tabs>
            <w:spacing w:before="0"/>
            <w:rPr>
              <w:rFonts w:ascii="Calibri" w:eastAsiaTheme="minorEastAsia" w:hAnsi="Calibri" w:cs="Calibri"/>
              <w:b w:val="0"/>
              <w:bCs w:val="0"/>
              <w:i w:val="0"/>
              <w:iCs w:val="0"/>
              <w:noProof/>
              <w:sz w:val="20"/>
              <w:szCs w:val="20"/>
              <w:lang w:val="ro-RO" w:eastAsia="en-GB"/>
            </w:rPr>
          </w:pPr>
          <w:hyperlink w:anchor="_Toc223643870" w:history="1">
            <w:r w:rsidRPr="00834B27">
              <w:rPr>
                <w:rStyle w:val="Hyperlink"/>
                <w:rFonts w:ascii="Calibri" w:hAnsi="Calibri" w:cs="Calibri"/>
                <w:noProof/>
                <w:sz w:val="20"/>
                <w:szCs w:val="20"/>
                <w:lang w:val="ro-RO"/>
              </w:rPr>
              <w:t>Capitolul 1</w:t>
            </w:r>
            <w:r w:rsidRPr="00834B27">
              <w:rPr>
                <w:rFonts w:ascii="Calibri" w:eastAsiaTheme="minorEastAsia" w:hAnsi="Calibri" w:cs="Calibri"/>
                <w:b w:val="0"/>
                <w:bCs w:val="0"/>
                <w:i w:val="0"/>
                <w:iCs w:val="0"/>
                <w:noProof/>
                <w:sz w:val="20"/>
                <w:szCs w:val="20"/>
                <w:lang w:val="ro-RO" w:eastAsia="en-GB"/>
              </w:rPr>
              <w:tab/>
            </w:r>
            <w:r w:rsidRPr="00834B27">
              <w:rPr>
                <w:rStyle w:val="Hyperlink"/>
                <w:rFonts w:ascii="Calibri" w:hAnsi="Calibri" w:cs="Calibri"/>
                <w:noProof/>
                <w:sz w:val="20"/>
                <w:szCs w:val="20"/>
                <w:lang w:val="ro-RO"/>
              </w:rPr>
              <w:t>– Situația actuală</w:t>
            </w:r>
            <w:r w:rsidRPr="00834B27">
              <w:rPr>
                <w:rFonts w:ascii="Calibri" w:hAnsi="Calibri" w:cs="Calibri"/>
                <w:noProof/>
                <w:webHidden/>
                <w:sz w:val="20"/>
                <w:szCs w:val="20"/>
                <w:lang w:val="ro-RO"/>
              </w:rPr>
              <w:tab/>
            </w:r>
            <w:r w:rsidRPr="00834B27">
              <w:rPr>
                <w:rFonts w:ascii="Calibri" w:hAnsi="Calibri" w:cs="Calibri"/>
                <w:noProof/>
                <w:webHidden/>
                <w:sz w:val="20"/>
                <w:szCs w:val="20"/>
                <w:lang w:val="ro-RO"/>
              </w:rPr>
              <w:fldChar w:fldCharType="begin"/>
            </w:r>
            <w:r w:rsidRPr="00834B27">
              <w:rPr>
                <w:rFonts w:ascii="Calibri" w:hAnsi="Calibri" w:cs="Calibri"/>
                <w:noProof/>
                <w:webHidden/>
                <w:sz w:val="20"/>
                <w:szCs w:val="20"/>
                <w:lang w:val="ro-RO"/>
              </w:rPr>
              <w:instrText xml:space="preserve"> PAGEREF _Toc223643870 \h </w:instrText>
            </w:r>
            <w:r w:rsidRPr="00834B27">
              <w:rPr>
                <w:rFonts w:ascii="Calibri" w:hAnsi="Calibri" w:cs="Calibri"/>
                <w:noProof/>
                <w:webHidden/>
                <w:sz w:val="20"/>
                <w:szCs w:val="20"/>
                <w:lang w:val="ro-RO"/>
              </w:rPr>
            </w:r>
            <w:r w:rsidRPr="00834B27">
              <w:rPr>
                <w:rFonts w:ascii="Calibri" w:hAnsi="Calibri" w:cs="Calibri"/>
                <w:noProof/>
                <w:webHidden/>
                <w:sz w:val="20"/>
                <w:szCs w:val="20"/>
                <w:lang w:val="ro-RO"/>
              </w:rPr>
              <w:fldChar w:fldCharType="separate"/>
            </w:r>
            <w:r w:rsidR="00E5474C" w:rsidRPr="00834B27">
              <w:rPr>
                <w:rFonts w:ascii="Calibri" w:hAnsi="Calibri" w:cs="Calibri"/>
                <w:noProof/>
                <w:webHidden/>
                <w:sz w:val="20"/>
                <w:szCs w:val="20"/>
                <w:lang w:val="ro-RO"/>
              </w:rPr>
              <w:t>9</w:t>
            </w:r>
            <w:r w:rsidRPr="00834B27">
              <w:rPr>
                <w:rFonts w:ascii="Calibri" w:hAnsi="Calibri" w:cs="Calibri"/>
                <w:noProof/>
                <w:webHidden/>
                <w:sz w:val="20"/>
                <w:szCs w:val="20"/>
                <w:lang w:val="ro-RO"/>
              </w:rPr>
              <w:fldChar w:fldCharType="end"/>
            </w:r>
          </w:hyperlink>
        </w:p>
        <w:p w14:paraId="16A56718" w14:textId="17042A71" w:rsidR="00957582" w:rsidRPr="00834B27" w:rsidRDefault="00957582" w:rsidP="00957582">
          <w:pPr>
            <w:pStyle w:val="Cuprins2"/>
            <w:tabs>
              <w:tab w:val="left" w:pos="960"/>
              <w:tab w:val="right" w:leader="underscore" w:pos="9350"/>
            </w:tabs>
            <w:spacing w:before="0"/>
            <w:rPr>
              <w:rFonts w:ascii="Calibri" w:eastAsiaTheme="minorEastAsia" w:hAnsi="Calibri" w:cs="Calibri"/>
              <w:b w:val="0"/>
              <w:bCs w:val="0"/>
              <w:noProof/>
              <w:sz w:val="20"/>
              <w:szCs w:val="20"/>
              <w:lang w:val="ro-RO" w:eastAsia="en-GB"/>
            </w:rPr>
          </w:pPr>
          <w:hyperlink w:anchor="_Toc223643871" w:history="1">
            <w:r w:rsidRPr="00834B27">
              <w:rPr>
                <w:rStyle w:val="Hyperlink"/>
                <w:rFonts w:ascii="Calibri" w:hAnsi="Calibri" w:cs="Calibri"/>
                <w:noProof/>
                <w:sz w:val="20"/>
                <w:szCs w:val="20"/>
                <w:lang w:val="ro-RO"/>
              </w:rPr>
              <w:t>1.1</w:t>
            </w:r>
            <w:r w:rsidRPr="00834B27">
              <w:rPr>
                <w:rFonts w:ascii="Calibri" w:eastAsiaTheme="minorEastAsia" w:hAnsi="Calibri" w:cs="Calibri"/>
                <w:b w:val="0"/>
                <w:bCs w:val="0"/>
                <w:noProof/>
                <w:sz w:val="20"/>
                <w:szCs w:val="20"/>
                <w:lang w:val="ro-RO" w:eastAsia="en-GB"/>
              </w:rPr>
              <w:tab/>
            </w:r>
            <w:r w:rsidRPr="00834B27">
              <w:rPr>
                <w:rStyle w:val="Hyperlink"/>
                <w:rFonts w:ascii="Calibri" w:hAnsi="Calibri" w:cs="Calibri"/>
                <w:noProof/>
                <w:sz w:val="20"/>
                <w:szCs w:val="20"/>
                <w:lang w:val="ro-RO"/>
              </w:rPr>
              <w:t>Venituri din activități dependente</w:t>
            </w:r>
            <w:r w:rsidRPr="00834B27">
              <w:rPr>
                <w:rFonts w:ascii="Calibri" w:hAnsi="Calibri" w:cs="Calibri"/>
                <w:noProof/>
                <w:webHidden/>
                <w:sz w:val="20"/>
                <w:szCs w:val="20"/>
                <w:lang w:val="ro-RO"/>
              </w:rPr>
              <w:tab/>
            </w:r>
            <w:r w:rsidRPr="00834B27">
              <w:rPr>
                <w:rFonts w:ascii="Calibri" w:hAnsi="Calibri" w:cs="Calibri"/>
                <w:noProof/>
                <w:webHidden/>
                <w:sz w:val="20"/>
                <w:szCs w:val="20"/>
                <w:lang w:val="ro-RO"/>
              </w:rPr>
              <w:fldChar w:fldCharType="begin"/>
            </w:r>
            <w:r w:rsidRPr="00834B27">
              <w:rPr>
                <w:rFonts w:ascii="Calibri" w:hAnsi="Calibri" w:cs="Calibri"/>
                <w:noProof/>
                <w:webHidden/>
                <w:sz w:val="20"/>
                <w:szCs w:val="20"/>
                <w:lang w:val="ro-RO"/>
              </w:rPr>
              <w:instrText xml:space="preserve"> PAGEREF _Toc223643871 \h </w:instrText>
            </w:r>
            <w:r w:rsidRPr="00834B27">
              <w:rPr>
                <w:rFonts w:ascii="Calibri" w:hAnsi="Calibri" w:cs="Calibri"/>
                <w:noProof/>
                <w:webHidden/>
                <w:sz w:val="20"/>
                <w:szCs w:val="20"/>
                <w:lang w:val="ro-RO"/>
              </w:rPr>
            </w:r>
            <w:r w:rsidRPr="00834B27">
              <w:rPr>
                <w:rFonts w:ascii="Calibri" w:hAnsi="Calibri" w:cs="Calibri"/>
                <w:noProof/>
                <w:webHidden/>
                <w:sz w:val="20"/>
                <w:szCs w:val="20"/>
                <w:lang w:val="ro-RO"/>
              </w:rPr>
              <w:fldChar w:fldCharType="separate"/>
            </w:r>
            <w:r w:rsidR="00E5474C" w:rsidRPr="00834B27">
              <w:rPr>
                <w:rFonts w:ascii="Calibri" w:hAnsi="Calibri" w:cs="Calibri"/>
                <w:noProof/>
                <w:webHidden/>
                <w:sz w:val="20"/>
                <w:szCs w:val="20"/>
                <w:lang w:val="ro-RO"/>
              </w:rPr>
              <w:t>10</w:t>
            </w:r>
            <w:r w:rsidRPr="00834B27">
              <w:rPr>
                <w:rFonts w:ascii="Calibri" w:hAnsi="Calibri" w:cs="Calibri"/>
                <w:noProof/>
                <w:webHidden/>
                <w:sz w:val="20"/>
                <w:szCs w:val="20"/>
                <w:lang w:val="ro-RO"/>
              </w:rPr>
              <w:fldChar w:fldCharType="end"/>
            </w:r>
          </w:hyperlink>
        </w:p>
        <w:p w14:paraId="6270C607" w14:textId="57F56CAB" w:rsidR="00957582" w:rsidRPr="00834B27" w:rsidRDefault="00957582" w:rsidP="00957582">
          <w:pPr>
            <w:pStyle w:val="Cuprins2"/>
            <w:tabs>
              <w:tab w:val="left" w:pos="960"/>
              <w:tab w:val="right" w:leader="underscore" w:pos="9350"/>
            </w:tabs>
            <w:spacing w:before="0"/>
            <w:rPr>
              <w:rFonts w:ascii="Calibri" w:eastAsiaTheme="minorEastAsia" w:hAnsi="Calibri" w:cs="Calibri"/>
              <w:b w:val="0"/>
              <w:bCs w:val="0"/>
              <w:noProof/>
              <w:sz w:val="20"/>
              <w:szCs w:val="20"/>
              <w:lang w:val="ro-RO" w:eastAsia="en-GB"/>
            </w:rPr>
          </w:pPr>
          <w:hyperlink w:anchor="_Toc223643872" w:history="1">
            <w:r w:rsidRPr="00834B27">
              <w:rPr>
                <w:rStyle w:val="Hyperlink"/>
                <w:rFonts w:ascii="Calibri" w:hAnsi="Calibri" w:cs="Calibri"/>
                <w:noProof/>
                <w:sz w:val="20"/>
                <w:szCs w:val="20"/>
                <w:lang w:val="ro-RO"/>
              </w:rPr>
              <w:t>1.2</w:t>
            </w:r>
            <w:r w:rsidRPr="00834B27">
              <w:rPr>
                <w:rFonts w:ascii="Calibri" w:eastAsiaTheme="minorEastAsia" w:hAnsi="Calibri" w:cs="Calibri"/>
                <w:b w:val="0"/>
                <w:bCs w:val="0"/>
                <w:noProof/>
                <w:sz w:val="20"/>
                <w:szCs w:val="20"/>
                <w:lang w:val="ro-RO" w:eastAsia="en-GB"/>
              </w:rPr>
              <w:tab/>
            </w:r>
            <w:r w:rsidRPr="00834B27">
              <w:rPr>
                <w:rStyle w:val="Hyperlink"/>
                <w:rFonts w:ascii="Calibri" w:hAnsi="Calibri" w:cs="Calibri"/>
                <w:noProof/>
                <w:sz w:val="20"/>
                <w:szCs w:val="20"/>
                <w:lang w:val="ro-RO"/>
              </w:rPr>
              <w:t>Venituri din activități independente</w:t>
            </w:r>
            <w:r w:rsidRPr="00834B27">
              <w:rPr>
                <w:rFonts w:ascii="Calibri" w:hAnsi="Calibri" w:cs="Calibri"/>
                <w:noProof/>
                <w:webHidden/>
                <w:sz w:val="20"/>
                <w:szCs w:val="20"/>
                <w:lang w:val="ro-RO"/>
              </w:rPr>
              <w:tab/>
            </w:r>
            <w:r w:rsidRPr="00834B27">
              <w:rPr>
                <w:rFonts w:ascii="Calibri" w:hAnsi="Calibri" w:cs="Calibri"/>
                <w:noProof/>
                <w:webHidden/>
                <w:sz w:val="20"/>
                <w:szCs w:val="20"/>
                <w:lang w:val="ro-RO"/>
              </w:rPr>
              <w:fldChar w:fldCharType="begin"/>
            </w:r>
            <w:r w:rsidRPr="00834B27">
              <w:rPr>
                <w:rFonts w:ascii="Calibri" w:hAnsi="Calibri" w:cs="Calibri"/>
                <w:noProof/>
                <w:webHidden/>
                <w:sz w:val="20"/>
                <w:szCs w:val="20"/>
                <w:lang w:val="ro-RO"/>
              </w:rPr>
              <w:instrText xml:space="preserve"> PAGEREF _Toc223643872 \h </w:instrText>
            </w:r>
            <w:r w:rsidRPr="00834B27">
              <w:rPr>
                <w:rFonts w:ascii="Calibri" w:hAnsi="Calibri" w:cs="Calibri"/>
                <w:noProof/>
                <w:webHidden/>
                <w:sz w:val="20"/>
                <w:szCs w:val="20"/>
                <w:lang w:val="ro-RO"/>
              </w:rPr>
            </w:r>
            <w:r w:rsidRPr="00834B27">
              <w:rPr>
                <w:rFonts w:ascii="Calibri" w:hAnsi="Calibri" w:cs="Calibri"/>
                <w:noProof/>
                <w:webHidden/>
                <w:sz w:val="20"/>
                <w:szCs w:val="20"/>
                <w:lang w:val="ro-RO"/>
              </w:rPr>
              <w:fldChar w:fldCharType="separate"/>
            </w:r>
            <w:r w:rsidR="00E5474C" w:rsidRPr="00834B27">
              <w:rPr>
                <w:rFonts w:ascii="Calibri" w:hAnsi="Calibri" w:cs="Calibri"/>
                <w:noProof/>
                <w:webHidden/>
                <w:sz w:val="20"/>
                <w:szCs w:val="20"/>
                <w:lang w:val="ro-RO"/>
              </w:rPr>
              <w:t>15</w:t>
            </w:r>
            <w:r w:rsidRPr="00834B27">
              <w:rPr>
                <w:rFonts w:ascii="Calibri" w:hAnsi="Calibri" w:cs="Calibri"/>
                <w:noProof/>
                <w:webHidden/>
                <w:sz w:val="20"/>
                <w:szCs w:val="20"/>
                <w:lang w:val="ro-RO"/>
              </w:rPr>
              <w:fldChar w:fldCharType="end"/>
            </w:r>
          </w:hyperlink>
        </w:p>
        <w:p w14:paraId="1B69F13B" w14:textId="0480B9AB" w:rsidR="00957582" w:rsidRPr="00834B27" w:rsidRDefault="00957582" w:rsidP="00957582">
          <w:pPr>
            <w:pStyle w:val="Cuprins2"/>
            <w:tabs>
              <w:tab w:val="left" w:pos="960"/>
              <w:tab w:val="right" w:leader="underscore" w:pos="9350"/>
            </w:tabs>
            <w:spacing w:before="0"/>
            <w:rPr>
              <w:rFonts w:ascii="Calibri" w:eastAsiaTheme="minorEastAsia" w:hAnsi="Calibri" w:cs="Calibri"/>
              <w:b w:val="0"/>
              <w:bCs w:val="0"/>
              <w:noProof/>
              <w:sz w:val="20"/>
              <w:szCs w:val="20"/>
              <w:lang w:val="ro-RO" w:eastAsia="en-GB"/>
            </w:rPr>
          </w:pPr>
          <w:hyperlink w:anchor="_Toc223643873" w:history="1">
            <w:r w:rsidRPr="00834B27">
              <w:rPr>
                <w:rStyle w:val="Hyperlink"/>
                <w:rFonts w:ascii="Calibri" w:hAnsi="Calibri" w:cs="Calibri"/>
                <w:noProof/>
                <w:sz w:val="20"/>
                <w:szCs w:val="20"/>
                <w:lang w:val="ro-RO"/>
              </w:rPr>
              <w:t>1.3</w:t>
            </w:r>
            <w:r w:rsidRPr="00834B27">
              <w:rPr>
                <w:rFonts w:ascii="Calibri" w:eastAsiaTheme="minorEastAsia" w:hAnsi="Calibri" w:cs="Calibri"/>
                <w:b w:val="0"/>
                <w:bCs w:val="0"/>
                <w:noProof/>
                <w:sz w:val="20"/>
                <w:szCs w:val="20"/>
                <w:lang w:val="ro-RO" w:eastAsia="en-GB"/>
              </w:rPr>
              <w:tab/>
            </w:r>
            <w:r w:rsidRPr="00834B27">
              <w:rPr>
                <w:rStyle w:val="Hyperlink"/>
                <w:rFonts w:ascii="Calibri" w:hAnsi="Calibri" w:cs="Calibri"/>
                <w:noProof/>
                <w:sz w:val="20"/>
                <w:szCs w:val="20"/>
                <w:lang w:val="ro-RO"/>
              </w:rPr>
              <w:t>Venituri din drepturi de proprietate intelectuală</w:t>
            </w:r>
            <w:r w:rsidRPr="00834B27">
              <w:rPr>
                <w:rFonts w:ascii="Calibri" w:hAnsi="Calibri" w:cs="Calibri"/>
                <w:noProof/>
                <w:webHidden/>
                <w:sz w:val="20"/>
                <w:szCs w:val="20"/>
                <w:lang w:val="ro-RO"/>
              </w:rPr>
              <w:tab/>
            </w:r>
            <w:r w:rsidRPr="00834B27">
              <w:rPr>
                <w:rFonts w:ascii="Calibri" w:hAnsi="Calibri" w:cs="Calibri"/>
                <w:noProof/>
                <w:webHidden/>
                <w:sz w:val="20"/>
                <w:szCs w:val="20"/>
                <w:lang w:val="ro-RO"/>
              </w:rPr>
              <w:fldChar w:fldCharType="begin"/>
            </w:r>
            <w:r w:rsidRPr="00834B27">
              <w:rPr>
                <w:rFonts w:ascii="Calibri" w:hAnsi="Calibri" w:cs="Calibri"/>
                <w:noProof/>
                <w:webHidden/>
                <w:sz w:val="20"/>
                <w:szCs w:val="20"/>
                <w:lang w:val="ro-RO"/>
              </w:rPr>
              <w:instrText xml:space="preserve"> PAGEREF _Toc223643873 \h </w:instrText>
            </w:r>
            <w:r w:rsidRPr="00834B27">
              <w:rPr>
                <w:rFonts w:ascii="Calibri" w:hAnsi="Calibri" w:cs="Calibri"/>
                <w:noProof/>
                <w:webHidden/>
                <w:sz w:val="20"/>
                <w:szCs w:val="20"/>
                <w:lang w:val="ro-RO"/>
              </w:rPr>
            </w:r>
            <w:r w:rsidRPr="00834B27">
              <w:rPr>
                <w:rFonts w:ascii="Calibri" w:hAnsi="Calibri" w:cs="Calibri"/>
                <w:noProof/>
                <w:webHidden/>
                <w:sz w:val="20"/>
                <w:szCs w:val="20"/>
                <w:lang w:val="ro-RO"/>
              </w:rPr>
              <w:fldChar w:fldCharType="separate"/>
            </w:r>
            <w:r w:rsidR="00E5474C" w:rsidRPr="00834B27">
              <w:rPr>
                <w:rFonts w:ascii="Calibri" w:hAnsi="Calibri" w:cs="Calibri"/>
                <w:noProof/>
                <w:webHidden/>
                <w:sz w:val="20"/>
                <w:szCs w:val="20"/>
                <w:lang w:val="ro-RO"/>
              </w:rPr>
              <w:t>18</w:t>
            </w:r>
            <w:r w:rsidRPr="00834B27">
              <w:rPr>
                <w:rFonts w:ascii="Calibri" w:hAnsi="Calibri" w:cs="Calibri"/>
                <w:noProof/>
                <w:webHidden/>
                <w:sz w:val="20"/>
                <w:szCs w:val="20"/>
                <w:lang w:val="ro-RO"/>
              </w:rPr>
              <w:fldChar w:fldCharType="end"/>
            </w:r>
          </w:hyperlink>
        </w:p>
        <w:p w14:paraId="4A58337C" w14:textId="435E0C5B" w:rsidR="00957582" w:rsidRPr="00834B27" w:rsidRDefault="00957582" w:rsidP="00957582">
          <w:pPr>
            <w:pStyle w:val="Cuprins2"/>
            <w:tabs>
              <w:tab w:val="left" w:pos="960"/>
              <w:tab w:val="right" w:leader="underscore" w:pos="9350"/>
            </w:tabs>
            <w:spacing w:before="0"/>
            <w:rPr>
              <w:rFonts w:ascii="Calibri" w:eastAsiaTheme="minorEastAsia" w:hAnsi="Calibri" w:cs="Calibri"/>
              <w:b w:val="0"/>
              <w:bCs w:val="0"/>
              <w:noProof/>
              <w:sz w:val="20"/>
              <w:szCs w:val="20"/>
              <w:lang w:val="ro-RO" w:eastAsia="en-GB"/>
            </w:rPr>
          </w:pPr>
          <w:hyperlink w:anchor="_Toc223643874" w:history="1">
            <w:r w:rsidRPr="00834B27">
              <w:rPr>
                <w:rStyle w:val="Hyperlink"/>
                <w:rFonts w:ascii="Calibri" w:hAnsi="Calibri" w:cs="Calibri"/>
                <w:noProof/>
                <w:sz w:val="20"/>
                <w:szCs w:val="20"/>
                <w:lang w:val="ro-RO"/>
              </w:rPr>
              <w:t>1.4</w:t>
            </w:r>
            <w:r w:rsidRPr="00834B27">
              <w:rPr>
                <w:rFonts w:ascii="Calibri" w:eastAsiaTheme="minorEastAsia" w:hAnsi="Calibri" w:cs="Calibri"/>
                <w:b w:val="0"/>
                <w:bCs w:val="0"/>
                <w:noProof/>
                <w:sz w:val="20"/>
                <w:szCs w:val="20"/>
                <w:lang w:val="ro-RO" w:eastAsia="en-GB"/>
              </w:rPr>
              <w:tab/>
            </w:r>
            <w:r w:rsidRPr="00834B27">
              <w:rPr>
                <w:rStyle w:val="Hyperlink"/>
                <w:rFonts w:ascii="Calibri" w:hAnsi="Calibri" w:cs="Calibri"/>
                <w:noProof/>
                <w:sz w:val="20"/>
                <w:szCs w:val="20"/>
                <w:lang w:val="ro-RO"/>
              </w:rPr>
              <w:t>Venituri din cedarea folosinței bunurilor (închiriere)</w:t>
            </w:r>
            <w:r w:rsidRPr="00834B27">
              <w:rPr>
                <w:rFonts w:ascii="Calibri" w:hAnsi="Calibri" w:cs="Calibri"/>
                <w:noProof/>
                <w:webHidden/>
                <w:sz w:val="20"/>
                <w:szCs w:val="20"/>
                <w:lang w:val="ro-RO"/>
              </w:rPr>
              <w:tab/>
            </w:r>
            <w:r w:rsidRPr="00834B27">
              <w:rPr>
                <w:rFonts w:ascii="Calibri" w:hAnsi="Calibri" w:cs="Calibri"/>
                <w:noProof/>
                <w:webHidden/>
                <w:sz w:val="20"/>
                <w:szCs w:val="20"/>
                <w:lang w:val="ro-RO"/>
              </w:rPr>
              <w:fldChar w:fldCharType="begin"/>
            </w:r>
            <w:r w:rsidRPr="00834B27">
              <w:rPr>
                <w:rFonts w:ascii="Calibri" w:hAnsi="Calibri" w:cs="Calibri"/>
                <w:noProof/>
                <w:webHidden/>
                <w:sz w:val="20"/>
                <w:szCs w:val="20"/>
                <w:lang w:val="ro-RO"/>
              </w:rPr>
              <w:instrText xml:space="preserve"> PAGEREF _Toc223643874 \h </w:instrText>
            </w:r>
            <w:r w:rsidRPr="00834B27">
              <w:rPr>
                <w:rFonts w:ascii="Calibri" w:hAnsi="Calibri" w:cs="Calibri"/>
                <w:noProof/>
                <w:webHidden/>
                <w:sz w:val="20"/>
                <w:szCs w:val="20"/>
                <w:lang w:val="ro-RO"/>
              </w:rPr>
            </w:r>
            <w:r w:rsidRPr="00834B27">
              <w:rPr>
                <w:rFonts w:ascii="Calibri" w:hAnsi="Calibri" w:cs="Calibri"/>
                <w:noProof/>
                <w:webHidden/>
                <w:sz w:val="20"/>
                <w:szCs w:val="20"/>
                <w:lang w:val="ro-RO"/>
              </w:rPr>
              <w:fldChar w:fldCharType="separate"/>
            </w:r>
            <w:r w:rsidR="00E5474C" w:rsidRPr="00834B27">
              <w:rPr>
                <w:rFonts w:ascii="Calibri" w:hAnsi="Calibri" w:cs="Calibri"/>
                <w:noProof/>
                <w:webHidden/>
                <w:sz w:val="20"/>
                <w:szCs w:val="20"/>
                <w:lang w:val="ro-RO"/>
              </w:rPr>
              <w:t>19</w:t>
            </w:r>
            <w:r w:rsidRPr="00834B27">
              <w:rPr>
                <w:rFonts w:ascii="Calibri" w:hAnsi="Calibri" w:cs="Calibri"/>
                <w:noProof/>
                <w:webHidden/>
                <w:sz w:val="20"/>
                <w:szCs w:val="20"/>
                <w:lang w:val="ro-RO"/>
              </w:rPr>
              <w:fldChar w:fldCharType="end"/>
            </w:r>
          </w:hyperlink>
        </w:p>
        <w:p w14:paraId="34BBE7BA" w14:textId="27DE98C4" w:rsidR="00957582" w:rsidRPr="00834B27" w:rsidRDefault="00957582" w:rsidP="00957582">
          <w:pPr>
            <w:pStyle w:val="Cuprins2"/>
            <w:tabs>
              <w:tab w:val="left" w:pos="960"/>
              <w:tab w:val="right" w:leader="underscore" w:pos="9350"/>
            </w:tabs>
            <w:spacing w:before="0"/>
            <w:rPr>
              <w:rFonts w:ascii="Calibri" w:eastAsiaTheme="minorEastAsia" w:hAnsi="Calibri" w:cs="Calibri"/>
              <w:b w:val="0"/>
              <w:bCs w:val="0"/>
              <w:noProof/>
              <w:sz w:val="20"/>
              <w:szCs w:val="20"/>
              <w:lang w:val="ro-RO" w:eastAsia="en-GB"/>
            </w:rPr>
          </w:pPr>
          <w:hyperlink w:anchor="_Toc223643875" w:history="1">
            <w:r w:rsidRPr="00834B27">
              <w:rPr>
                <w:rStyle w:val="Hyperlink"/>
                <w:rFonts w:ascii="Calibri" w:hAnsi="Calibri" w:cs="Calibri"/>
                <w:noProof/>
                <w:sz w:val="20"/>
                <w:szCs w:val="20"/>
                <w:lang w:val="ro-RO"/>
              </w:rPr>
              <w:t>1.5</w:t>
            </w:r>
            <w:r w:rsidRPr="00834B27">
              <w:rPr>
                <w:rFonts w:ascii="Calibri" w:eastAsiaTheme="minorEastAsia" w:hAnsi="Calibri" w:cs="Calibri"/>
                <w:b w:val="0"/>
                <w:bCs w:val="0"/>
                <w:noProof/>
                <w:sz w:val="20"/>
                <w:szCs w:val="20"/>
                <w:lang w:val="ro-RO" w:eastAsia="en-GB"/>
              </w:rPr>
              <w:tab/>
            </w:r>
            <w:r w:rsidRPr="00834B27">
              <w:rPr>
                <w:rStyle w:val="Hyperlink"/>
                <w:rFonts w:ascii="Calibri" w:hAnsi="Calibri" w:cs="Calibri"/>
                <w:noProof/>
                <w:sz w:val="20"/>
                <w:szCs w:val="20"/>
                <w:lang w:val="ro-RO"/>
              </w:rPr>
              <w:t>Venituri din investiții</w:t>
            </w:r>
            <w:r w:rsidRPr="00834B27">
              <w:rPr>
                <w:rFonts w:ascii="Calibri" w:hAnsi="Calibri" w:cs="Calibri"/>
                <w:noProof/>
                <w:webHidden/>
                <w:sz w:val="20"/>
                <w:szCs w:val="20"/>
                <w:lang w:val="ro-RO"/>
              </w:rPr>
              <w:tab/>
            </w:r>
            <w:r w:rsidRPr="00834B27">
              <w:rPr>
                <w:rFonts w:ascii="Calibri" w:hAnsi="Calibri" w:cs="Calibri"/>
                <w:noProof/>
                <w:webHidden/>
                <w:sz w:val="20"/>
                <w:szCs w:val="20"/>
                <w:lang w:val="ro-RO"/>
              </w:rPr>
              <w:fldChar w:fldCharType="begin"/>
            </w:r>
            <w:r w:rsidRPr="00834B27">
              <w:rPr>
                <w:rFonts w:ascii="Calibri" w:hAnsi="Calibri" w:cs="Calibri"/>
                <w:noProof/>
                <w:webHidden/>
                <w:sz w:val="20"/>
                <w:szCs w:val="20"/>
                <w:lang w:val="ro-RO"/>
              </w:rPr>
              <w:instrText xml:space="preserve"> PAGEREF _Toc223643875 \h </w:instrText>
            </w:r>
            <w:r w:rsidRPr="00834B27">
              <w:rPr>
                <w:rFonts w:ascii="Calibri" w:hAnsi="Calibri" w:cs="Calibri"/>
                <w:noProof/>
                <w:webHidden/>
                <w:sz w:val="20"/>
                <w:szCs w:val="20"/>
                <w:lang w:val="ro-RO"/>
              </w:rPr>
            </w:r>
            <w:r w:rsidRPr="00834B27">
              <w:rPr>
                <w:rFonts w:ascii="Calibri" w:hAnsi="Calibri" w:cs="Calibri"/>
                <w:noProof/>
                <w:webHidden/>
                <w:sz w:val="20"/>
                <w:szCs w:val="20"/>
                <w:lang w:val="ro-RO"/>
              </w:rPr>
              <w:fldChar w:fldCharType="separate"/>
            </w:r>
            <w:r w:rsidR="00E5474C" w:rsidRPr="00834B27">
              <w:rPr>
                <w:rFonts w:ascii="Calibri" w:hAnsi="Calibri" w:cs="Calibri"/>
                <w:noProof/>
                <w:webHidden/>
                <w:sz w:val="20"/>
                <w:szCs w:val="20"/>
                <w:lang w:val="ro-RO"/>
              </w:rPr>
              <w:t>21</w:t>
            </w:r>
            <w:r w:rsidRPr="00834B27">
              <w:rPr>
                <w:rFonts w:ascii="Calibri" w:hAnsi="Calibri" w:cs="Calibri"/>
                <w:noProof/>
                <w:webHidden/>
                <w:sz w:val="20"/>
                <w:szCs w:val="20"/>
                <w:lang w:val="ro-RO"/>
              </w:rPr>
              <w:fldChar w:fldCharType="end"/>
            </w:r>
          </w:hyperlink>
        </w:p>
        <w:p w14:paraId="27B58F95" w14:textId="47322330" w:rsidR="00957582" w:rsidRPr="00834B27" w:rsidRDefault="00957582" w:rsidP="00957582">
          <w:pPr>
            <w:pStyle w:val="Cuprins2"/>
            <w:tabs>
              <w:tab w:val="left" w:pos="960"/>
              <w:tab w:val="right" w:leader="underscore" w:pos="9350"/>
            </w:tabs>
            <w:spacing w:before="0"/>
            <w:rPr>
              <w:rFonts w:ascii="Calibri" w:eastAsiaTheme="minorEastAsia" w:hAnsi="Calibri" w:cs="Calibri"/>
              <w:b w:val="0"/>
              <w:bCs w:val="0"/>
              <w:noProof/>
              <w:sz w:val="20"/>
              <w:szCs w:val="20"/>
              <w:lang w:val="ro-RO" w:eastAsia="en-GB"/>
            </w:rPr>
          </w:pPr>
          <w:hyperlink w:anchor="_Toc223643876" w:history="1">
            <w:r w:rsidRPr="00834B27">
              <w:rPr>
                <w:rStyle w:val="Hyperlink"/>
                <w:rFonts w:ascii="Calibri" w:hAnsi="Calibri" w:cs="Calibri"/>
                <w:noProof/>
                <w:sz w:val="20"/>
                <w:szCs w:val="20"/>
                <w:lang w:val="ro-RO"/>
              </w:rPr>
              <w:t>1.6</w:t>
            </w:r>
            <w:r w:rsidRPr="00834B27">
              <w:rPr>
                <w:rFonts w:ascii="Calibri" w:eastAsiaTheme="minorEastAsia" w:hAnsi="Calibri" w:cs="Calibri"/>
                <w:b w:val="0"/>
                <w:bCs w:val="0"/>
                <w:noProof/>
                <w:sz w:val="20"/>
                <w:szCs w:val="20"/>
                <w:lang w:val="ro-RO" w:eastAsia="en-GB"/>
              </w:rPr>
              <w:tab/>
            </w:r>
            <w:r w:rsidRPr="00834B27">
              <w:rPr>
                <w:rStyle w:val="Hyperlink"/>
                <w:rFonts w:ascii="Calibri" w:hAnsi="Calibri" w:cs="Calibri"/>
                <w:noProof/>
                <w:sz w:val="20"/>
                <w:szCs w:val="20"/>
                <w:lang w:val="ro-RO"/>
              </w:rPr>
              <w:t>Venituri din pensii</w:t>
            </w:r>
            <w:r w:rsidRPr="00834B27">
              <w:rPr>
                <w:rFonts w:ascii="Calibri" w:hAnsi="Calibri" w:cs="Calibri"/>
                <w:noProof/>
                <w:webHidden/>
                <w:sz w:val="20"/>
                <w:szCs w:val="20"/>
                <w:lang w:val="ro-RO"/>
              </w:rPr>
              <w:tab/>
            </w:r>
            <w:r w:rsidRPr="00834B27">
              <w:rPr>
                <w:rFonts w:ascii="Calibri" w:hAnsi="Calibri" w:cs="Calibri"/>
                <w:noProof/>
                <w:webHidden/>
                <w:sz w:val="20"/>
                <w:szCs w:val="20"/>
                <w:lang w:val="ro-RO"/>
              </w:rPr>
              <w:fldChar w:fldCharType="begin"/>
            </w:r>
            <w:r w:rsidRPr="00834B27">
              <w:rPr>
                <w:rFonts w:ascii="Calibri" w:hAnsi="Calibri" w:cs="Calibri"/>
                <w:noProof/>
                <w:webHidden/>
                <w:sz w:val="20"/>
                <w:szCs w:val="20"/>
                <w:lang w:val="ro-RO"/>
              </w:rPr>
              <w:instrText xml:space="preserve"> PAGEREF _Toc223643876 \h </w:instrText>
            </w:r>
            <w:r w:rsidRPr="00834B27">
              <w:rPr>
                <w:rFonts w:ascii="Calibri" w:hAnsi="Calibri" w:cs="Calibri"/>
                <w:noProof/>
                <w:webHidden/>
                <w:sz w:val="20"/>
                <w:szCs w:val="20"/>
                <w:lang w:val="ro-RO"/>
              </w:rPr>
            </w:r>
            <w:r w:rsidRPr="00834B27">
              <w:rPr>
                <w:rFonts w:ascii="Calibri" w:hAnsi="Calibri" w:cs="Calibri"/>
                <w:noProof/>
                <w:webHidden/>
                <w:sz w:val="20"/>
                <w:szCs w:val="20"/>
                <w:lang w:val="ro-RO"/>
              </w:rPr>
              <w:fldChar w:fldCharType="separate"/>
            </w:r>
            <w:r w:rsidR="00E5474C" w:rsidRPr="00834B27">
              <w:rPr>
                <w:rFonts w:ascii="Calibri" w:hAnsi="Calibri" w:cs="Calibri"/>
                <w:noProof/>
                <w:webHidden/>
                <w:sz w:val="20"/>
                <w:szCs w:val="20"/>
                <w:lang w:val="ro-RO"/>
              </w:rPr>
              <w:t>23</w:t>
            </w:r>
            <w:r w:rsidRPr="00834B27">
              <w:rPr>
                <w:rFonts w:ascii="Calibri" w:hAnsi="Calibri" w:cs="Calibri"/>
                <w:noProof/>
                <w:webHidden/>
                <w:sz w:val="20"/>
                <w:szCs w:val="20"/>
                <w:lang w:val="ro-RO"/>
              </w:rPr>
              <w:fldChar w:fldCharType="end"/>
            </w:r>
          </w:hyperlink>
        </w:p>
        <w:p w14:paraId="7B5205C4" w14:textId="742A18F6" w:rsidR="00957582" w:rsidRPr="00834B27" w:rsidRDefault="00957582" w:rsidP="00957582">
          <w:pPr>
            <w:pStyle w:val="Cuprins2"/>
            <w:tabs>
              <w:tab w:val="left" w:pos="960"/>
              <w:tab w:val="right" w:leader="underscore" w:pos="9350"/>
            </w:tabs>
            <w:spacing w:before="0"/>
            <w:rPr>
              <w:rFonts w:ascii="Calibri" w:eastAsiaTheme="minorEastAsia" w:hAnsi="Calibri" w:cs="Calibri"/>
              <w:b w:val="0"/>
              <w:bCs w:val="0"/>
              <w:noProof/>
              <w:sz w:val="20"/>
              <w:szCs w:val="20"/>
              <w:lang w:val="ro-RO" w:eastAsia="en-GB"/>
            </w:rPr>
          </w:pPr>
          <w:hyperlink w:anchor="_Toc223643877" w:history="1">
            <w:r w:rsidRPr="00834B27">
              <w:rPr>
                <w:rStyle w:val="Hyperlink"/>
                <w:rFonts w:ascii="Calibri" w:hAnsi="Calibri" w:cs="Calibri"/>
                <w:noProof/>
                <w:sz w:val="20"/>
                <w:szCs w:val="20"/>
                <w:lang w:val="ro-RO"/>
              </w:rPr>
              <w:t>1.7</w:t>
            </w:r>
            <w:r w:rsidRPr="00834B27">
              <w:rPr>
                <w:rFonts w:ascii="Calibri" w:eastAsiaTheme="minorEastAsia" w:hAnsi="Calibri" w:cs="Calibri"/>
                <w:b w:val="0"/>
                <w:bCs w:val="0"/>
                <w:noProof/>
                <w:sz w:val="20"/>
                <w:szCs w:val="20"/>
                <w:lang w:val="ro-RO" w:eastAsia="en-GB"/>
              </w:rPr>
              <w:tab/>
            </w:r>
            <w:r w:rsidRPr="00834B27">
              <w:rPr>
                <w:rStyle w:val="Hyperlink"/>
                <w:rFonts w:ascii="Calibri" w:hAnsi="Calibri" w:cs="Calibri"/>
                <w:noProof/>
                <w:sz w:val="20"/>
                <w:szCs w:val="20"/>
                <w:lang w:val="ro-RO"/>
              </w:rPr>
              <w:t>Venituri din activități agricole, silvicultură și piscicultură</w:t>
            </w:r>
            <w:r w:rsidRPr="00834B27">
              <w:rPr>
                <w:rFonts w:ascii="Calibri" w:hAnsi="Calibri" w:cs="Calibri"/>
                <w:noProof/>
                <w:webHidden/>
                <w:sz w:val="20"/>
                <w:szCs w:val="20"/>
                <w:lang w:val="ro-RO"/>
              </w:rPr>
              <w:tab/>
            </w:r>
            <w:r w:rsidRPr="00834B27">
              <w:rPr>
                <w:rFonts w:ascii="Calibri" w:hAnsi="Calibri" w:cs="Calibri"/>
                <w:noProof/>
                <w:webHidden/>
                <w:sz w:val="20"/>
                <w:szCs w:val="20"/>
                <w:lang w:val="ro-RO"/>
              </w:rPr>
              <w:fldChar w:fldCharType="begin"/>
            </w:r>
            <w:r w:rsidRPr="00834B27">
              <w:rPr>
                <w:rFonts w:ascii="Calibri" w:hAnsi="Calibri" w:cs="Calibri"/>
                <w:noProof/>
                <w:webHidden/>
                <w:sz w:val="20"/>
                <w:szCs w:val="20"/>
                <w:lang w:val="ro-RO"/>
              </w:rPr>
              <w:instrText xml:space="preserve"> PAGEREF _Toc223643877 \h </w:instrText>
            </w:r>
            <w:r w:rsidRPr="00834B27">
              <w:rPr>
                <w:rFonts w:ascii="Calibri" w:hAnsi="Calibri" w:cs="Calibri"/>
                <w:noProof/>
                <w:webHidden/>
                <w:sz w:val="20"/>
                <w:szCs w:val="20"/>
                <w:lang w:val="ro-RO"/>
              </w:rPr>
            </w:r>
            <w:r w:rsidRPr="00834B27">
              <w:rPr>
                <w:rFonts w:ascii="Calibri" w:hAnsi="Calibri" w:cs="Calibri"/>
                <w:noProof/>
                <w:webHidden/>
                <w:sz w:val="20"/>
                <w:szCs w:val="20"/>
                <w:lang w:val="ro-RO"/>
              </w:rPr>
              <w:fldChar w:fldCharType="separate"/>
            </w:r>
            <w:r w:rsidR="00E5474C" w:rsidRPr="00834B27">
              <w:rPr>
                <w:rFonts w:ascii="Calibri" w:hAnsi="Calibri" w:cs="Calibri"/>
                <w:noProof/>
                <w:webHidden/>
                <w:sz w:val="20"/>
                <w:szCs w:val="20"/>
                <w:lang w:val="ro-RO"/>
              </w:rPr>
              <w:t>24</w:t>
            </w:r>
            <w:r w:rsidRPr="00834B27">
              <w:rPr>
                <w:rFonts w:ascii="Calibri" w:hAnsi="Calibri" w:cs="Calibri"/>
                <w:noProof/>
                <w:webHidden/>
                <w:sz w:val="20"/>
                <w:szCs w:val="20"/>
                <w:lang w:val="ro-RO"/>
              </w:rPr>
              <w:fldChar w:fldCharType="end"/>
            </w:r>
          </w:hyperlink>
        </w:p>
        <w:p w14:paraId="14B42AB7" w14:textId="0FC80259" w:rsidR="00957582" w:rsidRPr="00834B27" w:rsidRDefault="00957582" w:rsidP="00957582">
          <w:pPr>
            <w:pStyle w:val="Cuprins2"/>
            <w:tabs>
              <w:tab w:val="left" w:pos="960"/>
              <w:tab w:val="right" w:leader="underscore" w:pos="9350"/>
            </w:tabs>
            <w:spacing w:before="0"/>
            <w:rPr>
              <w:rFonts w:ascii="Calibri" w:eastAsiaTheme="minorEastAsia" w:hAnsi="Calibri" w:cs="Calibri"/>
              <w:b w:val="0"/>
              <w:bCs w:val="0"/>
              <w:noProof/>
              <w:sz w:val="20"/>
              <w:szCs w:val="20"/>
              <w:lang w:val="ro-RO" w:eastAsia="en-GB"/>
            </w:rPr>
          </w:pPr>
          <w:hyperlink w:anchor="_Toc223643878" w:history="1">
            <w:r w:rsidRPr="00834B27">
              <w:rPr>
                <w:rStyle w:val="Hyperlink"/>
                <w:rFonts w:ascii="Calibri" w:hAnsi="Calibri" w:cs="Calibri"/>
                <w:noProof/>
                <w:sz w:val="20"/>
                <w:szCs w:val="20"/>
                <w:lang w:val="ro-RO"/>
              </w:rPr>
              <w:t>1.8</w:t>
            </w:r>
            <w:r w:rsidRPr="00834B27">
              <w:rPr>
                <w:rFonts w:ascii="Calibri" w:eastAsiaTheme="minorEastAsia" w:hAnsi="Calibri" w:cs="Calibri"/>
                <w:b w:val="0"/>
                <w:bCs w:val="0"/>
                <w:noProof/>
                <w:sz w:val="20"/>
                <w:szCs w:val="20"/>
                <w:lang w:val="ro-RO" w:eastAsia="en-GB"/>
              </w:rPr>
              <w:tab/>
            </w:r>
            <w:r w:rsidRPr="00834B27">
              <w:rPr>
                <w:rStyle w:val="Hyperlink"/>
                <w:rFonts w:ascii="Calibri" w:hAnsi="Calibri" w:cs="Calibri"/>
                <w:noProof/>
                <w:sz w:val="20"/>
                <w:szCs w:val="20"/>
                <w:lang w:val="ro-RO"/>
              </w:rPr>
              <w:t>Venituri din premii și jocuri de noroc</w:t>
            </w:r>
            <w:r w:rsidRPr="00834B27">
              <w:rPr>
                <w:rFonts w:ascii="Calibri" w:hAnsi="Calibri" w:cs="Calibri"/>
                <w:noProof/>
                <w:webHidden/>
                <w:sz w:val="20"/>
                <w:szCs w:val="20"/>
                <w:lang w:val="ro-RO"/>
              </w:rPr>
              <w:tab/>
            </w:r>
            <w:r w:rsidRPr="00834B27">
              <w:rPr>
                <w:rFonts w:ascii="Calibri" w:hAnsi="Calibri" w:cs="Calibri"/>
                <w:noProof/>
                <w:webHidden/>
                <w:sz w:val="20"/>
                <w:szCs w:val="20"/>
                <w:lang w:val="ro-RO"/>
              </w:rPr>
              <w:fldChar w:fldCharType="begin"/>
            </w:r>
            <w:r w:rsidRPr="00834B27">
              <w:rPr>
                <w:rFonts w:ascii="Calibri" w:hAnsi="Calibri" w:cs="Calibri"/>
                <w:noProof/>
                <w:webHidden/>
                <w:sz w:val="20"/>
                <w:szCs w:val="20"/>
                <w:lang w:val="ro-RO"/>
              </w:rPr>
              <w:instrText xml:space="preserve"> PAGEREF _Toc223643878 \h </w:instrText>
            </w:r>
            <w:r w:rsidRPr="00834B27">
              <w:rPr>
                <w:rFonts w:ascii="Calibri" w:hAnsi="Calibri" w:cs="Calibri"/>
                <w:noProof/>
                <w:webHidden/>
                <w:sz w:val="20"/>
                <w:szCs w:val="20"/>
                <w:lang w:val="ro-RO"/>
              </w:rPr>
            </w:r>
            <w:r w:rsidRPr="00834B27">
              <w:rPr>
                <w:rFonts w:ascii="Calibri" w:hAnsi="Calibri" w:cs="Calibri"/>
                <w:noProof/>
                <w:webHidden/>
                <w:sz w:val="20"/>
                <w:szCs w:val="20"/>
                <w:lang w:val="ro-RO"/>
              </w:rPr>
              <w:fldChar w:fldCharType="separate"/>
            </w:r>
            <w:r w:rsidR="00E5474C" w:rsidRPr="00834B27">
              <w:rPr>
                <w:rFonts w:ascii="Calibri" w:hAnsi="Calibri" w:cs="Calibri"/>
                <w:noProof/>
                <w:webHidden/>
                <w:sz w:val="20"/>
                <w:szCs w:val="20"/>
                <w:lang w:val="ro-RO"/>
              </w:rPr>
              <w:t>25</w:t>
            </w:r>
            <w:r w:rsidRPr="00834B27">
              <w:rPr>
                <w:rFonts w:ascii="Calibri" w:hAnsi="Calibri" w:cs="Calibri"/>
                <w:noProof/>
                <w:webHidden/>
                <w:sz w:val="20"/>
                <w:szCs w:val="20"/>
                <w:lang w:val="ro-RO"/>
              </w:rPr>
              <w:fldChar w:fldCharType="end"/>
            </w:r>
          </w:hyperlink>
        </w:p>
        <w:p w14:paraId="5ED7615B" w14:textId="5B91D858" w:rsidR="00957582" w:rsidRPr="00834B27" w:rsidRDefault="00957582" w:rsidP="00957582">
          <w:pPr>
            <w:pStyle w:val="Cuprins2"/>
            <w:tabs>
              <w:tab w:val="left" w:pos="960"/>
              <w:tab w:val="right" w:leader="underscore" w:pos="9350"/>
            </w:tabs>
            <w:spacing w:before="0"/>
            <w:rPr>
              <w:rFonts w:ascii="Calibri" w:eastAsiaTheme="minorEastAsia" w:hAnsi="Calibri" w:cs="Calibri"/>
              <w:b w:val="0"/>
              <w:bCs w:val="0"/>
              <w:noProof/>
              <w:sz w:val="20"/>
              <w:szCs w:val="20"/>
              <w:lang w:val="ro-RO" w:eastAsia="en-GB"/>
            </w:rPr>
          </w:pPr>
          <w:hyperlink w:anchor="_Toc223643879" w:history="1">
            <w:r w:rsidRPr="00834B27">
              <w:rPr>
                <w:rStyle w:val="Hyperlink"/>
                <w:rFonts w:ascii="Calibri" w:hAnsi="Calibri" w:cs="Calibri"/>
                <w:noProof/>
                <w:sz w:val="20"/>
                <w:szCs w:val="20"/>
                <w:lang w:val="ro-RO"/>
              </w:rPr>
              <w:t>1.9</w:t>
            </w:r>
            <w:r w:rsidRPr="00834B27">
              <w:rPr>
                <w:rFonts w:ascii="Calibri" w:eastAsiaTheme="minorEastAsia" w:hAnsi="Calibri" w:cs="Calibri"/>
                <w:b w:val="0"/>
                <w:bCs w:val="0"/>
                <w:noProof/>
                <w:sz w:val="20"/>
                <w:szCs w:val="20"/>
                <w:lang w:val="ro-RO" w:eastAsia="en-GB"/>
              </w:rPr>
              <w:tab/>
            </w:r>
            <w:r w:rsidRPr="00834B27">
              <w:rPr>
                <w:rStyle w:val="Hyperlink"/>
                <w:rFonts w:ascii="Calibri" w:hAnsi="Calibri" w:cs="Calibri"/>
                <w:noProof/>
                <w:sz w:val="20"/>
                <w:szCs w:val="20"/>
                <w:lang w:val="ro-RO"/>
              </w:rPr>
              <w:t>Venituri din transferul bunurilor imobile din patrimoniul personal</w:t>
            </w:r>
            <w:r w:rsidRPr="00834B27">
              <w:rPr>
                <w:rFonts w:ascii="Calibri" w:hAnsi="Calibri" w:cs="Calibri"/>
                <w:noProof/>
                <w:webHidden/>
                <w:sz w:val="20"/>
                <w:szCs w:val="20"/>
                <w:lang w:val="ro-RO"/>
              </w:rPr>
              <w:tab/>
            </w:r>
            <w:r w:rsidRPr="00834B27">
              <w:rPr>
                <w:rFonts w:ascii="Calibri" w:hAnsi="Calibri" w:cs="Calibri"/>
                <w:noProof/>
                <w:webHidden/>
                <w:sz w:val="20"/>
                <w:szCs w:val="20"/>
                <w:lang w:val="ro-RO"/>
              </w:rPr>
              <w:fldChar w:fldCharType="begin"/>
            </w:r>
            <w:r w:rsidRPr="00834B27">
              <w:rPr>
                <w:rFonts w:ascii="Calibri" w:hAnsi="Calibri" w:cs="Calibri"/>
                <w:noProof/>
                <w:webHidden/>
                <w:sz w:val="20"/>
                <w:szCs w:val="20"/>
                <w:lang w:val="ro-RO"/>
              </w:rPr>
              <w:instrText xml:space="preserve"> PAGEREF _Toc223643879 \h </w:instrText>
            </w:r>
            <w:r w:rsidRPr="00834B27">
              <w:rPr>
                <w:rFonts w:ascii="Calibri" w:hAnsi="Calibri" w:cs="Calibri"/>
                <w:noProof/>
                <w:webHidden/>
                <w:sz w:val="20"/>
                <w:szCs w:val="20"/>
                <w:lang w:val="ro-RO"/>
              </w:rPr>
            </w:r>
            <w:r w:rsidRPr="00834B27">
              <w:rPr>
                <w:rFonts w:ascii="Calibri" w:hAnsi="Calibri" w:cs="Calibri"/>
                <w:noProof/>
                <w:webHidden/>
                <w:sz w:val="20"/>
                <w:szCs w:val="20"/>
                <w:lang w:val="ro-RO"/>
              </w:rPr>
              <w:fldChar w:fldCharType="separate"/>
            </w:r>
            <w:r w:rsidR="00E5474C" w:rsidRPr="00834B27">
              <w:rPr>
                <w:rFonts w:ascii="Calibri" w:hAnsi="Calibri" w:cs="Calibri"/>
                <w:noProof/>
                <w:webHidden/>
                <w:sz w:val="20"/>
                <w:szCs w:val="20"/>
                <w:lang w:val="ro-RO"/>
              </w:rPr>
              <w:t>26</w:t>
            </w:r>
            <w:r w:rsidRPr="00834B27">
              <w:rPr>
                <w:rFonts w:ascii="Calibri" w:hAnsi="Calibri" w:cs="Calibri"/>
                <w:noProof/>
                <w:webHidden/>
                <w:sz w:val="20"/>
                <w:szCs w:val="20"/>
                <w:lang w:val="ro-RO"/>
              </w:rPr>
              <w:fldChar w:fldCharType="end"/>
            </w:r>
          </w:hyperlink>
        </w:p>
        <w:p w14:paraId="07BEC6B7" w14:textId="0EE86639" w:rsidR="00957582" w:rsidRPr="00834B27" w:rsidRDefault="00957582" w:rsidP="00957582">
          <w:pPr>
            <w:pStyle w:val="Cuprins2"/>
            <w:tabs>
              <w:tab w:val="left" w:pos="960"/>
              <w:tab w:val="right" w:leader="underscore" w:pos="9350"/>
            </w:tabs>
            <w:spacing w:before="0"/>
            <w:rPr>
              <w:rFonts w:ascii="Calibri" w:eastAsiaTheme="minorEastAsia" w:hAnsi="Calibri" w:cs="Calibri"/>
              <w:b w:val="0"/>
              <w:bCs w:val="0"/>
              <w:noProof/>
              <w:sz w:val="20"/>
              <w:szCs w:val="20"/>
              <w:lang w:val="ro-RO" w:eastAsia="en-GB"/>
            </w:rPr>
          </w:pPr>
          <w:hyperlink w:anchor="_Toc223643880" w:history="1">
            <w:r w:rsidRPr="00834B27">
              <w:rPr>
                <w:rStyle w:val="Hyperlink"/>
                <w:rFonts w:ascii="Calibri" w:hAnsi="Calibri" w:cs="Calibri"/>
                <w:noProof/>
                <w:sz w:val="20"/>
                <w:szCs w:val="20"/>
                <w:lang w:val="ro-RO"/>
              </w:rPr>
              <w:t>1.10</w:t>
            </w:r>
            <w:r w:rsidRPr="00834B27">
              <w:rPr>
                <w:rFonts w:ascii="Calibri" w:eastAsiaTheme="minorEastAsia" w:hAnsi="Calibri" w:cs="Calibri"/>
                <w:b w:val="0"/>
                <w:bCs w:val="0"/>
                <w:noProof/>
                <w:sz w:val="20"/>
                <w:szCs w:val="20"/>
                <w:lang w:val="ro-RO" w:eastAsia="en-GB"/>
              </w:rPr>
              <w:tab/>
            </w:r>
            <w:r w:rsidRPr="00834B27">
              <w:rPr>
                <w:rStyle w:val="Hyperlink"/>
                <w:rFonts w:ascii="Calibri" w:hAnsi="Calibri" w:cs="Calibri"/>
                <w:noProof/>
                <w:sz w:val="20"/>
                <w:szCs w:val="20"/>
                <w:lang w:val="ro-RO"/>
              </w:rPr>
              <w:t>Venituri din alte surse</w:t>
            </w:r>
            <w:r w:rsidRPr="00834B27">
              <w:rPr>
                <w:rFonts w:ascii="Calibri" w:hAnsi="Calibri" w:cs="Calibri"/>
                <w:noProof/>
                <w:webHidden/>
                <w:sz w:val="20"/>
                <w:szCs w:val="20"/>
                <w:lang w:val="ro-RO"/>
              </w:rPr>
              <w:tab/>
            </w:r>
            <w:r w:rsidRPr="00834B27">
              <w:rPr>
                <w:rFonts w:ascii="Calibri" w:hAnsi="Calibri" w:cs="Calibri"/>
                <w:noProof/>
                <w:webHidden/>
                <w:sz w:val="20"/>
                <w:szCs w:val="20"/>
                <w:lang w:val="ro-RO"/>
              </w:rPr>
              <w:fldChar w:fldCharType="begin"/>
            </w:r>
            <w:r w:rsidRPr="00834B27">
              <w:rPr>
                <w:rFonts w:ascii="Calibri" w:hAnsi="Calibri" w:cs="Calibri"/>
                <w:noProof/>
                <w:webHidden/>
                <w:sz w:val="20"/>
                <w:szCs w:val="20"/>
                <w:lang w:val="ro-RO"/>
              </w:rPr>
              <w:instrText xml:space="preserve"> PAGEREF _Toc223643880 \h </w:instrText>
            </w:r>
            <w:r w:rsidRPr="00834B27">
              <w:rPr>
                <w:rFonts w:ascii="Calibri" w:hAnsi="Calibri" w:cs="Calibri"/>
                <w:noProof/>
                <w:webHidden/>
                <w:sz w:val="20"/>
                <w:szCs w:val="20"/>
                <w:lang w:val="ro-RO"/>
              </w:rPr>
            </w:r>
            <w:r w:rsidRPr="00834B27">
              <w:rPr>
                <w:rFonts w:ascii="Calibri" w:hAnsi="Calibri" w:cs="Calibri"/>
                <w:noProof/>
                <w:webHidden/>
                <w:sz w:val="20"/>
                <w:szCs w:val="20"/>
                <w:lang w:val="ro-RO"/>
              </w:rPr>
              <w:fldChar w:fldCharType="separate"/>
            </w:r>
            <w:r w:rsidR="00E5474C" w:rsidRPr="00834B27">
              <w:rPr>
                <w:rFonts w:ascii="Calibri" w:hAnsi="Calibri" w:cs="Calibri"/>
                <w:noProof/>
                <w:webHidden/>
                <w:sz w:val="20"/>
                <w:szCs w:val="20"/>
                <w:lang w:val="ro-RO"/>
              </w:rPr>
              <w:t>28</w:t>
            </w:r>
            <w:r w:rsidRPr="00834B27">
              <w:rPr>
                <w:rFonts w:ascii="Calibri" w:hAnsi="Calibri" w:cs="Calibri"/>
                <w:noProof/>
                <w:webHidden/>
                <w:sz w:val="20"/>
                <w:szCs w:val="20"/>
                <w:lang w:val="ro-RO"/>
              </w:rPr>
              <w:fldChar w:fldCharType="end"/>
            </w:r>
          </w:hyperlink>
        </w:p>
        <w:p w14:paraId="3CDA081D" w14:textId="7B2A1437" w:rsidR="00957582" w:rsidRPr="00834B27" w:rsidRDefault="00957582" w:rsidP="00957582">
          <w:pPr>
            <w:pStyle w:val="Cuprins2"/>
            <w:tabs>
              <w:tab w:val="left" w:pos="960"/>
              <w:tab w:val="right" w:leader="underscore" w:pos="9350"/>
            </w:tabs>
            <w:spacing w:before="0"/>
            <w:rPr>
              <w:rFonts w:ascii="Calibri" w:eastAsiaTheme="minorEastAsia" w:hAnsi="Calibri" w:cs="Calibri"/>
              <w:b w:val="0"/>
              <w:bCs w:val="0"/>
              <w:noProof/>
              <w:sz w:val="20"/>
              <w:szCs w:val="20"/>
              <w:lang w:val="ro-RO" w:eastAsia="en-GB"/>
            </w:rPr>
          </w:pPr>
          <w:hyperlink w:anchor="_Toc223643881" w:history="1">
            <w:r w:rsidRPr="00834B27">
              <w:rPr>
                <w:rStyle w:val="Hyperlink"/>
                <w:rFonts w:ascii="Calibri" w:hAnsi="Calibri" w:cs="Calibri"/>
                <w:noProof/>
                <w:sz w:val="20"/>
                <w:szCs w:val="20"/>
                <w:lang w:val="ro-RO"/>
              </w:rPr>
              <w:t>1.11</w:t>
            </w:r>
            <w:r w:rsidRPr="00834B27">
              <w:rPr>
                <w:rFonts w:ascii="Calibri" w:eastAsiaTheme="minorEastAsia" w:hAnsi="Calibri" w:cs="Calibri"/>
                <w:b w:val="0"/>
                <w:bCs w:val="0"/>
                <w:noProof/>
                <w:sz w:val="20"/>
                <w:szCs w:val="20"/>
                <w:lang w:val="ro-RO" w:eastAsia="en-GB"/>
              </w:rPr>
              <w:tab/>
            </w:r>
            <w:r w:rsidRPr="00834B27">
              <w:rPr>
                <w:rStyle w:val="Hyperlink"/>
                <w:rFonts w:ascii="Calibri" w:hAnsi="Calibri" w:cs="Calibri"/>
                <w:noProof/>
                <w:sz w:val="20"/>
                <w:szCs w:val="20"/>
                <w:lang w:val="ro-RO"/>
              </w:rPr>
              <w:t>Impozitarea sumelor ce nu pot fi justificate</w:t>
            </w:r>
            <w:r w:rsidRPr="00834B27">
              <w:rPr>
                <w:rFonts w:ascii="Calibri" w:hAnsi="Calibri" w:cs="Calibri"/>
                <w:noProof/>
                <w:webHidden/>
                <w:sz w:val="20"/>
                <w:szCs w:val="20"/>
                <w:lang w:val="ro-RO"/>
              </w:rPr>
              <w:tab/>
            </w:r>
            <w:r w:rsidRPr="00834B27">
              <w:rPr>
                <w:rFonts w:ascii="Calibri" w:hAnsi="Calibri" w:cs="Calibri"/>
                <w:noProof/>
                <w:webHidden/>
                <w:sz w:val="20"/>
                <w:szCs w:val="20"/>
                <w:lang w:val="ro-RO"/>
              </w:rPr>
              <w:fldChar w:fldCharType="begin"/>
            </w:r>
            <w:r w:rsidRPr="00834B27">
              <w:rPr>
                <w:rFonts w:ascii="Calibri" w:hAnsi="Calibri" w:cs="Calibri"/>
                <w:noProof/>
                <w:webHidden/>
                <w:sz w:val="20"/>
                <w:szCs w:val="20"/>
                <w:lang w:val="ro-RO"/>
              </w:rPr>
              <w:instrText xml:space="preserve"> PAGEREF _Toc223643881 \h </w:instrText>
            </w:r>
            <w:r w:rsidRPr="00834B27">
              <w:rPr>
                <w:rFonts w:ascii="Calibri" w:hAnsi="Calibri" w:cs="Calibri"/>
                <w:noProof/>
                <w:webHidden/>
                <w:sz w:val="20"/>
                <w:szCs w:val="20"/>
                <w:lang w:val="ro-RO"/>
              </w:rPr>
            </w:r>
            <w:r w:rsidRPr="00834B27">
              <w:rPr>
                <w:rFonts w:ascii="Calibri" w:hAnsi="Calibri" w:cs="Calibri"/>
                <w:noProof/>
                <w:webHidden/>
                <w:sz w:val="20"/>
                <w:szCs w:val="20"/>
                <w:lang w:val="ro-RO"/>
              </w:rPr>
              <w:fldChar w:fldCharType="separate"/>
            </w:r>
            <w:r w:rsidR="00E5474C" w:rsidRPr="00834B27">
              <w:rPr>
                <w:rFonts w:ascii="Calibri" w:hAnsi="Calibri" w:cs="Calibri"/>
                <w:noProof/>
                <w:webHidden/>
                <w:sz w:val="20"/>
                <w:szCs w:val="20"/>
                <w:lang w:val="ro-RO"/>
              </w:rPr>
              <w:t>29</w:t>
            </w:r>
            <w:r w:rsidRPr="00834B27">
              <w:rPr>
                <w:rFonts w:ascii="Calibri" w:hAnsi="Calibri" w:cs="Calibri"/>
                <w:noProof/>
                <w:webHidden/>
                <w:sz w:val="20"/>
                <w:szCs w:val="20"/>
                <w:lang w:val="ro-RO"/>
              </w:rPr>
              <w:fldChar w:fldCharType="end"/>
            </w:r>
          </w:hyperlink>
        </w:p>
        <w:p w14:paraId="13760BC4" w14:textId="4B1D679D" w:rsidR="00957582" w:rsidRPr="00834B27" w:rsidRDefault="00957582" w:rsidP="00957582">
          <w:pPr>
            <w:pStyle w:val="Cuprins2"/>
            <w:tabs>
              <w:tab w:val="left" w:pos="960"/>
              <w:tab w:val="right" w:leader="underscore" w:pos="9350"/>
            </w:tabs>
            <w:spacing w:before="0"/>
            <w:rPr>
              <w:rFonts w:ascii="Calibri" w:eastAsiaTheme="minorEastAsia" w:hAnsi="Calibri" w:cs="Calibri"/>
              <w:b w:val="0"/>
              <w:bCs w:val="0"/>
              <w:noProof/>
              <w:sz w:val="20"/>
              <w:szCs w:val="20"/>
              <w:lang w:val="ro-RO" w:eastAsia="en-GB"/>
            </w:rPr>
          </w:pPr>
          <w:hyperlink w:anchor="_Toc223643882" w:history="1">
            <w:r w:rsidRPr="00834B27">
              <w:rPr>
                <w:rStyle w:val="Hyperlink"/>
                <w:rFonts w:ascii="Calibri" w:hAnsi="Calibri" w:cs="Calibri"/>
                <w:noProof/>
                <w:sz w:val="20"/>
                <w:szCs w:val="20"/>
                <w:lang w:val="ro-RO"/>
              </w:rPr>
              <w:t>1.12</w:t>
            </w:r>
            <w:r w:rsidRPr="00834B27">
              <w:rPr>
                <w:rFonts w:ascii="Calibri" w:eastAsiaTheme="minorEastAsia" w:hAnsi="Calibri" w:cs="Calibri"/>
                <w:b w:val="0"/>
                <w:bCs w:val="0"/>
                <w:noProof/>
                <w:sz w:val="20"/>
                <w:szCs w:val="20"/>
                <w:lang w:val="ro-RO" w:eastAsia="en-GB"/>
              </w:rPr>
              <w:tab/>
            </w:r>
            <w:r w:rsidRPr="00834B27">
              <w:rPr>
                <w:rStyle w:val="Hyperlink"/>
                <w:rFonts w:ascii="Calibri" w:hAnsi="Calibri" w:cs="Calibri"/>
                <w:noProof/>
                <w:sz w:val="20"/>
                <w:szCs w:val="20"/>
                <w:lang w:val="ro-RO"/>
              </w:rPr>
              <w:t>„CFC Rules”</w:t>
            </w:r>
            <w:r w:rsidRPr="00834B27">
              <w:rPr>
                <w:rFonts w:ascii="Calibri" w:hAnsi="Calibri" w:cs="Calibri"/>
                <w:noProof/>
                <w:webHidden/>
                <w:sz w:val="20"/>
                <w:szCs w:val="20"/>
                <w:lang w:val="ro-RO"/>
              </w:rPr>
              <w:tab/>
            </w:r>
            <w:r w:rsidRPr="00834B27">
              <w:rPr>
                <w:rFonts w:ascii="Calibri" w:hAnsi="Calibri" w:cs="Calibri"/>
                <w:noProof/>
                <w:webHidden/>
                <w:sz w:val="20"/>
                <w:szCs w:val="20"/>
                <w:lang w:val="ro-RO"/>
              </w:rPr>
              <w:fldChar w:fldCharType="begin"/>
            </w:r>
            <w:r w:rsidRPr="00834B27">
              <w:rPr>
                <w:rFonts w:ascii="Calibri" w:hAnsi="Calibri" w:cs="Calibri"/>
                <w:noProof/>
                <w:webHidden/>
                <w:sz w:val="20"/>
                <w:szCs w:val="20"/>
                <w:lang w:val="ro-RO"/>
              </w:rPr>
              <w:instrText xml:space="preserve"> PAGEREF _Toc223643882 \h </w:instrText>
            </w:r>
            <w:r w:rsidRPr="00834B27">
              <w:rPr>
                <w:rFonts w:ascii="Calibri" w:hAnsi="Calibri" w:cs="Calibri"/>
                <w:noProof/>
                <w:webHidden/>
                <w:sz w:val="20"/>
                <w:szCs w:val="20"/>
                <w:lang w:val="ro-RO"/>
              </w:rPr>
            </w:r>
            <w:r w:rsidRPr="00834B27">
              <w:rPr>
                <w:rFonts w:ascii="Calibri" w:hAnsi="Calibri" w:cs="Calibri"/>
                <w:noProof/>
                <w:webHidden/>
                <w:sz w:val="20"/>
                <w:szCs w:val="20"/>
                <w:lang w:val="ro-RO"/>
              </w:rPr>
              <w:fldChar w:fldCharType="separate"/>
            </w:r>
            <w:r w:rsidR="00E5474C" w:rsidRPr="00834B27">
              <w:rPr>
                <w:rFonts w:ascii="Calibri" w:hAnsi="Calibri" w:cs="Calibri"/>
                <w:noProof/>
                <w:webHidden/>
                <w:sz w:val="20"/>
                <w:szCs w:val="20"/>
                <w:lang w:val="ro-RO"/>
              </w:rPr>
              <w:t>31</w:t>
            </w:r>
            <w:r w:rsidRPr="00834B27">
              <w:rPr>
                <w:rFonts w:ascii="Calibri" w:hAnsi="Calibri" w:cs="Calibri"/>
                <w:noProof/>
                <w:webHidden/>
                <w:sz w:val="20"/>
                <w:szCs w:val="20"/>
                <w:lang w:val="ro-RO"/>
              </w:rPr>
              <w:fldChar w:fldCharType="end"/>
            </w:r>
          </w:hyperlink>
        </w:p>
        <w:p w14:paraId="32AE1FC4" w14:textId="2F0382FF" w:rsidR="00957582" w:rsidRPr="00834B27" w:rsidRDefault="00957582" w:rsidP="00957582">
          <w:pPr>
            <w:pStyle w:val="Cuprins2"/>
            <w:tabs>
              <w:tab w:val="left" w:pos="960"/>
              <w:tab w:val="right" w:leader="underscore" w:pos="9350"/>
            </w:tabs>
            <w:spacing w:before="0"/>
            <w:rPr>
              <w:rFonts w:ascii="Calibri" w:eastAsiaTheme="minorEastAsia" w:hAnsi="Calibri" w:cs="Calibri"/>
              <w:b w:val="0"/>
              <w:bCs w:val="0"/>
              <w:noProof/>
              <w:sz w:val="20"/>
              <w:szCs w:val="20"/>
              <w:lang w:val="ro-RO" w:eastAsia="en-GB"/>
            </w:rPr>
          </w:pPr>
          <w:hyperlink w:anchor="_Toc223643883" w:history="1">
            <w:r w:rsidRPr="00834B27">
              <w:rPr>
                <w:rStyle w:val="Hyperlink"/>
                <w:rFonts w:ascii="Calibri" w:hAnsi="Calibri" w:cs="Calibri"/>
                <w:noProof/>
                <w:sz w:val="20"/>
                <w:szCs w:val="20"/>
                <w:lang w:val="ro-RO"/>
              </w:rPr>
              <w:t>1.13</w:t>
            </w:r>
            <w:r w:rsidRPr="00834B27">
              <w:rPr>
                <w:rFonts w:ascii="Calibri" w:eastAsiaTheme="minorEastAsia" w:hAnsi="Calibri" w:cs="Calibri"/>
                <w:b w:val="0"/>
                <w:bCs w:val="0"/>
                <w:noProof/>
                <w:sz w:val="20"/>
                <w:szCs w:val="20"/>
                <w:lang w:val="ro-RO" w:eastAsia="en-GB"/>
              </w:rPr>
              <w:tab/>
            </w:r>
            <w:r w:rsidRPr="00834B27">
              <w:rPr>
                <w:rStyle w:val="Hyperlink"/>
                <w:rFonts w:ascii="Calibri" w:hAnsi="Calibri" w:cs="Calibri"/>
                <w:noProof/>
                <w:sz w:val="20"/>
                <w:szCs w:val="20"/>
                <w:lang w:val="ro-RO"/>
              </w:rPr>
              <w:t>„Ex</w:t>
            </w:r>
            <w:r w:rsidR="000906D5">
              <w:rPr>
                <w:rStyle w:val="Hyperlink"/>
                <w:rFonts w:ascii="Calibri" w:hAnsi="Calibri" w:cs="Calibri"/>
                <w:noProof/>
                <w:sz w:val="20"/>
                <w:szCs w:val="20"/>
                <w:lang w:val="ro-RO"/>
              </w:rPr>
              <w:t>it</w:t>
            </w:r>
            <w:r w:rsidRPr="00834B27">
              <w:rPr>
                <w:rStyle w:val="Hyperlink"/>
                <w:rFonts w:ascii="Calibri" w:hAnsi="Calibri" w:cs="Calibri"/>
                <w:noProof/>
                <w:sz w:val="20"/>
                <w:szCs w:val="20"/>
                <w:lang w:val="ro-RO"/>
              </w:rPr>
              <w:t xml:space="preserve"> Tax”</w:t>
            </w:r>
            <w:r w:rsidRPr="00834B27">
              <w:rPr>
                <w:rFonts w:ascii="Calibri" w:hAnsi="Calibri" w:cs="Calibri"/>
                <w:noProof/>
                <w:webHidden/>
                <w:sz w:val="20"/>
                <w:szCs w:val="20"/>
                <w:lang w:val="ro-RO"/>
              </w:rPr>
              <w:tab/>
            </w:r>
            <w:r w:rsidRPr="00834B27">
              <w:rPr>
                <w:rFonts w:ascii="Calibri" w:hAnsi="Calibri" w:cs="Calibri"/>
                <w:noProof/>
                <w:webHidden/>
                <w:sz w:val="20"/>
                <w:szCs w:val="20"/>
                <w:lang w:val="ro-RO"/>
              </w:rPr>
              <w:fldChar w:fldCharType="begin"/>
            </w:r>
            <w:r w:rsidRPr="00834B27">
              <w:rPr>
                <w:rFonts w:ascii="Calibri" w:hAnsi="Calibri" w:cs="Calibri"/>
                <w:noProof/>
                <w:webHidden/>
                <w:sz w:val="20"/>
                <w:szCs w:val="20"/>
                <w:lang w:val="ro-RO"/>
              </w:rPr>
              <w:instrText xml:space="preserve"> PAGEREF _Toc223643883 \h </w:instrText>
            </w:r>
            <w:r w:rsidRPr="00834B27">
              <w:rPr>
                <w:rFonts w:ascii="Calibri" w:hAnsi="Calibri" w:cs="Calibri"/>
                <w:noProof/>
                <w:webHidden/>
                <w:sz w:val="20"/>
                <w:szCs w:val="20"/>
                <w:lang w:val="ro-RO"/>
              </w:rPr>
            </w:r>
            <w:r w:rsidRPr="00834B27">
              <w:rPr>
                <w:rFonts w:ascii="Calibri" w:hAnsi="Calibri" w:cs="Calibri"/>
                <w:noProof/>
                <w:webHidden/>
                <w:sz w:val="20"/>
                <w:szCs w:val="20"/>
                <w:lang w:val="ro-RO"/>
              </w:rPr>
              <w:fldChar w:fldCharType="separate"/>
            </w:r>
            <w:r w:rsidR="00E5474C" w:rsidRPr="00834B27">
              <w:rPr>
                <w:rFonts w:ascii="Calibri" w:hAnsi="Calibri" w:cs="Calibri"/>
                <w:noProof/>
                <w:webHidden/>
                <w:sz w:val="20"/>
                <w:szCs w:val="20"/>
                <w:lang w:val="ro-RO"/>
              </w:rPr>
              <w:t>32</w:t>
            </w:r>
            <w:r w:rsidRPr="00834B27">
              <w:rPr>
                <w:rFonts w:ascii="Calibri" w:hAnsi="Calibri" w:cs="Calibri"/>
                <w:noProof/>
                <w:webHidden/>
                <w:sz w:val="20"/>
                <w:szCs w:val="20"/>
                <w:lang w:val="ro-RO"/>
              </w:rPr>
              <w:fldChar w:fldCharType="end"/>
            </w:r>
          </w:hyperlink>
        </w:p>
        <w:p w14:paraId="5D057991" w14:textId="6EBB9291" w:rsidR="00957582" w:rsidRPr="00834B27" w:rsidRDefault="00957582" w:rsidP="00957582">
          <w:pPr>
            <w:pStyle w:val="Cuprins2"/>
            <w:tabs>
              <w:tab w:val="left" w:pos="960"/>
              <w:tab w:val="right" w:leader="underscore" w:pos="9350"/>
            </w:tabs>
            <w:spacing w:before="0"/>
            <w:rPr>
              <w:rFonts w:ascii="Calibri" w:eastAsiaTheme="minorEastAsia" w:hAnsi="Calibri" w:cs="Calibri"/>
              <w:b w:val="0"/>
              <w:bCs w:val="0"/>
              <w:noProof/>
              <w:sz w:val="20"/>
              <w:szCs w:val="20"/>
              <w:lang w:val="ro-RO" w:eastAsia="en-GB"/>
            </w:rPr>
          </w:pPr>
          <w:hyperlink w:anchor="_Toc223643884" w:history="1">
            <w:r w:rsidRPr="00834B27">
              <w:rPr>
                <w:rStyle w:val="Hyperlink"/>
                <w:rFonts w:ascii="Calibri" w:hAnsi="Calibri" w:cs="Calibri"/>
                <w:noProof/>
                <w:sz w:val="20"/>
                <w:szCs w:val="20"/>
                <w:lang w:val="ro-RO"/>
              </w:rPr>
              <w:t>1.14</w:t>
            </w:r>
            <w:r w:rsidRPr="00834B27">
              <w:rPr>
                <w:rFonts w:ascii="Calibri" w:eastAsiaTheme="minorEastAsia" w:hAnsi="Calibri" w:cs="Calibri"/>
                <w:b w:val="0"/>
                <w:bCs w:val="0"/>
                <w:noProof/>
                <w:sz w:val="20"/>
                <w:szCs w:val="20"/>
                <w:lang w:val="ro-RO" w:eastAsia="en-GB"/>
              </w:rPr>
              <w:tab/>
            </w:r>
            <w:r w:rsidRPr="00834B27">
              <w:rPr>
                <w:rStyle w:val="Hyperlink"/>
                <w:rFonts w:ascii="Calibri" w:hAnsi="Calibri" w:cs="Calibri"/>
                <w:noProof/>
                <w:sz w:val="20"/>
                <w:szCs w:val="20"/>
                <w:lang w:val="ro-RO"/>
              </w:rPr>
              <w:t>Concluzii</w:t>
            </w:r>
            <w:r w:rsidRPr="00834B27">
              <w:rPr>
                <w:rFonts w:ascii="Calibri" w:hAnsi="Calibri" w:cs="Calibri"/>
                <w:noProof/>
                <w:webHidden/>
                <w:sz w:val="20"/>
                <w:szCs w:val="20"/>
                <w:lang w:val="ro-RO"/>
              </w:rPr>
              <w:tab/>
            </w:r>
            <w:r w:rsidRPr="00834B27">
              <w:rPr>
                <w:rFonts w:ascii="Calibri" w:hAnsi="Calibri" w:cs="Calibri"/>
                <w:noProof/>
                <w:webHidden/>
                <w:sz w:val="20"/>
                <w:szCs w:val="20"/>
                <w:lang w:val="ro-RO"/>
              </w:rPr>
              <w:fldChar w:fldCharType="begin"/>
            </w:r>
            <w:r w:rsidRPr="00834B27">
              <w:rPr>
                <w:rFonts w:ascii="Calibri" w:hAnsi="Calibri" w:cs="Calibri"/>
                <w:noProof/>
                <w:webHidden/>
                <w:sz w:val="20"/>
                <w:szCs w:val="20"/>
                <w:lang w:val="ro-RO"/>
              </w:rPr>
              <w:instrText xml:space="preserve"> PAGEREF _Toc223643884 \h </w:instrText>
            </w:r>
            <w:r w:rsidRPr="00834B27">
              <w:rPr>
                <w:rFonts w:ascii="Calibri" w:hAnsi="Calibri" w:cs="Calibri"/>
                <w:noProof/>
                <w:webHidden/>
                <w:sz w:val="20"/>
                <w:szCs w:val="20"/>
                <w:lang w:val="ro-RO"/>
              </w:rPr>
            </w:r>
            <w:r w:rsidRPr="00834B27">
              <w:rPr>
                <w:rFonts w:ascii="Calibri" w:hAnsi="Calibri" w:cs="Calibri"/>
                <w:noProof/>
                <w:webHidden/>
                <w:sz w:val="20"/>
                <w:szCs w:val="20"/>
                <w:lang w:val="ro-RO"/>
              </w:rPr>
              <w:fldChar w:fldCharType="separate"/>
            </w:r>
            <w:r w:rsidR="00E5474C" w:rsidRPr="00834B27">
              <w:rPr>
                <w:rFonts w:ascii="Calibri" w:hAnsi="Calibri" w:cs="Calibri"/>
                <w:noProof/>
                <w:webHidden/>
                <w:sz w:val="20"/>
                <w:szCs w:val="20"/>
                <w:lang w:val="ro-RO"/>
              </w:rPr>
              <w:t>32</w:t>
            </w:r>
            <w:r w:rsidRPr="00834B27">
              <w:rPr>
                <w:rFonts w:ascii="Calibri" w:hAnsi="Calibri" w:cs="Calibri"/>
                <w:noProof/>
                <w:webHidden/>
                <w:sz w:val="20"/>
                <w:szCs w:val="20"/>
                <w:lang w:val="ro-RO"/>
              </w:rPr>
              <w:fldChar w:fldCharType="end"/>
            </w:r>
          </w:hyperlink>
        </w:p>
        <w:p w14:paraId="3615A7F0" w14:textId="77DF6469" w:rsidR="00957582" w:rsidRPr="00834B27" w:rsidRDefault="00957582" w:rsidP="00957582">
          <w:pPr>
            <w:pStyle w:val="Cuprins1"/>
            <w:tabs>
              <w:tab w:val="left" w:pos="1440"/>
              <w:tab w:val="right" w:leader="underscore" w:pos="9350"/>
            </w:tabs>
            <w:spacing w:before="0"/>
            <w:rPr>
              <w:rFonts w:ascii="Calibri" w:eastAsiaTheme="minorEastAsia" w:hAnsi="Calibri" w:cs="Calibri"/>
              <w:b w:val="0"/>
              <w:bCs w:val="0"/>
              <w:i w:val="0"/>
              <w:iCs w:val="0"/>
              <w:noProof/>
              <w:sz w:val="20"/>
              <w:szCs w:val="20"/>
              <w:lang w:val="ro-RO" w:eastAsia="en-GB"/>
            </w:rPr>
          </w:pPr>
          <w:hyperlink w:anchor="_Toc223643885" w:history="1">
            <w:r w:rsidRPr="00834B27">
              <w:rPr>
                <w:rStyle w:val="Hyperlink"/>
                <w:rFonts w:ascii="Calibri" w:hAnsi="Calibri" w:cs="Calibri"/>
                <w:noProof/>
                <w:sz w:val="20"/>
                <w:szCs w:val="20"/>
                <w:lang w:val="ro-RO"/>
              </w:rPr>
              <w:t>Capitolul 2</w:t>
            </w:r>
            <w:r w:rsidRPr="00834B27">
              <w:rPr>
                <w:rFonts w:ascii="Calibri" w:eastAsiaTheme="minorEastAsia" w:hAnsi="Calibri" w:cs="Calibri"/>
                <w:b w:val="0"/>
                <w:bCs w:val="0"/>
                <w:i w:val="0"/>
                <w:iCs w:val="0"/>
                <w:noProof/>
                <w:sz w:val="20"/>
                <w:szCs w:val="20"/>
                <w:lang w:val="ro-RO" w:eastAsia="en-GB"/>
              </w:rPr>
              <w:tab/>
            </w:r>
            <w:r w:rsidRPr="00834B27">
              <w:rPr>
                <w:rStyle w:val="Hyperlink"/>
                <w:rFonts w:ascii="Calibri" w:hAnsi="Calibri" w:cs="Calibri"/>
                <w:noProof/>
                <w:sz w:val="20"/>
                <w:szCs w:val="20"/>
                <w:lang w:val="ro-RO"/>
              </w:rPr>
              <w:t>– Scenarii de reformă</w:t>
            </w:r>
            <w:r w:rsidRPr="00834B27">
              <w:rPr>
                <w:rFonts w:ascii="Calibri" w:hAnsi="Calibri" w:cs="Calibri"/>
                <w:noProof/>
                <w:webHidden/>
                <w:sz w:val="20"/>
                <w:szCs w:val="20"/>
                <w:lang w:val="ro-RO"/>
              </w:rPr>
              <w:tab/>
            </w:r>
            <w:r w:rsidRPr="00834B27">
              <w:rPr>
                <w:rFonts w:ascii="Calibri" w:hAnsi="Calibri" w:cs="Calibri"/>
                <w:noProof/>
                <w:webHidden/>
                <w:sz w:val="20"/>
                <w:szCs w:val="20"/>
                <w:lang w:val="ro-RO"/>
              </w:rPr>
              <w:fldChar w:fldCharType="begin"/>
            </w:r>
            <w:r w:rsidRPr="00834B27">
              <w:rPr>
                <w:rFonts w:ascii="Calibri" w:hAnsi="Calibri" w:cs="Calibri"/>
                <w:noProof/>
                <w:webHidden/>
                <w:sz w:val="20"/>
                <w:szCs w:val="20"/>
                <w:lang w:val="ro-RO"/>
              </w:rPr>
              <w:instrText xml:space="preserve"> PAGEREF _Toc223643885 \h </w:instrText>
            </w:r>
            <w:r w:rsidRPr="00834B27">
              <w:rPr>
                <w:rFonts w:ascii="Calibri" w:hAnsi="Calibri" w:cs="Calibri"/>
                <w:noProof/>
                <w:webHidden/>
                <w:sz w:val="20"/>
                <w:szCs w:val="20"/>
                <w:lang w:val="ro-RO"/>
              </w:rPr>
            </w:r>
            <w:r w:rsidRPr="00834B27">
              <w:rPr>
                <w:rFonts w:ascii="Calibri" w:hAnsi="Calibri" w:cs="Calibri"/>
                <w:noProof/>
                <w:webHidden/>
                <w:sz w:val="20"/>
                <w:szCs w:val="20"/>
                <w:lang w:val="ro-RO"/>
              </w:rPr>
              <w:fldChar w:fldCharType="separate"/>
            </w:r>
            <w:r w:rsidR="00E5474C" w:rsidRPr="00834B27">
              <w:rPr>
                <w:rFonts w:ascii="Calibri" w:hAnsi="Calibri" w:cs="Calibri"/>
                <w:noProof/>
                <w:webHidden/>
                <w:sz w:val="20"/>
                <w:szCs w:val="20"/>
                <w:lang w:val="ro-RO"/>
              </w:rPr>
              <w:t>39</w:t>
            </w:r>
            <w:r w:rsidRPr="00834B27">
              <w:rPr>
                <w:rFonts w:ascii="Calibri" w:hAnsi="Calibri" w:cs="Calibri"/>
                <w:noProof/>
                <w:webHidden/>
                <w:sz w:val="20"/>
                <w:szCs w:val="20"/>
                <w:lang w:val="ro-RO"/>
              </w:rPr>
              <w:fldChar w:fldCharType="end"/>
            </w:r>
          </w:hyperlink>
        </w:p>
        <w:p w14:paraId="77D86A1E" w14:textId="5FEE152D" w:rsidR="00957582" w:rsidRPr="00834B27" w:rsidRDefault="00957582" w:rsidP="00957582">
          <w:pPr>
            <w:pStyle w:val="Cuprins2"/>
            <w:tabs>
              <w:tab w:val="left" w:pos="960"/>
              <w:tab w:val="right" w:leader="underscore" w:pos="9350"/>
            </w:tabs>
            <w:spacing w:before="0"/>
            <w:rPr>
              <w:rFonts w:ascii="Calibri" w:eastAsiaTheme="minorEastAsia" w:hAnsi="Calibri" w:cs="Calibri"/>
              <w:b w:val="0"/>
              <w:bCs w:val="0"/>
              <w:noProof/>
              <w:sz w:val="20"/>
              <w:szCs w:val="20"/>
              <w:lang w:val="ro-RO" w:eastAsia="en-GB"/>
            </w:rPr>
          </w:pPr>
          <w:hyperlink w:anchor="_Toc223643886" w:history="1">
            <w:r w:rsidRPr="00834B27">
              <w:rPr>
                <w:rStyle w:val="Hyperlink"/>
                <w:rFonts w:ascii="Calibri" w:hAnsi="Calibri" w:cs="Calibri"/>
                <w:noProof/>
                <w:sz w:val="20"/>
                <w:szCs w:val="20"/>
                <w:lang w:val="ro-RO"/>
              </w:rPr>
              <w:t>2.1</w:t>
            </w:r>
            <w:r w:rsidRPr="00834B27">
              <w:rPr>
                <w:rFonts w:ascii="Calibri" w:eastAsiaTheme="minorEastAsia" w:hAnsi="Calibri" w:cs="Calibri"/>
                <w:b w:val="0"/>
                <w:bCs w:val="0"/>
                <w:noProof/>
                <w:sz w:val="20"/>
                <w:szCs w:val="20"/>
                <w:lang w:val="ro-RO" w:eastAsia="en-GB"/>
              </w:rPr>
              <w:tab/>
            </w:r>
            <w:r w:rsidRPr="00834B27">
              <w:rPr>
                <w:rStyle w:val="Hyperlink"/>
                <w:rFonts w:ascii="Calibri" w:hAnsi="Calibri" w:cs="Calibri"/>
                <w:noProof/>
                <w:sz w:val="20"/>
                <w:szCs w:val="20"/>
                <w:lang w:val="ro-RO"/>
              </w:rPr>
              <w:t>Principii</w:t>
            </w:r>
            <w:r w:rsidRPr="00834B27">
              <w:rPr>
                <w:rFonts w:ascii="Calibri" w:hAnsi="Calibri" w:cs="Calibri"/>
                <w:noProof/>
                <w:webHidden/>
                <w:sz w:val="20"/>
                <w:szCs w:val="20"/>
                <w:lang w:val="ro-RO"/>
              </w:rPr>
              <w:tab/>
            </w:r>
            <w:r w:rsidRPr="00834B27">
              <w:rPr>
                <w:rFonts w:ascii="Calibri" w:hAnsi="Calibri" w:cs="Calibri"/>
                <w:noProof/>
                <w:webHidden/>
                <w:sz w:val="20"/>
                <w:szCs w:val="20"/>
                <w:lang w:val="ro-RO"/>
              </w:rPr>
              <w:fldChar w:fldCharType="begin"/>
            </w:r>
            <w:r w:rsidRPr="00834B27">
              <w:rPr>
                <w:rFonts w:ascii="Calibri" w:hAnsi="Calibri" w:cs="Calibri"/>
                <w:noProof/>
                <w:webHidden/>
                <w:sz w:val="20"/>
                <w:szCs w:val="20"/>
                <w:lang w:val="ro-RO"/>
              </w:rPr>
              <w:instrText xml:space="preserve"> PAGEREF _Toc223643886 \h </w:instrText>
            </w:r>
            <w:r w:rsidRPr="00834B27">
              <w:rPr>
                <w:rFonts w:ascii="Calibri" w:hAnsi="Calibri" w:cs="Calibri"/>
                <w:noProof/>
                <w:webHidden/>
                <w:sz w:val="20"/>
                <w:szCs w:val="20"/>
                <w:lang w:val="ro-RO"/>
              </w:rPr>
            </w:r>
            <w:r w:rsidRPr="00834B27">
              <w:rPr>
                <w:rFonts w:ascii="Calibri" w:hAnsi="Calibri" w:cs="Calibri"/>
                <w:noProof/>
                <w:webHidden/>
                <w:sz w:val="20"/>
                <w:szCs w:val="20"/>
                <w:lang w:val="ro-RO"/>
              </w:rPr>
              <w:fldChar w:fldCharType="separate"/>
            </w:r>
            <w:r w:rsidR="00E5474C" w:rsidRPr="00834B27">
              <w:rPr>
                <w:rFonts w:ascii="Calibri" w:hAnsi="Calibri" w:cs="Calibri"/>
                <w:noProof/>
                <w:webHidden/>
                <w:sz w:val="20"/>
                <w:szCs w:val="20"/>
                <w:lang w:val="ro-RO"/>
              </w:rPr>
              <w:t>39</w:t>
            </w:r>
            <w:r w:rsidRPr="00834B27">
              <w:rPr>
                <w:rFonts w:ascii="Calibri" w:hAnsi="Calibri" w:cs="Calibri"/>
                <w:noProof/>
                <w:webHidden/>
                <w:sz w:val="20"/>
                <w:szCs w:val="20"/>
                <w:lang w:val="ro-RO"/>
              </w:rPr>
              <w:fldChar w:fldCharType="end"/>
            </w:r>
          </w:hyperlink>
        </w:p>
        <w:p w14:paraId="446BE920" w14:textId="21421DC9" w:rsidR="00957582" w:rsidRPr="00834B27" w:rsidRDefault="00957582" w:rsidP="00957582">
          <w:pPr>
            <w:pStyle w:val="Cuprins2"/>
            <w:tabs>
              <w:tab w:val="left" w:pos="960"/>
              <w:tab w:val="right" w:leader="underscore" w:pos="9350"/>
            </w:tabs>
            <w:spacing w:before="0"/>
            <w:rPr>
              <w:rFonts w:ascii="Calibri" w:eastAsiaTheme="minorEastAsia" w:hAnsi="Calibri" w:cs="Calibri"/>
              <w:b w:val="0"/>
              <w:bCs w:val="0"/>
              <w:noProof/>
              <w:sz w:val="20"/>
              <w:szCs w:val="20"/>
              <w:lang w:val="ro-RO" w:eastAsia="en-GB"/>
            </w:rPr>
          </w:pPr>
          <w:hyperlink w:anchor="_Toc223643887" w:history="1">
            <w:r w:rsidRPr="00834B27">
              <w:rPr>
                <w:rStyle w:val="Hyperlink"/>
                <w:rFonts w:ascii="Calibri" w:hAnsi="Calibri" w:cs="Calibri"/>
                <w:noProof/>
                <w:sz w:val="20"/>
                <w:szCs w:val="20"/>
                <w:lang w:val="ro-RO"/>
              </w:rPr>
              <w:t>2.2</w:t>
            </w:r>
            <w:r w:rsidRPr="00834B27">
              <w:rPr>
                <w:rFonts w:ascii="Calibri" w:eastAsiaTheme="minorEastAsia" w:hAnsi="Calibri" w:cs="Calibri"/>
                <w:b w:val="0"/>
                <w:bCs w:val="0"/>
                <w:noProof/>
                <w:sz w:val="20"/>
                <w:szCs w:val="20"/>
                <w:lang w:val="ro-RO" w:eastAsia="en-GB"/>
              </w:rPr>
              <w:tab/>
            </w:r>
            <w:r w:rsidRPr="00834B27">
              <w:rPr>
                <w:rStyle w:val="Hyperlink"/>
                <w:rFonts w:ascii="Calibri" w:hAnsi="Calibri" w:cs="Calibri"/>
                <w:noProof/>
                <w:sz w:val="20"/>
                <w:szCs w:val="20"/>
                <w:lang w:val="ro-RO"/>
              </w:rPr>
              <w:t>Obiective</w:t>
            </w:r>
            <w:r w:rsidRPr="00834B27">
              <w:rPr>
                <w:rFonts w:ascii="Calibri" w:hAnsi="Calibri" w:cs="Calibri"/>
                <w:noProof/>
                <w:webHidden/>
                <w:sz w:val="20"/>
                <w:szCs w:val="20"/>
                <w:lang w:val="ro-RO"/>
              </w:rPr>
              <w:tab/>
            </w:r>
            <w:r w:rsidRPr="00834B27">
              <w:rPr>
                <w:rFonts w:ascii="Calibri" w:hAnsi="Calibri" w:cs="Calibri"/>
                <w:noProof/>
                <w:webHidden/>
                <w:sz w:val="20"/>
                <w:szCs w:val="20"/>
                <w:lang w:val="ro-RO"/>
              </w:rPr>
              <w:fldChar w:fldCharType="begin"/>
            </w:r>
            <w:r w:rsidRPr="00834B27">
              <w:rPr>
                <w:rFonts w:ascii="Calibri" w:hAnsi="Calibri" w:cs="Calibri"/>
                <w:noProof/>
                <w:webHidden/>
                <w:sz w:val="20"/>
                <w:szCs w:val="20"/>
                <w:lang w:val="ro-RO"/>
              </w:rPr>
              <w:instrText xml:space="preserve"> PAGEREF _Toc223643887 \h </w:instrText>
            </w:r>
            <w:r w:rsidRPr="00834B27">
              <w:rPr>
                <w:rFonts w:ascii="Calibri" w:hAnsi="Calibri" w:cs="Calibri"/>
                <w:noProof/>
                <w:webHidden/>
                <w:sz w:val="20"/>
                <w:szCs w:val="20"/>
                <w:lang w:val="ro-RO"/>
              </w:rPr>
            </w:r>
            <w:r w:rsidRPr="00834B27">
              <w:rPr>
                <w:rFonts w:ascii="Calibri" w:hAnsi="Calibri" w:cs="Calibri"/>
                <w:noProof/>
                <w:webHidden/>
                <w:sz w:val="20"/>
                <w:szCs w:val="20"/>
                <w:lang w:val="ro-RO"/>
              </w:rPr>
              <w:fldChar w:fldCharType="separate"/>
            </w:r>
            <w:r w:rsidR="00E5474C" w:rsidRPr="00834B27">
              <w:rPr>
                <w:rFonts w:ascii="Calibri" w:hAnsi="Calibri" w:cs="Calibri"/>
                <w:noProof/>
                <w:webHidden/>
                <w:sz w:val="20"/>
                <w:szCs w:val="20"/>
                <w:lang w:val="ro-RO"/>
              </w:rPr>
              <w:t>40</w:t>
            </w:r>
            <w:r w:rsidRPr="00834B27">
              <w:rPr>
                <w:rFonts w:ascii="Calibri" w:hAnsi="Calibri" w:cs="Calibri"/>
                <w:noProof/>
                <w:webHidden/>
                <w:sz w:val="20"/>
                <w:szCs w:val="20"/>
                <w:lang w:val="ro-RO"/>
              </w:rPr>
              <w:fldChar w:fldCharType="end"/>
            </w:r>
          </w:hyperlink>
        </w:p>
        <w:p w14:paraId="7ADB3D93" w14:textId="674824FC" w:rsidR="00957582" w:rsidRPr="00834B27" w:rsidRDefault="00957582" w:rsidP="00957582">
          <w:pPr>
            <w:pStyle w:val="Cuprins1"/>
            <w:tabs>
              <w:tab w:val="right" w:leader="underscore" w:pos="9350"/>
            </w:tabs>
            <w:spacing w:before="0"/>
            <w:rPr>
              <w:rFonts w:ascii="Calibri" w:eastAsiaTheme="minorEastAsia" w:hAnsi="Calibri" w:cs="Calibri"/>
              <w:b w:val="0"/>
              <w:bCs w:val="0"/>
              <w:i w:val="0"/>
              <w:iCs w:val="0"/>
              <w:noProof/>
              <w:sz w:val="20"/>
              <w:szCs w:val="20"/>
              <w:lang w:val="ro-RO" w:eastAsia="en-GB"/>
            </w:rPr>
          </w:pPr>
          <w:hyperlink w:anchor="_Toc223643888" w:history="1">
            <w:r w:rsidRPr="00834B27">
              <w:rPr>
                <w:rStyle w:val="Hyperlink"/>
                <w:rFonts w:ascii="Calibri" w:hAnsi="Calibri" w:cs="Calibri"/>
                <w:noProof/>
                <w:sz w:val="20"/>
                <w:szCs w:val="20"/>
                <w:lang w:val="ro-RO"/>
              </w:rPr>
              <w:t>Referințe bibliografice</w:t>
            </w:r>
            <w:r w:rsidRPr="00834B27">
              <w:rPr>
                <w:rFonts w:ascii="Calibri" w:hAnsi="Calibri" w:cs="Calibri"/>
                <w:noProof/>
                <w:webHidden/>
                <w:sz w:val="20"/>
                <w:szCs w:val="20"/>
                <w:lang w:val="ro-RO"/>
              </w:rPr>
              <w:tab/>
            </w:r>
            <w:r w:rsidRPr="00834B27">
              <w:rPr>
                <w:rFonts w:ascii="Calibri" w:hAnsi="Calibri" w:cs="Calibri"/>
                <w:noProof/>
                <w:webHidden/>
                <w:sz w:val="20"/>
                <w:szCs w:val="20"/>
                <w:lang w:val="ro-RO"/>
              </w:rPr>
              <w:fldChar w:fldCharType="begin"/>
            </w:r>
            <w:r w:rsidRPr="00834B27">
              <w:rPr>
                <w:rFonts w:ascii="Calibri" w:hAnsi="Calibri" w:cs="Calibri"/>
                <w:noProof/>
                <w:webHidden/>
                <w:sz w:val="20"/>
                <w:szCs w:val="20"/>
                <w:lang w:val="ro-RO"/>
              </w:rPr>
              <w:instrText xml:space="preserve"> PAGEREF _Toc223643888 \h </w:instrText>
            </w:r>
            <w:r w:rsidRPr="00834B27">
              <w:rPr>
                <w:rFonts w:ascii="Calibri" w:hAnsi="Calibri" w:cs="Calibri"/>
                <w:noProof/>
                <w:webHidden/>
                <w:sz w:val="20"/>
                <w:szCs w:val="20"/>
                <w:lang w:val="ro-RO"/>
              </w:rPr>
            </w:r>
            <w:r w:rsidRPr="00834B27">
              <w:rPr>
                <w:rFonts w:ascii="Calibri" w:hAnsi="Calibri" w:cs="Calibri"/>
                <w:noProof/>
                <w:webHidden/>
                <w:sz w:val="20"/>
                <w:szCs w:val="20"/>
                <w:lang w:val="ro-RO"/>
              </w:rPr>
              <w:fldChar w:fldCharType="separate"/>
            </w:r>
            <w:r w:rsidR="00E5474C" w:rsidRPr="00834B27">
              <w:rPr>
                <w:rFonts w:ascii="Calibri" w:hAnsi="Calibri" w:cs="Calibri"/>
                <w:noProof/>
                <w:webHidden/>
                <w:sz w:val="20"/>
                <w:szCs w:val="20"/>
                <w:lang w:val="ro-RO"/>
              </w:rPr>
              <w:t>72</w:t>
            </w:r>
            <w:r w:rsidRPr="00834B27">
              <w:rPr>
                <w:rFonts w:ascii="Calibri" w:hAnsi="Calibri" w:cs="Calibri"/>
                <w:noProof/>
                <w:webHidden/>
                <w:sz w:val="20"/>
                <w:szCs w:val="20"/>
                <w:lang w:val="ro-RO"/>
              </w:rPr>
              <w:fldChar w:fldCharType="end"/>
            </w:r>
          </w:hyperlink>
        </w:p>
        <w:p w14:paraId="47D61F25" w14:textId="375B10B6" w:rsidR="00957582" w:rsidRPr="00834B27" w:rsidRDefault="00957582" w:rsidP="00957582">
          <w:pPr>
            <w:pStyle w:val="Cuprins1"/>
            <w:tabs>
              <w:tab w:val="right" w:leader="underscore" w:pos="9350"/>
            </w:tabs>
            <w:spacing w:before="0"/>
            <w:rPr>
              <w:rFonts w:ascii="Calibri" w:eastAsiaTheme="minorEastAsia" w:hAnsi="Calibri" w:cs="Calibri"/>
              <w:b w:val="0"/>
              <w:bCs w:val="0"/>
              <w:i w:val="0"/>
              <w:iCs w:val="0"/>
              <w:noProof/>
              <w:sz w:val="20"/>
              <w:szCs w:val="20"/>
              <w:lang w:val="ro-RO" w:eastAsia="en-GB"/>
            </w:rPr>
          </w:pPr>
          <w:hyperlink w:anchor="_Toc223643889" w:history="1">
            <w:r w:rsidRPr="00834B27">
              <w:rPr>
                <w:rStyle w:val="Hyperlink"/>
                <w:rFonts w:ascii="Calibri" w:hAnsi="Calibri" w:cs="Calibri"/>
                <w:noProof/>
                <w:sz w:val="20"/>
                <w:szCs w:val="20"/>
                <w:lang w:val="ro-RO"/>
              </w:rPr>
              <w:t>Anexa 1 – Notă Metodologică</w:t>
            </w:r>
            <w:r w:rsidRPr="00834B27">
              <w:rPr>
                <w:rFonts w:ascii="Calibri" w:hAnsi="Calibri" w:cs="Calibri"/>
                <w:noProof/>
                <w:webHidden/>
                <w:sz w:val="20"/>
                <w:szCs w:val="20"/>
                <w:lang w:val="ro-RO"/>
              </w:rPr>
              <w:tab/>
            </w:r>
            <w:r w:rsidRPr="00834B27">
              <w:rPr>
                <w:rFonts w:ascii="Calibri" w:hAnsi="Calibri" w:cs="Calibri"/>
                <w:noProof/>
                <w:webHidden/>
                <w:sz w:val="20"/>
                <w:szCs w:val="20"/>
                <w:lang w:val="ro-RO"/>
              </w:rPr>
              <w:fldChar w:fldCharType="begin"/>
            </w:r>
            <w:r w:rsidRPr="00834B27">
              <w:rPr>
                <w:rFonts w:ascii="Calibri" w:hAnsi="Calibri" w:cs="Calibri"/>
                <w:noProof/>
                <w:webHidden/>
                <w:sz w:val="20"/>
                <w:szCs w:val="20"/>
                <w:lang w:val="ro-RO"/>
              </w:rPr>
              <w:instrText xml:space="preserve"> PAGEREF _Toc223643889 \h </w:instrText>
            </w:r>
            <w:r w:rsidRPr="00834B27">
              <w:rPr>
                <w:rFonts w:ascii="Calibri" w:hAnsi="Calibri" w:cs="Calibri"/>
                <w:noProof/>
                <w:webHidden/>
                <w:sz w:val="20"/>
                <w:szCs w:val="20"/>
                <w:lang w:val="ro-RO"/>
              </w:rPr>
            </w:r>
            <w:r w:rsidRPr="00834B27">
              <w:rPr>
                <w:rFonts w:ascii="Calibri" w:hAnsi="Calibri" w:cs="Calibri"/>
                <w:noProof/>
                <w:webHidden/>
                <w:sz w:val="20"/>
                <w:szCs w:val="20"/>
                <w:lang w:val="ro-RO"/>
              </w:rPr>
              <w:fldChar w:fldCharType="separate"/>
            </w:r>
            <w:r w:rsidR="00E5474C" w:rsidRPr="00834B27">
              <w:rPr>
                <w:rFonts w:ascii="Calibri" w:hAnsi="Calibri" w:cs="Calibri"/>
                <w:noProof/>
                <w:webHidden/>
                <w:sz w:val="20"/>
                <w:szCs w:val="20"/>
                <w:lang w:val="ro-RO"/>
              </w:rPr>
              <w:t>75</w:t>
            </w:r>
            <w:r w:rsidRPr="00834B27">
              <w:rPr>
                <w:rFonts w:ascii="Calibri" w:hAnsi="Calibri" w:cs="Calibri"/>
                <w:noProof/>
                <w:webHidden/>
                <w:sz w:val="20"/>
                <w:szCs w:val="20"/>
                <w:lang w:val="ro-RO"/>
              </w:rPr>
              <w:fldChar w:fldCharType="end"/>
            </w:r>
          </w:hyperlink>
        </w:p>
        <w:p w14:paraId="04DDAA9D" w14:textId="7C75BA43" w:rsidR="009F2FDA" w:rsidRPr="00834B27" w:rsidRDefault="00957582" w:rsidP="00957582">
          <w:pPr>
            <w:rPr>
              <w:rFonts w:ascii="Calibri" w:hAnsi="Calibri" w:cs="Calibri"/>
              <w:sz w:val="20"/>
              <w:szCs w:val="20"/>
              <w:lang w:val="ro-RO"/>
            </w:rPr>
          </w:pPr>
          <w:r w:rsidRPr="00834B27">
            <w:rPr>
              <w:rFonts w:ascii="Calibri" w:hAnsi="Calibri" w:cs="Calibri"/>
              <w:i/>
              <w:iCs/>
              <w:sz w:val="20"/>
              <w:szCs w:val="20"/>
              <w:lang w:val="ro-RO"/>
            </w:rPr>
            <w:fldChar w:fldCharType="end"/>
          </w:r>
        </w:p>
      </w:sdtContent>
    </w:sdt>
    <w:p w14:paraId="1CFC5F36" w14:textId="32CA11D0" w:rsidR="009F2FDA" w:rsidRPr="00834B27" w:rsidRDefault="009F2FDA">
      <w:pPr>
        <w:rPr>
          <w:rFonts w:ascii="Calibri" w:hAnsi="Calibri" w:cs="Calibri"/>
          <w:lang w:val="ro-RO"/>
        </w:rPr>
      </w:pPr>
      <w:r w:rsidRPr="00834B27">
        <w:rPr>
          <w:rFonts w:ascii="Calibri" w:hAnsi="Calibri" w:cs="Calibri"/>
          <w:lang w:val="ro-RO"/>
        </w:rPr>
        <w:br w:type="page"/>
      </w:r>
    </w:p>
    <w:p w14:paraId="27311A6C" w14:textId="77777777" w:rsidR="00B04B56" w:rsidRPr="00834B27" w:rsidRDefault="00B04B56" w:rsidP="00B04B56">
      <w:pPr>
        <w:spacing w:line="276" w:lineRule="auto"/>
        <w:jc w:val="both"/>
        <w:rPr>
          <w:rFonts w:ascii="Calibri" w:hAnsi="Calibri" w:cs="Calibri"/>
          <w:b/>
          <w:bCs/>
          <w:lang w:val="ro-RO"/>
        </w:rPr>
      </w:pPr>
      <w:r w:rsidRPr="00834B27">
        <w:rPr>
          <w:rFonts w:ascii="Calibri" w:hAnsi="Calibri" w:cs="Calibri"/>
          <w:b/>
          <w:bCs/>
          <w:lang w:val="ro-RO"/>
        </w:rPr>
        <w:lastRenderedPageBreak/>
        <w:t>Abrevieri</w:t>
      </w:r>
    </w:p>
    <w:p w14:paraId="5CC74459" w14:textId="4778B446" w:rsidR="00FA68DC" w:rsidRPr="00834B27" w:rsidRDefault="00FA68DC" w:rsidP="00FA68DC">
      <w:pPr>
        <w:tabs>
          <w:tab w:val="center" w:pos="4680"/>
        </w:tabs>
        <w:spacing w:line="276" w:lineRule="auto"/>
        <w:jc w:val="both"/>
        <w:rPr>
          <w:rFonts w:ascii="Calibri" w:hAnsi="Calibri" w:cs="Calibri"/>
          <w:sz w:val="20"/>
          <w:szCs w:val="20"/>
          <w:lang w:val="ro-RO"/>
        </w:rPr>
      </w:pPr>
      <w:r w:rsidRPr="00834B27">
        <w:rPr>
          <w:rFonts w:ascii="Calibri" w:hAnsi="Calibri" w:cs="Calibri"/>
          <w:sz w:val="20"/>
          <w:szCs w:val="20"/>
          <w:lang w:val="ro-RO"/>
        </w:rPr>
        <w:t>ANAF – Agen</w:t>
      </w:r>
      <w:r w:rsidR="00D77C4B" w:rsidRPr="00834B27">
        <w:rPr>
          <w:rFonts w:ascii="Calibri" w:hAnsi="Calibri" w:cs="Calibri"/>
          <w:sz w:val="20"/>
          <w:szCs w:val="20"/>
          <w:lang w:val="ro-RO"/>
        </w:rPr>
        <w:t>ț</w:t>
      </w:r>
      <w:r w:rsidRPr="00834B27">
        <w:rPr>
          <w:rFonts w:ascii="Calibri" w:hAnsi="Calibri" w:cs="Calibri"/>
          <w:sz w:val="20"/>
          <w:szCs w:val="20"/>
          <w:lang w:val="ro-RO"/>
        </w:rPr>
        <w:t>ia Na</w:t>
      </w:r>
      <w:r w:rsidR="00D77C4B" w:rsidRPr="00834B27">
        <w:rPr>
          <w:rFonts w:ascii="Calibri" w:hAnsi="Calibri" w:cs="Calibri"/>
          <w:sz w:val="20"/>
          <w:szCs w:val="20"/>
          <w:lang w:val="ro-RO"/>
        </w:rPr>
        <w:t>ț</w:t>
      </w:r>
      <w:r w:rsidRPr="00834B27">
        <w:rPr>
          <w:rFonts w:ascii="Calibri" w:hAnsi="Calibri" w:cs="Calibri"/>
          <w:sz w:val="20"/>
          <w:szCs w:val="20"/>
          <w:lang w:val="ro-RO"/>
        </w:rPr>
        <w:t xml:space="preserve">ională de Administrare Fiscală </w:t>
      </w:r>
    </w:p>
    <w:p w14:paraId="6395DF13" w14:textId="3E985C48" w:rsidR="00FA68DC" w:rsidRPr="00834B27" w:rsidRDefault="00FA68DC" w:rsidP="00FA68DC">
      <w:pPr>
        <w:tabs>
          <w:tab w:val="center" w:pos="4680"/>
        </w:tabs>
        <w:spacing w:line="276" w:lineRule="auto"/>
        <w:jc w:val="both"/>
        <w:rPr>
          <w:rFonts w:ascii="Calibri" w:hAnsi="Calibri" w:cs="Calibri"/>
          <w:sz w:val="20"/>
          <w:szCs w:val="20"/>
          <w:lang w:val="ro-RO"/>
        </w:rPr>
      </w:pPr>
      <w:r w:rsidRPr="00834B27">
        <w:rPr>
          <w:rFonts w:ascii="Calibri" w:hAnsi="Calibri" w:cs="Calibri"/>
          <w:sz w:val="20"/>
          <w:szCs w:val="20"/>
          <w:lang w:val="ro-RO"/>
        </w:rPr>
        <w:t>ANRP – Autoritatea Na</w:t>
      </w:r>
      <w:r w:rsidR="00D77C4B" w:rsidRPr="00834B27">
        <w:rPr>
          <w:rFonts w:ascii="Calibri" w:hAnsi="Calibri" w:cs="Calibri"/>
          <w:sz w:val="20"/>
          <w:szCs w:val="20"/>
          <w:lang w:val="ro-RO"/>
        </w:rPr>
        <w:t>ț</w:t>
      </w:r>
      <w:r w:rsidRPr="00834B27">
        <w:rPr>
          <w:rFonts w:ascii="Calibri" w:hAnsi="Calibri" w:cs="Calibri"/>
          <w:sz w:val="20"/>
          <w:szCs w:val="20"/>
          <w:lang w:val="ro-RO"/>
        </w:rPr>
        <w:t>ională pentru Restituirea Proprietă</w:t>
      </w:r>
      <w:r w:rsidR="00D77C4B" w:rsidRPr="00834B27">
        <w:rPr>
          <w:rFonts w:ascii="Calibri" w:hAnsi="Calibri" w:cs="Calibri"/>
          <w:sz w:val="20"/>
          <w:szCs w:val="20"/>
          <w:lang w:val="ro-RO"/>
        </w:rPr>
        <w:t>ț</w:t>
      </w:r>
      <w:r w:rsidRPr="00834B27">
        <w:rPr>
          <w:rFonts w:ascii="Calibri" w:hAnsi="Calibri" w:cs="Calibri"/>
          <w:sz w:val="20"/>
          <w:szCs w:val="20"/>
          <w:lang w:val="ro-RO"/>
        </w:rPr>
        <w:t xml:space="preserve">ilor </w:t>
      </w:r>
    </w:p>
    <w:p w14:paraId="079BC674" w14:textId="77777777" w:rsidR="00FA68DC" w:rsidRPr="00834B27" w:rsidRDefault="00FA68DC" w:rsidP="00FA68DC">
      <w:pPr>
        <w:tabs>
          <w:tab w:val="center" w:pos="4680"/>
        </w:tabs>
        <w:spacing w:line="276" w:lineRule="auto"/>
        <w:jc w:val="both"/>
        <w:rPr>
          <w:rFonts w:ascii="Calibri" w:hAnsi="Calibri" w:cs="Calibri"/>
          <w:sz w:val="20"/>
          <w:szCs w:val="20"/>
          <w:lang w:val="ro-RO"/>
        </w:rPr>
      </w:pPr>
      <w:r w:rsidRPr="00834B27">
        <w:rPr>
          <w:rFonts w:ascii="Calibri" w:hAnsi="Calibri" w:cs="Calibri"/>
          <w:sz w:val="20"/>
          <w:szCs w:val="20"/>
          <w:lang w:val="ro-RO"/>
        </w:rPr>
        <w:t>ATAD – Directiva Anti-Evitare Fiscală (</w:t>
      </w:r>
      <w:r w:rsidRPr="00834B27">
        <w:rPr>
          <w:rFonts w:ascii="Calibri" w:hAnsi="Calibri" w:cs="Calibri"/>
          <w:i/>
          <w:iCs/>
          <w:sz w:val="20"/>
          <w:szCs w:val="20"/>
          <w:lang w:val="ro-RO"/>
        </w:rPr>
        <w:t>Anti-Tax Avoidance Directive</w:t>
      </w:r>
      <w:r w:rsidRPr="00834B27">
        <w:rPr>
          <w:rFonts w:ascii="Calibri" w:hAnsi="Calibri" w:cs="Calibri"/>
          <w:sz w:val="20"/>
          <w:szCs w:val="20"/>
          <w:lang w:val="ro-RO"/>
        </w:rPr>
        <w:t xml:space="preserve">, Directiva (UE) 2016/1164) </w:t>
      </w:r>
    </w:p>
    <w:p w14:paraId="7E190EDA" w14:textId="3A569D82" w:rsidR="00FA68DC" w:rsidRPr="00834B27" w:rsidRDefault="00FA68DC" w:rsidP="00FA68DC">
      <w:pPr>
        <w:tabs>
          <w:tab w:val="center" w:pos="4680"/>
        </w:tabs>
        <w:spacing w:line="276" w:lineRule="auto"/>
        <w:jc w:val="both"/>
        <w:rPr>
          <w:rFonts w:ascii="Calibri" w:hAnsi="Calibri" w:cs="Calibri"/>
          <w:sz w:val="20"/>
          <w:szCs w:val="20"/>
          <w:lang w:val="ro-RO"/>
        </w:rPr>
      </w:pPr>
      <w:r w:rsidRPr="00834B27">
        <w:rPr>
          <w:rFonts w:ascii="Calibri" w:hAnsi="Calibri" w:cs="Calibri"/>
          <w:sz w:val="20"/>
          <w:szCs w:val="20"/>
          <w:lang w:val="ro-RO"/>
        </w:rPr>
        <w:t>CAM – Contribu</w:t>
      </w:r>
      <w:r w:rsidR="00D77C4B" w:rsidRPr="00834B27">
        <w:rPr>
          <w:rFonts w:ascii="Calibri" w:hAnsi="Calibri" w:cs="Calibri"/>
          <w:sz w:val="20"/>
          <w:szCs w:val="20"/>
          <w:lang w:val="ro-RO"/>
        </w:rPr>
        <w:t>ț</w:t>
      </w:r>
      <w:r w:rsidRPr="00834B27">
        <w:rPr>
          <w:rFonts w:ascii="Calibri" w:hAnsi="Calibri" w:cs="Calibri"/>
          <w:sz w:val="20"/>
          <w:szCs w:val="20"/>
          <w:lang w:val="ro-RO"/>
        </w:rPr>
        <w:t>ia angajatorilor pentru muncă</w:t>
      </w:r>
    </w:p>
    <w:p w14:paraId="225BC2AC" w14:textId="77777777" w:rsidR="00FA68DC" w:rsidRPr="00834B27" w:rsidRDefault="00FA68DC" w:rsidP="00FA68DC">
      <w:pPr>
        <w:tabs>
          <w:tab w:val="center" w:pos="4680"/>
        </w:tabs>
        <w:spacing w:line="276" w:lineRule="auto"/>
        <w:jc w:val="both"/>
        <w:rPr>
          <w:rFonts w:ascii="Calibri" w:hAnsi="Calibri" w:cs="Calibri"/>
          <w:sz w:val="20"/>
          <w:szCs w:val="20"/>
          <w:lang w:val="ro-RO"/>
        </w:rPr>
      </w:pPr>
      <w:r w:rsidRPr="00834B27">
        <w:rPr>
          <w:rFonts w:ascii="Calibri" w:hAnsi="Calibri" w:cs="Calibri"/>
          <w:sz w:val="20"/>
          <w:szCs w:val="20"/>
          <w:lang w:val="ro-RO"/>
        </w:rPr>
        <w:t>CARF – Cadrul OCDE pentru raportarea criptoactivelor (</w:t>
      </w:r>
      <w:r w:rsidRPr="00834B27">
        <w:rPr>
          <w:rFonts w:ascii="Calibri" w:hAnsi="Calibri" w:cs="Calibri"/>
          <w:i/>
          <w:iCs/>
          <w:sz w:val="20"/>
          <w:szCs w:val="20"/>
          <w:lang w:val="ro-RO"/>
        </w:rPr>
        <w:t>Crypto-Asset Reporting Framework</w:t>
      </w:r>
      <w:r w:rsidRPr="00834B27">
        <w:rPr>
          <w:rFonts w:ascii="Calibri" w:hAnsi="Calibri" w:cs="Calibri"/>
          <w:sz w:val="20"/>
          <w:szCs w:val="20"/>
          <w:lang w:val="ro-RO"/>
        </w:rPr>
        <w:t xml:space="preserve">) </w:t>
      </w:r>
    </w:p>
    <w:p w14:paraId="35481587" w14:textId="24485002" w:rsidR="00FA68DC" w:rsidRPr="00834B27" w:rsidRDefault="00FA68DC" w:rsidP="00FA68DC">
      <w:pPr>
        <w:spacing w:line="276" w:lineRule="auto"/>
        <w:jc w:val="both"/>
        <w:rPr>
          <w:rFonts w:ascii="Calibri" w:hAnsi="Calibri" w:cs="Calibri"/>
          <w:sz w:val="20"/>
          <w:szCs w:val="20"/>
          <w:lang w:val="ro-RO"/>
        </w:rPr>
      </w:pPr>
      <w:r w:rsidRPr="00834B27">
        <w:rPr>
          <w:rFonts w:ascii="Calibri" w:hAnsi="Calibri" w:cs="Calibri"/>
          <w:sz w:val="20"/>
          <w:szCs w:val="20"/>
          <w:lang w:val="ro-RO"/>
        </w:rPr>
        <w:t>CAS – Contribu</w:t>
      </w:r>
      <w:r w:rsidR="00D77C4B" w:rsidRPr="00834B27">
        <w:rPr>
          <w:rFonts w:ascii="Calibri" w:hAnsi="Calibri" w:cs="Calibri"/>
          <w:sz w:val="20"/>
          <w:szCs w:val="20"/>
          <w:lang w:val="ro-RO"/>
        </w:rPr>
        <w:t>ț</w:t>
      </w:r>
      <w:r w:rsidRPr="00834B27">
        <w:rPr>
          <w:rFonts w:ascii="Calibri" w:hAnsi="Calibri" w:cs="Calibri"/>
          <w:sz w:val="20"/>
          <w:szCs w:val="20"/>
          <w:lang w:val="ro-RO"/>
        </w:rPr>
        <w:t>ia la asigurări sociale</w:t>
      </w:r>
    </w:p>
    <w:p w14:paraId="296EBC1A" w14:textId="6D22E6DF" w:rsidR="00FA68DC" w:rsidRPr="00834B27" w:rsidRDefault="00FA68DC" w:rsidP="00FA68DC">
      <w:pPr>
        <w:spacing w:line="276" w:lineRule="auto"/>
        <w:jc w:val="both"/>
        <w:rPr>
          <w:rFonts w:ascii="Calibri" w:hAnsi="Calibri" w:cs="Calibri"/>
          <w:sz w:val="20"/>
          <w:szCs w:val="20"/>
          <w:lang w:val="ro-RO"/>
        </w:rPr>
      </w:pPr>
      <w:r w:rsidRPr="00834B27">
        <w:rPr>
          <w:rFonts w:ascii="Calibri" w:hAnsi="Calibri" w:cs="Calibri"/>
          <w:sz w:val="20"/>
          <w:szCs w:val="20"/>
          <w:lang w:val="ro-RO"/>
        </w:rPr>
        <w:t>CASS – Contribu</w:t>
      </w:r>
      <w:r w:rsidR="00D77C4B" w:rsidRPr="00834B27">
        <w:rPr>
          <w:rFonts w:ascii="Calibri" w:hAnsi="Calibri" w:cs="Calibri"/>
          <w:sz w:val="20"/>
          <w:szCs w:val="20"/>
          <w:lang w:val="ro-RO"/>
        </w:rPr>
        <w:t>ț</w:t>
      </w:r>
      <w:r w:rsidRPr="00834B27">
        <w:rPr>
          <w:rFonts w:ascii="Calibri" w:hAnsi="Calibri" w:cs="Calibri"/>
          <w:sz w:val="20"/>
          <w:szCs w:val="20"/>
          <w:lang w:val="ro-RO"/>
        </w:rPr>
        <w:t>ia la asigurări sociale de sănătate</w:t>
      </w:r>
    </w:p>
    <w:p w14:paraId="1833060B" w14:textId="68C9F59C" w:rsidR="00FA68DC" w:rsidRPr="00834B27" w:rsidRDefault="00FA68DC" w:rsidP="00FA68DC">
      <w:pPr>
        <w:tabs>
          <w:tab w:val="center" w:pos="4680"/>
        </w:tabs>
        <w:spacing w:line="276" w:lineRule="auto"/>
        <w:jc w:val="both"/>
        <w:rPr>
          <w:rFonts w:ascii="Calibri" w:hAnsi="Calibri" w:cs="Calibri"/>
          <w:sz w:val="20"/>
          <w:szCs w:val="20"/>
          <w:lang w:val="ro-RO"/>
        </w:rPr>
      </w:pPr>
      <w:r w:rsidRPr="00834B27">
        <w:rPr>
          <w:rFonts w:ascii="Calibri" w:hAnsi="Calibri" w:cs="Calibri"/>
          <w:sz w:val="20"/>
          <w:szCs w:val="20"/>
          <w:lang w:val="ro-RO"/>
        </w:rPr>
        <w:t>CCR – Curtea Constitu</w:t>
      </w:r>
      <w:r w:rsidR="00D77C4B" w:rsidRPr="00834B27">
        <w:rPr>
          <w:rFonts w:ascii="Calibri" w:hAnsi="Calibri" w:cs="Calibri"/>
          <w:sz w:val="20"/>
          <w:szCs w:val="20"/>
          <w:lang w:val="ro-RO"/>
        </w:rPr>
        <w:t>ț</w:t>
      </w:r>
      <w:r w:rsidRPr="00834B27">
        <w:rPr>
          <w:rFonts w:ascii="Calibri" w:hAnsi="Calibri" w:cs="Calibri"/>
          <w:sz w:val="20"/>
          <w:szCs w:val="20"/>
          <w:lang w:val="ro-RO"/>
        </w:rPr>
        <w:t>ională a României</w:t>
      </w:r>
    </w:p>
    <w:p w14:paraId="787B8A3E" w14:textId="77777777" w:rsidR="00FA68DC" w:rsidRPr="00834B27" w:rsidRDefault="00FA68DC" w:rsidP="00FA68DC">
      <w:pPr>
        <w:spacing w:line="276" w:lineRule="auto"/>
        <w:jc w:val="both"/>
        <w:rPr>
          <w:rFonts w:ascii="Calibri" w:hAnsi="Calibri" w:cs="Calibri"/>
          <w:sz w:val="20"/>
          <w:szCs w:val="20"/>
          <w:lang w:val="ro-RO"/>
        </w:rPr>
      </w:pPr>
      <w:r w:rsidRPr="00834B27">
        <w:rPr>
          <w:rFonts w:ascii="Calibri" w:hAnsi="Calibri" w:cs="Calibri"/>
          <w:sz w:val="20"/>
          <w:szCs w:val="20"/>
          <w:lang w:val="ro-RO"/>
        </w:rPr>
        <w:t>CF – Codul fiscal, aprobat prin Legea nr. 227/2015</w:t>
      </w:r>
    </w:p>
    <w:p w14:paraId="0C149B57" w14:textId="1B15D60D" w:rsidR="00F331E1" w:rsidRPr="00834B27" w:rsidRDefault="00F331E1" w:rsidP="00FA68DC">
      <w:pPr>
        <w:spacing w:line="276" w:lineRule="auto"/>
        <w:jc w:val="both"/>
        <w:rPr>
          <w:rFonts w:ascii="Calibri" w:hAnsi="Calibri" w:cs="Calibri"/>
          <w:sz w:val="20"/>
          <w:szCs w:val="20"/>
          <w:lang w:val="ro-RO"/>
        </w:rPr>
      </w:pPr>
      <w:r w:rsidRPr="00834B27">
        <w:rPr>
          <w:rFonts w:ascii="Calibri" w:hAnsi="Calibri" w:cs="Calibri"/>
          <w:sz w:val="20"/>
          <w:szCs w:val="20"/>
          <w:lang w:val="ro-RO"/>
        </w:rPr>
        <w:t xml:space="preserve">CFC – Controled </w:t>
      </w:r>
      <w:r w:rsidR="00744D0F" w:rsidRPr="00834B27">
        <w:rPr>
          <w:rFonts w:ascii="Calibri" w:hAnsi="Calibri" w:cs="Calibri"/>
          <w:sz w:val="20"/>
          <w:szCs w:val="20"/>
          <w:lang w:val="ro-RO"/>
        </w:rPr>
        <w:t>Foreign Corporations</w:t>
      </w:r>
    </w:p>
    <w:p w14:paraId="367359D8" w14:textId="07CFEECB" w:rsidR="00FA68DC" w:rsidRPr="00834B27" w:rsidRDefault="00FA68DC" w:rsidP="00FA68DC">
      <w:pPr>
        <w:tabs>
          <w:tab w:val="center" w:pos="4680"/>
        </w:tabs>
        <w:spacing w:line="276" w:lineRule="auto"/>
        <w:jc w:val="both"/>
        <w:rPr>
          <w:rFonts w:ascii="Calibri" w:hAnsi="Calibri" w:cs="Calibri"/>
          <w:sz w:val="20"/>
          <w:szCs w:val="20"/>
          <w:lang w:val="ro-RO"/>
        </w:rPr>
      </w:pPr>
      <w:r w:rsidRPr="00834B27">
        <w:rPr>
          <w:rFonts w:ascii="Calibri" w:hAnsi="Calibri" w:cs="Calibri"/>
          <w:sz w:val="20"/>
          <w:szCs w:val="20"/>
          <w:lang w:val="ro-RO"/>
        </w:rPr>
        <w:t>CJUE – Curtea de Justi</w:t>
      </w:r>
      <w:r w:rsidR="00D77C4B" w:rsidRPr="00834B27">
        <w:rPr>
          <w:rFonts w:ascii="Calibri" w:hAnsi="Calibri" w:cs="Calibri"/>
          <w:sz w:val="20"/>
          <w:szCs w:val="20"/>
          <w:lang w:val="ro-RO"/>
        </w:rPr>
        <w:t>ț</w:t>
      </w:r>
      <w:r w:rsidRPr="00834B27">
        <w:rPr>
          <w:rFonts w:ascii="Calibri" w:hAnsi="Calibri" w:cs="Calibri"/>
          <w:sz w:val="20"/>
          <w:szCs w:val="20"/>
          <w:lang w:val="ro-RO"/>
        </w:rPr>
        <w:t xml:space="preserve">ie a Uniunii Europene </w:t>
      </w:r>
    </w:p>
    <w:p w14:paraId="024A8DE9" w14:textId="5A01A67B" w:rsidR="00FA68DC" w:rsidRPr="00834B27" w:rsidRDefault="00FA68DC" w:rsidP="00FA68DC">
      <w:pPr>
        <w:tabs>
          <w:tab w:val="center" w:pos="4680"/>
        </w:tabs>
        <w:spacing w:line="276" w:lineRule="auto"/>
        <w:jc w:val="both"/>
        <w:rPr>
          <w:rFonts w:ascii="Calibri" w:hAnsi="Calibri" w:cs="Calibri"/>
          <w:sz w:val="20"/>
          <w:szCs w:val="20"/>
          <w:lang w:val="ro-RO"/>
        </w:rPr>
      </w:pPr>
      <w:r w:rsidRPr="00834B27">
        <w:rPr>
          <w:rFonts w:ascii="Calibri" w:hAnsi="Calibri" w:cs="Calibri"/>
          <w:sz w:val="20"/>
          <w:szCs w:val="20"/>
          <w:lang w:val="ro-RO"/>
        </w:rPr>
        <w:t>CNAS – Casa Na</w:t>
      </w:r>
      <w:r w:rsidR="00D77C4B" w:rsidRPr="00834B27">
        <w:rPr>
          <w:rFonts w:ascii="Calibri" w:hAnsi="Calibri" w:cs="Calibri"/>
          <w:sz w:val="20"/>
          <w:szCs w:val="20"/>
          <w:lang w:val="ro-RO"/>
        </w:rPr>
        <w:t>ț</w:t>
      </w:r>
      <w:r w:rsidRPr="00834B27">
        <w:rPr>
          <w:rFonts w:ascii="Calibri" w:hAnsi="Calibri" w:cs="Calibri"/>
          <w:sz w:val="20"/>
          <w:szCs w:val="20"/>
          <w:lang w:val="ro-RO"/>
        </w:rPr>
        <w:t>ională de Asigurări de Sănătate</w:t>
      </w:r>
    </w:p>
    <w:p w14:paraId="0132E057" w14:textId="4BAD460C" w:rsidR="00FA68DC" w:rsidRPr="00834B27" w:rsidRDefault="00FA68DC" w:rsidP="00FA68DC">
      <w:pPr>
        <w:spacing w:line="276" w:lineRule="auto"/>
        <w:jc w:val="both"/>
        <w:rPr>
          <w:rFonts w:ascii="Calibri" w:hAnsi="Calibri" w:cs="Calibri"/>
          <w:sz w:val="20"/>
          <w:szCs w:val="20"/>
          <w:lang w:val="ro-RO"/>
        </w:rPr>
      </w:pPr>
      <w:r w:rsidRPr="00834B27">
        <w:rPr>
          <w:rFonts w:ascii="Calibri" w:hAnsi="Calibri" w:cs="Calibri"/>
          <w:sz w:val="20"/>
          <w:szCs w:val="20"/>
          <w:lang w:val="ro-RO"/>
        </w:rPr>
        <w:t>CNPP – Casa Na</w:t>
      </w:r>
      <w:r w:rsidR="00D77C4B" w:rsidRPr="00834B27">
        <w:rPr>
          <w:rFonts w:ascii="Calibri" w:hAnsi="Calibri" w:cs="Calibri"/>
          <w:sz w:val="20"/>
          <w:szCs w:val="20"/>
          <w:lang w:val="ro-RO"/>
        </w:rPr>
        <w:t>ț</w:t>
      </w:r>
      <w:r w:rsidRPr="00834B27">
        <w:rPr>
          <w:rFonts w:ascii="Calibri" w:hAnsi="Calibri" w:cs="Calibri"/>
          <w:sz w:val="20"/>
          <w:szCs w:val="20"/>
          <w:lang w:val="ro-RO"/>
        </w:rPr>
        <w:t>ională de Pensii Publice</w:t>
      </w:r>
    </w:p>
    <w:p w14:paraId="17D52208" w14:textId="3223EE06" w:rsidR="00FA68DC" w:rsidRPr="00834B27" w:rsidRDefault="00FA68DC" w:rsidP="00FA68DC">
      <w:pPr>
        <w:tabs>
          <w:tab w:val="center" w:pos="4680"/>
        </w:tabs>
        <w:spacing w:line="276" w:lineRule="auto"/>
        <w:jc w:val="both"/>
        <w:rPr>
          <w:rFonts w:ascii="Calibri" w:hAnsi="Calibri" w:cs="Calibri"/>
          <w:sz w:val="20"/>
          <w:szCs w:val="20"/>
          <w:lang w:val="ro-RO"/>
        </w:rPr>
      </w:pPr>
      <w:r w:rsidRPr="00834B27">
        <w:rPr>
          <w:rFonts w:ascii="Calibri" w:hAnsi="Calibri" w:cs="Calibri"/>
          <w:sz w:val="20"/>
          <w:szCs w:val="20"/>
          <w:lang w:val="ro-RO"/>
        </w:rPr>
        <w:t>D112 - Declara</w:t>
      </w:r>
      <w:r w:rsidR="00D77C4B" w:rsidRPr="00834B27">
        <w:rPr>
          <w:rFonts w:ascii="Calibri" w:hAnsi="Calibri" w:cs="Calibri"/>
          <w:sz w:val="20"/>
          <w:szCs w:val="20"/>
          <w:lang w:val="ro-RO"/>
        </w:rPr>
        <w:t>ț</w:t>
      </w:r>
      <w:r w:rsidRPr="00834B27">
        <w:rPr>
          <w:rFonts w:ascii="Calibri" w:hAnsi="Calibri" w:cs="Calibri"/>
          <w:sz w:val="20"/>
          <w:szCs w:val="20"/>
          <w:lang w:val="ro-RO"/>
        </w:rPr>
        <w:t>ia privind obliga</w:t>
      </w:r>
      <w:r w:rsidR="00D77C4B" w:rsidRPr="00834B27">
        <w:rPr>
          <w:rFonts w:ascii="Calibri" w:hAnsi="Calibri" w:cs="Calibri"/>
          <w:sz w:val="20"/>
          <w:szCs w:val="20"/>
          <w:lang w:val="ro-RO"/>
        </w:rPr>
        <w:t>ț</w:t>
      </w:r>
      <w:r w:rsidRPr="00834B27">
        <w:rPr>
          <w:rFonts w:ascii="Calibri" w:hAnsi="Calibri" w:cs="Calibri"/>
          <w:sz w:val="20"/>
          <w:szCs w:val="20"/>
          <w:lang w:val="ro-RO"/>
        </w:rPr>
        <w:t>iile de plată a contribu</w:t>
      </w:r>
      <w:r w:rsidR="00D77C4B" w:rsidRPr="00834B27">
        <w:rPr>
          <w:rFonts w:ascii="Calibri" w:hAnsi="Calibri" w:cs="Calibri"/>
          <w:sz w:val="20"/>
          <w:szCs w:val="20"/>
          <w:lang w:val="ro-RO"/>
        </w:rPr>
        <w:t>ț</w:t>
      </w:r>
      <w:r w:rsidRPr="00834B27">
        <w:rPr>
          <w:rFonts w:ascii="Calibri" w:hAnsi="Calibri" w:cs="Calibri"/>
          <w:sz w:val="20"/>
          <w:szCs w:val="20"/>
          <w:lang w:val="ro-RO"/>
        </w:rPr>
        <w:t>iilor sociale, impozitului pe venit și evidenta nominală a persoanelor asigurate</w:t>
      </w:r>
    </w:p>
    <w:p w14:paraId="66874EC3" w14:textId="6D0B76EE" w:rsidR="00FA68DC" w:rsidRPr="00834B27" w:rsidRDefault="00FA68DC" w:rsidP="00FA68DC">
      <w:pPr>
        <w:tabs>
          <w:tab w:val="center" w:pos="4680"/>
        </w:tabs>
        <w:spacing w:line="276" w:lineRule="auto"/>
        <w:jc w:val="both"/>
        <w:rPr>
          <w:rFonts w:ascii="Calibri" w:hAnsi="Calibri" w:cs="Calibri"/>
          <w:sz w:val="20"/>
          <w:szCs w:val="20"/>
          <w:lang w:val="ro-RO"/>
        </w:rPr>
      </w:pPr>
      <w:r w:rsidRPr="00834B27">
        <w:rPr>
          <w:rFonts w:ascii="Calibri" w:hAnsi="Calibri" w:cs="Calibri"/>
          <w:sz w:val="20"/>
          <w:szCs w:val="20"/>
          <w:lang w:val="ro-RO"/>
        </w:rPr>
        <w:t>D212  – Declara</w:t>
      </w:r>
      <w:r w:rsidR="00D77C4B" w:rsidRPr="00834B27">
        <w:rPr>
          <w:rFonts w:ascii="Calibri" w:hAnsi="Calibri" w:cs="Calibri"/>
          <w:sz w:val="20"/>
          <w:szCs w:val="20"/>
          <w:lang w:val="ro-RO"/>
        </w:rPr>
        <w:t>ț</w:t>
      </w:r>
      <w:r w:rsidRPr="00834B27">
        <w:rPr>
          <w:rFonts w:ascii="Calibri" w:hAnsi="Calibri" w:cs="Calibri"/>
          <w:sz w:val="20"/>
          <w:szCs w:val="20"/>
          <w:lang w:val="ro-RO"/>
        </w:rPr>
        <w:t>ia unică</w:t>
      </w:r>
      <w:r w:rsidRPr="00834B27">
        <w:rPr>
          <w:rFonts w:ascii="Calibri" w:hAnsi="Calibri" w:cs="Calibri"/>
          <w:sz w:val="20"/>
          <w:szCs w:val="20"/>
          <w:lang w:val="ro-RO"/>
        </w:rPr>
        <w:tab/>
      </w:r>
    </w:p>
    <w:p w14:paraId="6FE56EF4" w14:textId="51C0A3DA" w:rsidR="00FA68DC" w:rsidRPr="00834B27" w:rsidRDefault="00FA68DC" w:rsidP="00FA68DC">
      <w:pPr>
        <w:tabs>
          <w:tab w:val="center" w:pos="4680"/>
        </w:tabs>
        <w:spacing w:line="276" w:lineRule="auto"/>
        <w:jc w:val="both"/>
        <w:rPr>
          <w:rFonts w:ascii="Calibri" w:hAnsi="Calibri" w:cs="Calibri"/>
          <w:sz w:val="20"/>
          <w:szCs w:val="20"/>
          <w:lang w:val="ro-RO"/>
        </w:rPr>
      </w:pPr>
      <w:r w:rsidRPr="00834B27">
        <w:rPr>
          <w:rFonts w:ascii="Calibri" w:hAnsi="Calibri" w:cs="Calibri"/>
          <w:sz w:val="20"/>
          <w:szCs w:val="20"/>
          <w:lang w:val="ro-RO"/>
        </w:rPr>
        <w:t>DAC7 – Directiva (UE) 2021/514 privind schimbul automat obligatoriu de informa</w:t>
      </w:r>
      <w:r w:rsidR="00D77C4B" w:rsidRPr="00834B27">
        <w:rPr>
          <w:rFonts w:ascii="Calibri" w:hAnsi="Calibri" w:cs="Calibri"/>
          <w:sz w:val="20"/>
          <w:szCs w:val="20"/>
          <w:lang w:val="ro-RO"/>
        </w:rPr>
        <w:t>ț</w:t>
      </w:r>
      <w:r w:rsidRPr="00834B27">
        <w:rPr>
          <w:rFonts w:ascii="Calibri" w:hAnsi="Calibri" w:cs="Calibri"/>
          <w:sz w:val="20"/>
          <w:szCs w:val="20"/>
          <w:lang w:val="ro-RO"/>
        </w:rPr>
        <w:t xml:space="preserve">ii în domeniul fiscal </w:t>
      </w:r>
    </w:p>
    <w:p w14:paraId="4FDE6A12" w14:textId="3F15D18A" w:rsidR="00FA68DC" w:rsidRPr="00834B27" w:rsidRDefault="00FA68DC" w:rsidP="00FA68DC">
      <w:pPr>
        <w:tabs>
          <w:tab w:val="center" w:pos="4680"/>
        </w:tabs>
        <w:spacing w:line="276" w:lineRule="auto"/>
        <w:jc w:val="both"/>
        <w:rPr>
          <w:rFonts w:ascii="Calibri" w:hAnsi="Calibri" w:cs="Calibri"/>
          <w:sz w:val="20"/>
          <w:szCs w:val="20"/>
          <w:lang w:val="ro-RO"/>
        </w:rPr>
      </w:pPr>
      <w:r w:rsidRPr="00834B27">
        <w:rPr>
          <w:rFonts w:ascii="Calibri" w:hAnsi="Calibri" w:cs="Calibri"/>
          <w:sz w:val="20"/>
          <w:szCs w:val="20"/>
          <w:lang w:val="ro-RO"/>
        </w:rPr>
        <w:t xml:space="preserve">DAC8 – Directiva (UE) </w:t>
      </w:r>
      <w:r w:rsidR="00D277C7" w:rsidRPr="00834B27">
        <w:rPr>
          <w:rFonts w:ascii="Calibri" w:hAnsi="Calibri" w:cs="Calibri"/>
          <w:sz w:val="20"/>
          <w:szCs w:val="20"/>
          <w:lang w:val="ro-RO"/>
        </w:rPr>
        <w:t xml:space="preserve">2023/2226 </w:t>
      </w:r>
      <w:r w:rsidRPr="00834B27">
        <w:rPr>
          <w:rFonts w:ascii="Calibri" w:hAnsi="Calibri" w:cs="Calibri"/>
          <w:sz w:val="20"/>
          <w:szCs w:val="20"/>
          <w:lang w:val="ro-RO"/>
        </w:rPr>
        <w:t>privind raportarea tranzac</w:t>
      </w:r>
      <w:r w:rsidR="00D77C4B" w:rsidRPr="00834B27">
        <w:rPr>
          <w:rFonts w:ascii="Calibri" w:hAnsi="Calibri" w:cs="Calibri"/>
          <w:sz w:val="20"/>
          <w:szCs w:val="20"/>
          <w:lang w:val="ro-RO"/>
        </w:rPr>
        <w:t>ț</w:t>
      </w:r>
      <w:r w:rsidRPr="00834B27">
        <w:rPr>
          <w:rFonts w:ascii="Calibri" w:hAnsi="Calibri" w:cs="Calibri"/>
          <w:sz w:val="20"/>
          <w:szCs w:val="20"/>
          <w:lang w:val="ro-RO"/>
        </w:rPr>
        <w:t xml:space="preserve">iilor cu criptoactive </w:t>
      </w:r>
    </w:p>
    <w:p w14:paraId="22980FE1" w14:textId="77777777" w:rsidR="00FA68DC" w:rsidRPr="00834B27" w:rsidRDefault="00FA68DC" w:rsidP="00FA68DC">
      <w:pPr>
        <w:spacing w:line="276" w:lineRule="auto"/>
        <w:jc w:val="both"/>
        <w:rPr>
          <w:rFonts w:ascii="Calibri" w:hAnsi="Calibri" w:cs="Calibri"/>
          <w:sz w:val="20"/>
          <w:szCs w:val="20"/>
          <w:lang w:val="ro-RO"/>
        </w:rPr>
      </w:pPr>
      <w:r w:rsidRPr="00834B27">
        <w:rPr>
          <w:rFonts w:ascii="Calibri" w:hAnsi="Calibri" w:cs="Calibri"/>
          <w:sz w:val="20"/>
          <w:szCs w:val="20"/>
          <w:lang w:val="ro-RO"/>
        </w:rPr>
        <w:t>DP – deducerea personală, reglementată potrivit art. 77 din CF</w:t>
      </w:r>
    </w:p>
    <w:p w14:paraId="3EA5EE53" w14:textId="77777777" w:rsidR="00FA68DC" w:rsidRPr="00834B27" w:rsidRDefault="00FA68DC" w:rsidP="00FA68DC">
      <w:pPr>
        <w:tabs>
          <w:tab w:val="center" w:pos="4680"/>
        </w:tabs>
        <w:spacing w:line="276" w:lineRule="auto"/>
        <w:jc w:val="both"/>
        <w:rPr>
          <w:rFonts w:ascii="Calibri" w:hAnsi="Calibri" w:cs="Calibri"/>
          <w:sz w:val="20"/>
          <w:szCs w:val="20"/>
          <w:lang w:val="ro-RO"/>
        </w:rPr>
      </w:pPr>
      <w:r w:rsidRPr="00834B27">
        <w:rPr>
          <w:rFonts w:ascii="Calibri" w:hAnsi="Calibri" w:cs="Calibri"/>
          <w:sz w:val="20"/>
          <w:szCs w:val="20"/>
          <w:lang w:val="ro-RO"/>
        </w:rPr>
        <w:t xml:space="preserve">EET – </w:t>
      </w:r>
      <w:r w:rsidRPr="00834B27">
        <w:rPr>
          <w:rFonts w:ascii="Calibri" w:hAnsi="Calibri" w:cs="Calibri"/>
          <w:i/>
          <w:iCs/>
          <w:sz w:val="20"/>
          <w:szCs w:val="20"/>
          <w:lang w:val="ro-RO"/>
        </w:rPr>
        <w:t>Exempt-Exempt-Taxed</w:t>
      </w:r>
      <w:r w:rsidRPr="00834B27">
        <w:rPr>
          <w:rFonts w:ascii="Calibri" w:hAnsi="Calibri" w:cs="Calibri"/>
          <w:sz w:val="20"/>
          <w:szCs w:val="20"/>
          <w:lang w:val="ro-RO"/>
        </w:rPr>
        <w:t xml:space="preserve"> (regim fiscal aplicabil pensiilor) </w:t>
      </w:r>
    </w:p>
    <w:p w14:paraId="7EB4B9D8" w14:textId="77777777" w:rsidR="00FA68DC" w:rsidRPr="00834B27" w:rsidRDefault="00FA68DC" w:rsidP="00FA68DC">
      <w:pPr>
        <w:spacing w:line="276" w:lineRule="auto"/>
        <w:jc w:val="both"/>
        <w:rPr>
          <w:rFonts w:ascii="Calibri" w:hAnsi="Calibri" w:cs="Calibri"/>
          <w:sz w:val="20"/>
          <w:szCs w:val="20"/>
          <w:lang w:val="ro-RO"/>
        </w:rPr>
      </w:pPr>
      <w:r w:rsidRPr="00834B27">
        <w:rPr>
          <w:rFonts w:ascii="Calibri" w:hAnsi="Calibri" w:cs="Calibri"/>
          <w:sz w:val="20"/>
          <w:szCs w:val="20"/>
          <w:lang w:val="ro-RO"/>
        </w:rPr>
        <w:t>IV – impozit pe venit</w:t>
      </w:r>
    </w:p>
    <w:p w14:paraId="764A8F8C" w14:textId="4CDA7179" w:rsidR="00FA68DC" w:rsidRPr="00834B27" w:rsidRDefault="00FA68DC" w:rsidP="00FA68DC">
      <w:pPr>
        <w:spacing w:line="276" w:lineRule="auto"/>
        <w:jc w:val="both"/>
        <w:rPr>
          <w:rFonts w:ascii="Calibri" w:hAnsi="Calibri" w:cs="Calibri"/>
          <w:sz w:val="20"/>
          <w:szCs w:val="20"/>
          <w:lang w:val="ro-RO"/>
        </w:rPr>
      </w:pPr>
      <w:r w:rsidRPr="00834B27">
        <w:rPr>
          <w:rFonts w:ascii="Calibri" w:hAnsi="Calibri" w:cs="Calibri"/>
          <w:sz w:val="20"/>
          <w:szCs w:val="20"/>
          <w:lang w:val="ro-RO"/>
        </w:rPr>
        <w:t>MFP – Ministerul Finan</w:t>
      </w:r>
      <w:r w:rsidR="00D77C4B" w:rsidRPr="00834B27">
        <w:rPr>
          <w:rFonts w:ascii="Calibri" w:hAnsi="Calibri" w:cs="Calibri"/>
          <w:sz w:val="20"/>
          <w:szCs w:val="20"/>
          <w:lang w:val="ro-RO"/>
        </w:rPr>
        <w:t>ț</w:t>
      </w:r>
      <w:r w:rsidRPr="00834B27">
        <w:rPr>
          <w:rFonts w:ascii="Calibri" w:hAnsi="Calibri" w:cs="Calibri"/>
          <w:sz w:val="20"/>
          <w:szCs w:val="20"/>
          <w:lang w:val="ro-RO"/>
        </w:rPr>
        <w:t>elor Publice</w:t>
      </w:r>
    </w:p>
    <w:p w14:paraId="2571E645" w14:textId="79FD5305" w:rsidR="00FA68DC" w:rsidRPr="00834B27" w:rsidRDefault="00FA68DC" w:rsidP="00FA68DC">
      <w:pPr>
        <w:tabs>
          <w:tab w:val="center" w:pos="4680"/>
        </w:tabs>
        <w:spacing w:line="276" w:lineRule="auto"/>
        <w:jc w:val="both"/>
        <w:rPr>
          <w:rFonts w:ascii="Calibri" w:hAnsi="Calibri" w:cs="Calibri"/>
          <w:sz w:val="20"/>
          <w:szCs w:val="20"/>
          <w:lang w:val="ro-RO"/>
        </w:rPr>
      </w:pPr>
      <w:r w:rsidRPr="00834B27">
        <w:rPr>
          <w:rFonts w:ascii="Calibri" w:hAnsi="Calibri" w:cs="Calibri"/>
          <w:sz w:val="20"/>
          <w:szCs w:val="20"/>
          <w:lang w:val="ro-RO"/>
        </w:rPr>
        <w:t>OCDE – Organiza</w:t>
      </w:r>
      <w:r w:rsidR="00D77C4B" w:rsidRPr="00834B27">
        <w:rPr>
          <w:rFonts w:ascii="Calibri" w:hAnsi="Calibri" w:cs="Calibri"/>
          <w:sz w:val="20"/>
          <w:szCs w:val="20"/>
          <w:lang w:val="ro-RO"/>
        </w:rPr>
        <w:t>ț</w:t>
      </w:r>
      <w:r w:rsidRPr="00834B27">
        <w:rPr>
          <w:rFonts w:ascii="Calibri" w:hAnsi="Calibri" w:cs="Calibri"/>
          <w:sz w:val="20"/>
          <w:szCs w:val="20"/>
          <w:lang w:val="ro-RO"/>
        </w:rPr>
        <w:t xml:space="preserve">ia pentru Cooperare și Dezvoltare Economică </w:t>
      </w:r>
    </w:p>
    <w:p w14:paraId="1D9BBB03" w14:textId="34C4FC0C" w:rsidR="00FA68DC" w:rsidRPr="00834B27" w:rsidRDefault="00FA68DC" w:rsidP="00FA68DC">
      <w:pPr>
        <w:spacing w:line="276" w:lineRule="auto"/>
        <w:jc w:val="both"/>
        <w:rPr>
          <w:rFonts w:ascii="Calibri" w:hAnsi="Calibri" w:cs="Calibri"/>
          <w:sz w:val="20"/>
          <w:szCs w:val="20"/>
          <w:lang w:val="ro-RO"/>
        </w:rPr>
      </w:pPr>
      <w:r w:rsidRPr="00834B27">
        <w:rPr>
          <w:rFonts w:ascii="Calibri" w:hAnsi="Calibri" w:cs="Calibri"/>
          <w:sz w:val="20"/>
          <w:szCs w:val="20"/>
          <w:lang w:val="ro-RO"/>
        </w:rPr>
        <w:t>OMF – Ordin al ministrului finan</w:t>
      </w:r>
      <w:r w:rsidR="00D77C4B" w:rsidRPr="00834B27">
        <w:rPr>
          <w:rFonts w:ascii="Calibri" w:hAnsi="Calibri" w:cs="Calibri"/>
          <w:sz w:val="20"/>
          <w:szCs w:val="20"/>
          <w:lang w:val="ro-RO"/>
        </w:rPr>
        <w:t>ț</w:t>
      </w:r>
      <w:r w:rsidRPr="00834B27">
        <w:rPr>
          <w:rFonts w:ascii="Calibri" w:hAnsi="Calibri" w:cs="Calibri"/>
          <w:sz w:val="20"/>
          <w:szCs w:val="20"/>
          <w:lang w:val="ro-RO"/>
        </w:rPr>
        <w:t>elor publice</w:t>
      </w:r>
    </w:p>
    <w:p w14:paraId="7A6222AD" w14:textId="77777777" w:rsidR="00FA68DC" w:rsidRPr="00834B27" w:rsidRDefault="00FA68DC" w:rsidP="00FA68DC">
      <w:pPr>
        <w:tabs>
          <w:tab w:val="center" w:pos="4680"/>
        </w:tabs>
        <w:spacing w:line="276" w:lineRule="auto"/>
        <w:jc w:val="both"/>
        <w:rPr>
          <w:rFonts w:ascii="Calibri" w:hAnsi="Calibri" w:cs="Calibri"/>
          <w:sz w:val="20"/>
          <w:szCs w:val="20"/>
          <w:lang w:val="ro-RO"/>
        </w:rPr>
      </w:pPr>
      <w:r w:rsidRPr="00834B27">
        <w:rPr>
          <w:rFonts w:ascii="Calibri" w:hAnsi="Calibri" w:cs="Calibri"/>
          <w:sz w:val="20"/>
          <w:szCs w:val="20"/>
          <w:lang w:val="ro-RO"/>
        </w:rPr>
        <w:t xml:space="preserve">PIB – Produsul Intern Brut </w:t>
      </w:r>
    </w:p>
    <w:p w14:paraId="21D936B8" w14:textId="4EE763A1" w:rsidR="00FA68DC" w:rsidRPr="00834B27" w:rsidRDefault="00FA68DC" w:rsidP="00FA68DC">
      <w:pPr>
        <w:tabs>
          <w:tab w:val="center" w:pos="4680"/>
        </w:tabs>
        <w:spacing w:line="276" w:lineRule="auto"/>
        <w:jc w:val="both"/>
        <w:rPr>
          <w:rFonts w:ascii="Calibri" w:hAnsi="Calibri" w:cs="Calibri"/>
          <w:sz w:val="20"/>
          <w:szCs w:val="20"/>
          <w:lang w:val="ro-RO"/>
        </w:rPr>
      </w:pPr>
      <w:r w:rsidRPr="00834B27">
        <w:rPr>
          <w:rFonts w:ascii="Calibri" w:hAnsi="Calibri" w:cs="Calibri"/>
          <w:sz w:val="20"/>
          <w:szCs w:val="20"/>
          <w:lang w:val="ro-RO"/>
        </w:rPr>
        <w:t>PNRR – Planul Na</w:t>
      </w:r>
      <w:r w:rsidR="00D77C4B" w:rsidRPr="00834B27">
        <w:rPr>
          <w:rFonts w:ascii="Calibri" w:hAnsi="Calibri" w:cs="Calibri"/>
          <w:sz w:val="20"/>
          <w:szCs w:val="20"/>
          <w:lang w:val="ro-RO"/>
        </w:rPr>
        <w:t>ț</w:t>
      </w:r>
      <w:r w:rsidRPr="00834B27">
        <w:rPr>
          <w:rFonts w:ascii="Calibri" w:hAnsi="Calibri" w:cs="Calibri"/>
          <w:sz w:val="20"/>
          <w:szCs w:val="20"/>
          <w:lang w:val="ro-RO"/>
        </w:rPr>
        <w:t>ional de Redresare și Rezilien</w:t>
      </w:r>
      <w:r w:rsidR="00D77C4B" w:rsidRPr="00834B27">
        <w:rPr>
          <w:rFonts w:ascii="Calibri" w:hAnsi="Calibri" w:cs="Calibri"/>
          <w:sz w:val="20"/>
          <w:szCs w:val="20"/>
          <w:lang w:val="ro-RO"/>
        </w:rPr>
        <w:t>ț</w:t>
      </w:r>
      <w:r w:rsidRPr="00834B27">
        <w:rPr>
          <w:rFonts w:ascii="Calibri" w:hAnsi="Calibri" w:cs="Calibri"/>
          <w:sz w:val="20"/>
          <w:szCs w:val="20"/>
          <w:lang w:val="ro-RO"/>
        </w:rPr>
        <w:t xml:space="preserve">ă </w:t>
      </w:r>
    </w:p>
    <w:p w14:paraId="2514EBAA" w14:textId="77777777" w:rsidR="00FA68DC" w:rsidRPr="00834B27" w:rsidRDefault="00FA68DC" w:rsidP="00FA68DC">
      <w:pPr>
        <w:spacing w:line="276" w:lineRule="auto"/>
        <w:jc w:val="both"/>
        <w:rPr>
          <w:rFonts w:ascii="Calibri" w:hAnsi="Calibri" w:cs="Calibri"/>
          <w:sz w:val="20"/>
          <w:szCs w:val="20"/>
          <w:lang w:val="ro-RO"/>
        </w:rPr>
      </w:pPr>
      <w:r w:rsidRPr="00834B27">
        <w:rPr>
          <w:rFonts w:ascii="Calibri" w:hAnsi="Calibri" w:cs="Calibri"/>
          <w:sz w:val="20"/>
          <w:szCs w:val="20"/>
          <w:lang w:val="ro-RO"/>
        </w:rPr>
        <w:t>SFT – Sarcina fiscală totală, formată din impozit pe venit plus CAS, plus CASS</w:t>
      </w:r>
    </w:p>
    <w:p w14:paraId="2EA1A2CA" w14:textId="601405AD" w:rsidR="00FA68DC" w:rsidRPr="00834B27" w:rsidRDefault="00FA68DC" w:rsidP="00FA68DC">
      <w:pPr>
        <w:tabs>
          <w:tab w:val="center" w:pos="4680"/>
        </w:tabs>
        <w:spacing w:line="276" w:lineRule="auto"/>
        <w:jc w:val="both"/>
        <w:rPr>
          <w:rFonts w:ascii="Calibri" w:hAnsi="Calibri" w:cs="Calibri"/>
          <w:sz w:val="20"/>
          <w:szCs w:val="20"/>
          <w:lang w:val="ro-RO"/>
        </w:rPr>
      </w:pPr>
      <w:r w:rsidRPr="00834B27">
        <w:rPr>
          <w:rFonts w:ascii="Calibri" w:hAnsi="Calibri" w:cs="Calibri"/>
          <w:sz w:val="20"/>
          <w:szCs w:val="20"/>
          <w:lang w:val="ro-RO"/>
        </w:rPr>
        <w:t>SM – salariul</w:t>
      </w:r>
      <w:r w:rsidR="002919DA" w:rsidRPr="00834B27">
        <w:rPr>
          <w:rFonts w:ascii="Calibri" w:hAnsi="Calibri" w:cs="Calibri"/>
          <w:sz w:val="20"/>
          <w:szCs w:val="20"/>
          <w:lang w:val="ro-RO"/>
        </w:rPr>
        <w:t xml:space="preserve"> de bază</w:t>
      </w:r>
      <w:r w:rsidRPr="00834B27">
        <w:rPr>
          <w:rFonts w:ascii="Calibri" w:hAnsi="Calibri" w:cs="Calibri"/>
          <w:sz w:val="20"/>
          <w:szCs w:val="20"/>
          <w:lang w:val="ro-RO"/>
        </w:rPr>
        <w:t xml:space="preserve"> minim </w:t>
      </w:r>
      <w:r w:rsidR="002919DA" w:rsidRPr="00834B27">
        <w:rPr>
          <w:rFonts w:ascii="Calibri" w:hAnsi="Calibri" w:cs="Calibri"/>
          <w:sz w:val="20"/>
          <w:szCs w:val="20"/>
          <w:lang w:val="ro-RO"/>
        </w:rPr>
        <w:t xml:space="preserve">brut </w:t>
      </w:r>
      <w:r w:rsidRPr="00834B27">
        <w:rPr>
          <w:rFonts w:ascii="Calibri" w:hAnsi="Calibri" w:cs="Calibri"/>
          <w:sz w:val="20"/>
          <w:szCs w:val="20"/>
          <w:lang w:val="ro-RO"/>
        </w:rPr>
        <w:t>garantat în plată</w:t>
      </w:r>
    </w:p>
    <w:p w14:paraId="59B2F2E6" w14:textId="48E91DF8" w:rsidR="00FA68DC" w:rsidRPr="00834B27" w:rsidRDefault="00FA68DC" w:rsidP="00FA68DC">
      <w:pPr>
        <w:spacing w:line="276" w:lineRule="auto"/>
        <w:jc w:val="both"/>
        <w:rPr>
          <w:rFonts w:ascii="Calibri" w:hAnsi="Calibri" w:cs="Calibri"/>
          <w:sz w:val="20"/>
          <w:szCs w:val="20"/>
          <w:lang w:val="ro-RO"/>
        </w:rPr>
      </w:pPr>
      <w:r w:rsidRPr="00834B27">
        <w:rPr>
          <w:rFonts w:ascii="Calibri" w:hAnsi="Calibri" w:cs="Calibri"/>
          <w:sz w:val="20"/>
          <w:szCs w:val="20"/>
          <w:lang w:val="ro-RO"/>
        </w:rPr>
        <w:t>UBO – beneficiar final („</w:t>
      </w:r>
      <w:r w:rsidRPr="00834B27">
        <w:rPr>
          <w:rFonts w:ascii="Calibri" w:hAnsi="Calibri" w:cs="Calibri"/>
          <w:i/>
          <w:iCs/>
          <w:sz w:val="20"/>
          <w:szCs w:val="20"/>
          <w:lang w:val="ro-RO"/>
        </w:rPr>
        <w:t>Ultimate Beneficial Owner</w:t>
      </w:r>
      <w:r w:rsidRPr="00834B27">
        <w:rPr>
          <w:rFonts w:ascii="Calibri" w:hAnsi="Calibri" w:cs="Calibri"/>
          <w:sz w:val="20"/>
          <w:szCs w:val="20"/>
          <w:lang w:val="ro-RO"/>
        </w:rPr>
        <w:t>”)</w:t>
      </w:r>
    </w:p>
    <w:p w14:paraId="322F99D2" w14:textId="668F4215" w:rsidR="00FA68DC" w:rsidRPr="00834B27" w:rsidRDefault="00FA68DC">
      <w:pPr>
        <w:rPr>
          <w:rFonts w:ascii="Calibri" w:hAnsi="Calibri" w:cs="Calibri"/>
          <w:sz w:val="20"/>
          <w:szCs w:val="20"/>
          <w:lang w:val="ro-RO"/>
        </w:rPr>
      </w:pPr>
    </w:p>
    <w:p w14:paraId="3C6D6831" w14:textId="3BD870B5" w:rsidR="00FA68DC" w:rsidRPr="00834B27" w:rsidRDefault="00FA68DC" w:rsidP="00AA15F6">
      <w:pPr>
        <w:tabs>
          <w:tab w:val="left" w:pos="1260"/>
        </w:tabs>
        <w:spacing w:line="276" w:lineRule="auto"/>
        <w:jc w:val="both"/>
        <w:outlineLvl w:val="0"/>
        <w:rPr>
          <w:rFonts w:ascii="Calibri" w:hAnsi="Calibri" w:cs="Calibri"/>
          <w:b/>
          <w:bCs/>
          <w:sz w:val="22"/>
          <w:szCs w:val="22"/>
          <w:lang w:val="ro-RO"/>
        </w:rPr>
      </w:pPr>
      <w:bookmarkStart w:id="0" w:name="_Toc223643869"/>
      <w:r w:rsidRPr="00834B27">
        <w:rPr>
          <w:rFonts w:ascii="Calibri" w:hAnsi="Calibri" w:cs="Calibri"/>
          <w:b/>
          <w:bCs/>
          <w:sz w:val="22"/>
          <w:szCs w:val="22"/>
          <w:lang w:val="ro-RO"/>
        </w:rPr>
        <w:t>Preambul</w:t>
      </w:r>
      <w:bookmarkEnd w:id="0"/>
    </w:p>
    <w:p w14:paraId="5D07E62C" w14:textId="77777777" w:rsidR="00FA68DC" w:rsidRPr="00834B27" w:rsidRDefault="00FA68DC" w:rsidP="00AA15F6">
      <w:pPr>
        <w:spacing w:line="276" w:lineRule="auto"/>
        <w:rPr>
          <w:rFonts w:ascii="Calibri" w:hAnsi="Calibri" w:cs="Calibri"/>
          <w:sz w:val="22"/>
          <w:szCs w:val="22"/>
          <w:lang w:val="ro-RO"/>
        </w:rPr>
      </w:pPr>
    </w:p>
    <w:p w14:paraId="68006CC7" w14:textId="01D206CC" w:rsidR="00FA68DC" w:rsidRPr="00834B27" w:rsidRDefault="00FA68DC" w:rsidP="00AA15F6">
      <w:pPr>
        <w:spacing w:line="276" w:lineRule="auto"/>
        <w:jc w:val="both"/>
        <w:rPr>
          <w:rFonts w:ascii="Calibri" w:eastAsia="Calibri" w:hAnsi="Calibri" w:cs="Calibri"/>
          <w:sz w:val="22"/>
          <w:szCs w:val="22"/>
          <w:lang w:val="ro-RO"/>
        </w:rPr>
      </w:pPr>
      <w:r w:rsidRPr="00834B27">
        <w:rPr>
          <w:rFonts w:ascii="Calibri" w:eastAsia="Calibri" w:hAnsi="Calibri" w:cs="Calibri"/>
          <w:sz w:val="22"/>
          <w:szCs w:val="22"/>
          <w:lang w:val="ro-RO"/>
        </w:rPr>
        <w:t>Impozitele și contribu</w:t>
      </w:r>
      <w:r w:rsidR="00D77C4B" w:rsidRPr="00834B27">
        <w:rPr>
          <w:rFonts w:ascii="Calibri" w:eastAsia="Calibri" w:hAnsi="Calibri" w:cs="Calibri"/>
          <w:sz w:val="22"/>
          <w:szCs w:val="22"/>
          <w:lang w:val="ro-RO"/>
        </w:rPr>
        <w:t>ț</w:t>
      </w:r>
      <w:r w:rsidRPr="00834B27">
        <w:rPr>
          <w:rFonts w:ascii="Calibri" w:eastAsia="Calibri" w:hAnsi="Calibri" w:cs="Calibri"/>
          <w:sz w:val="22"/>
          <w:szCs w:val="22"/>
          <w:lang w:val="ro-RO"/>
        </w:rPr>
        <w:t xml:space="preserve">iile sociale reprezintă </w:t>
      </w:r>
      <w:r w:rsidRPr="00834B27">
        <w:rPr>
          <w:rFonts w:ascii="Calibri" w:eastAsia="Calibri" w:hAnsi="Calibri" w:cs="Calibri"/>
          <w:b/>
          <w:bCs/>
          <w:sz w:val="22"/>
          <w:szCs w:val="22"/>
          <w:lang w:val="ro-RO"/>
        </w:rPr>
        <w:t>liantul</w:t>
      </w:r>
      <w:r w:rsidRPr="00834B27">
        <w:rPr>
          <w:rFonts w:ascii="Calibri" w:eastAsia="Calibri" w:hAnsi="Calibri" w:cs="Calibri"/>
          <w:sz w:val="22"/>
          <w:szCs w:val="22"/>
          <w:lang w:val="ro-RO"/>
        </w:rPr>
        <w:t xml:space="preserve"> dintre cetă</w:t>
      </w:r>
      <w:r w:rsidR="00D77C4B" w:rsidRPr="00834B27">
        <w:rPr>
          <w:rFonts w:ascii="Calibri" w:eastAsia="Calibri" w:hAnsi="Calibri" w:cs="Calibri"/>
          <w:sz w:val="22"/>
          <w:szCs w:val="22"/>
          <w:lang w:val="ro-RO"/>
        </w:rPr>
        <w:t>ț</w:t>
      </w:r>
      <w:r w:rsidRPr="00834B27">
        <w:rPr>
          <w:rFonts w:ascii="Calibri" w:eastAsia="Calibri" w:hAnsi="Calibri" w:cs="Calibri"/>
          <w:sz w:val="22"/>
          <w:szCs w:val="22"/>
          <w:lang w:val="ro-RO"/>
        </w:rPr>
        <w:t xml:space="preserve">eni și stat. Ele sunt expresia unui </w:t>
      </w:r>
      <w:r w:rsidRPr="00834B27">
        <w:rPr>
          <w:rFonts w:ascii="Calibri" w:eastAsia="Calibri" w:hAnsi="Calibri" w:cs="Calibri"/>
          <w:b/>
          <w:bCs/>
          <w:sz w:val="22"/>
          <w:szCs w:val="22"/>
          <w:lang w:val="ro-RO"/>
        </w:rPr>
        <w:t>contract social</w:t>
      </w:r>
      <w:r w:rsidRPr="00834B27">
        <w:rPr>
          <w:rFonts w:ascii="Calibri" w:eastAsia="Calibri" w:hAnsi="Calibri" w:cs="Calibri"/>
          <w:sz w:val="22"/>
          <w:szCs w:val="22"/>
          <w:lang w:val="ro-RO"/>
        </w:rPr>
        <w:t xml:space="preserve"> implicit prin care fiecare contribuabil acceptă să participe la finan</w:t>
      </w:r>
      <w:r w:rsidR="00D77C4B" w:rsidRPr="00834B27">
        <w:rPr>
          <w:rFonts w:ascii="Calibri" w:eastAsia="Calibri" w:hAnsi="Calibri" w:cs="Calibri"/>
          <w:sz w:val="22"/>
          <w:szCs w:val="22"/>
          <w:lang w:val="ro-RO"/>
        </w:rPr>
        <w:t>ț</w:t>
      </w:r>
      <w:r w:rsidRPr="00834B27">
        <w:rPr>
          <w:rFonts w:ascii="Calibri" w:eastAsia="Calibri" w:hAnsi="Calibri" w:cs="Calibri"/>
          <w:sz w:val="22"/>
          <w:szCs w:val="22"/>
          <w:lang w:val="ro-RO"/>
        </w:rPr>
        <w:t>area bunurilor și serviciilor publice, propor</w:t>
      </w:r>
      <w:r w:rsidR="00D77C4B" w:rsidRPr="00834B27">
        <w:rPr>
          <w:rFonts w:ascii="Calibri" w:eastAsia="Calibri" w:hAnsi="Calibri" w:cs="Calibri"/>
          <w:sz w:val="22"/>
          <w:szCs w:val="22"/>
          <w:lang w:val="ro-RO"/>
        </w:rPr>
        <w:t>ț</w:t>
      </w:r>
      <w:r w:rsidRPr="00834B27">
        <w:rPr>
          <w:rFonts w:ascii="Calibri" w:eastAsia="Calibri" w:hAnsi="Calibri" w:cs="Calibri"/>
          <w:sz w:val="22"/>
          <w:szCs w:val="22"/>
          <w:lang w:val="ro-RO"/>
        </w:rPr>
        <w:t>ional cu capacitatea sa contributivă, în schimbul unor presta</w:t>
      </w:r>
      <w:r w:rsidR="00D77C4B" w:rsidRPr="00834B27">
        <w:rPr>
          <w:rFonts w:ascii="Calibri" w:eastAsia="Calibri" w:hAnsi="Calibri" w:cs="Calibri"/>
          <w:sz w:val="22"/>
          <w:szCs w:val="22"/>
          <w:lang w:val="ro-RO"/>
        </w:rPr>
        <w:t>ț</w:t>
      </w:r>
      <w:r w:rsidRPr="00834B27">
        <w:rPr>
          <w:rFonts w:ascii="Calibri" w:eastAsia="Calibri" w:hAnsi="Calibri" w:cs="Calibri"/>
          <w:sz w:val="22"/>
          <w:szCs w:val="22"/>
          <w:lang w:val="ro-RO"/>
        </w:rPr>
        <w:t xml:space="preserve">ii corecte și previzibile. Când acest contract este perceput ca inechitabil, încrederea în stat se erodează, conformarea voluntară scade, iar costurile de administrare cresc. </w:t>
      </w:r>
      <w:r w:rsidRPr="00834B27">
        <w:rPr>
          <w:rFonts w:ascii="Calibri" w:hAnsi="Calibri" w:cs="Calibri"/>
          <w:sz w:val="22"/>
          <w:szCs w:val="22"/>
          <w:lang w:val="ro-RO"/>
        </w:rPr>
        <w:t>Prezentul studiu demonstrează, pe baza datelor bugetare și a informa</w:t>
      </w:r>
      <w:r w:rsidR="00D77C4B" w:rsidRPr="00834B27">
        <w:rPr>
          <w:rFonts w:ascii="Calibri" w:hAnsi="Calibri" w:cs="Calibri"/>
          <w:sz w:val="22"/>
          <w:szCs w:val="22"/>
          <w:lang w:val="ro-RO"/>
        </w:rPr>
        <w:t>ț</w:t>
      </w:r>
      <w:r w:rsidRPr="00834B27">
        <w:rPr>
          <w:rFonts w:ascii="Calibri" w:hAnsi="Calibri" w:cs="Calibri"/>
          <w:sz w:val="22"/>
          <w:szCs w:val="22"/>
          <w:lang w:val="ro-RO"/>
        </w:rPr>
        <w:t>iilor furnizate de ANAF, că în România acest contract este în mod obiectiv rupt: doi contribuabili cu venituri identice pot suporta o sarcină fiscală care diferă cu un factor de aproape 7, în func</w:t>
      </w:r>
      <w:r w:rsidR="00D77C4B" w:rsidRPr="00834B27">
        <w:rPr>
          <w:rFonts w:ascii="Calibri" w:hAnsi="Calibri" w:cs="Calibri"/>
          <w:sz w:val="22"/>
          <w:szCs w:val="22"/>
          <w:lang w:val="ro-RO"/>
        </w:rPr>
        <w:t>ț</w:t>
      </w:r>
      <w:r w:rsidRPr="00834B27">
        <w:rPr>
          <w:rFonts w:ascii="Calibri" w:hAnsi="Calibri" w:cs="Calibri"/>
          <w:sz w:val="22"/>
          <w:szCs w:val="22"/>
          <w:lang w:val="ro-RO"/>
        </w:rPr>
        <w:t xml:space="preserve">ie de forma juridică </w:t>
      </w:r>
      <w:r w:rsidR="00543B54" w:rsidRPr="00834B27">
        <w:rPr>
          <w:rFonts w:ascii="Calibri" w:hAnsi="Calibri" w:cs="Calibri"/>
          <w:sz w:val="22"/>
          <w:szCs w:val="22"/>
          <w:lang w:val="ro-RO"/>
        </w:rPr>
        <w:t xml:space="preserve">a contractului prin </w:t>
      </w:r>
      <w:r w:rsidRPr="00834B27">
        <w:rPr>
          <w:rFonts w:ascii="Calibri" w:hAnsi="Calibri" w:cs="Calibri"/>
          <w:sz w:val="22"/>
          <w:szCs w:val="22"/>
          <w:lang w:val="ro-RO"/>
        </w:rPr>
        <w:t xml:space="preserve"> care venitul este </w:t>
      </w:r>
      <w:r w:rsidR="00543B54" w:rsidRPr="00834B27">
        <w:rPr>
          <w:rFonts w:ascii="Calibri" w:hAnsi="Calibri" w:cs="Calibri"/>
          <w:sz w:val="22"/>
          <w:szCs w:val="22"/>
          <w:lang w:val="ro-RO"/>
        </w:rPr>
        <w:t>obținut</w:t>
      </w:r>
      <w:r w:rsidRPr="00834B27">
        <w:rPr>
          <w:rFonts w:ascii="Calibri" w:hAnsi="Calibri" w:cs="Calibri"/>
          <w:sz w:val="22"/>
          <w:szCs w:val="22"/>
          <w:lang w:val="ro-RO"/>
        </w:rPr>
        <w:t>.</w:t>
      </w:r>
    </w:p>
    <w:p w14:paraId="22B44474" w14:textId="66A6EB8E" w:rsidR="00FC33EA" w:rsidRPr="00834B27" w:rsidRDefault="00FA68DC" w:rsidP="00AA15F6">
      <w:pPr>
        <w:spacing w:line="276" w:lineRule="auto"/>
        <w:jc w:val="both"/>
        <w:rPr>
          <w:rFonts w:ascii="Calibri" w:eastAsia="Calibri" w:hAnsi="Calibri" w:cs="Calibri"/>
          <w:sz w:val="22"/>
          <w:szCs w:val="22"/>
          <w:lang w:val="ro-RO"/>
        </w:rPr>
      </w:pPr>
      <w:r w:rsidRPr="00834B27">
        <w:rPr>
          <w:rFonts w:ascii="Calibri" w:eastAsia="Calibri" w:hAnsi="Calibri" w:cs="Calibri"/>
          <w:sz w:val="22"/>
          <w:szCs w:val="22"/>
          <w:lang w:val="ro-RO"/>
        </w:rPr>
        <w:t xml:space="preserve">Prezentul studiu pornește de la o constatare documentată: </w:t>
      </w:r>
      <w:r w:rsidR="00FC33EA" w:rsidRPr="00834B27">
        <w:rPr>
          <w:rFonts w:ascii="Calibri" w:hAnsi="Calibri" w:cs="Calibri"/>
          <w:b/>
          <w:bCs/>
          <w:sz w:val="22"/>
          <w:szCs w:val="22"/>
          <w:lang w:val="ro-RO"/>
        </w:rPr>
        <w:t>sistemul de impozitare a veniturilor persoanelor fizice din România a ajuns într-un punct în care costul menținerii depășește costul reformării.</w:t>
      </w:r>
    </w:p>
    <w:p w14:paraId="78B2E0EA" w14:textId="11390D3A" w:rsidR="00FC33EA" w:rsidRPr="00834B27" w:rsidRDefault="00FC33EA" w:rsidP="00AA15F6">
      <w:pPr>
        <w:pStyle w:val="font-claude-response-body"/>
        <w:spacing w:before="0" w:beforeAutospacing="0" w:after="0" w:afterAutospacing="0" w:line="276" w:lineRule="auto"/>
        <w:jc w:val="both"/>
        <w:rPr>
          <w:rFonts w:ascii="Calibri" w:hAnsi="Calibri" w:cs="Calibri"/>
          <w:sz w:val="22"/>
          <w:szCs w:val="22"/>
          <w:lang w:val="ro-RO"/>
        </w:rPr>
      </w:pPr>
      <w:r w:rsidRPr="00834B27">
        <w:rPr>
          <w:rFonts w:ascii="Calibri" w:hAnsi="Calibri" w:cs="Calibri"/>
          <w:sz w:val="22"/>
          <w:szCs w:val="22"/>
          <w:lang w:val="ro-RO"/>
        </w:rPr>
        <w:t>Această co</w:t>
      </w:r>
      <w:r w:rsidR="00761761" w:rsidRPr="00834B27">
        <w:rPr>
          <w:rFonts w:ascii="Calibri" w:hAnsi="Calibri" w:cs="Calibri"/>
          <w:sz w:val="22"/>
          <w:szCs w:val="22"/>
          <w:lang w:val="ro-RO"/>
        </w:rPr>
        <w:t>nstatare este</w:t>
      </w:r>
      <w:r w:rsidRPr="00834B27">
        <w:rPr>
          <w:rFonts w:ascii="Calibri" w:hAnsi="Calibri" w:cs="Calibri"/>
          <w:sz w:val="22"/>
          <w:szCs w:val="22"/>
          <w:lang w:val="ro-RO"/>
        </w:rPr>
        <w:t xml:space="preserve"> </w:t>
      </w:r>
      <w:r w:rsidR="00761761" w:rsidRPr="00834B27">
        <w:rPr>
          <w:rFonts w:ascii="Calibri" w:hAnsi="Calibri" w:cs="Calibri"/>
          <w:sz w:val="22"/>
          <w:szCs w:val="22"/>
          <w:lang w:val="ro-RO"/>
        </w:rPr>
        <w:t>susținută</w:t>
      </w:r>
      <w:r w:rsidRPr="00834B27">
        <w:rPr>
          <w:rFonts w:ascii="Calibri" w:hAnsi="Calibri" w:cs="Calibri"/>
          <w:sz w:val="22"/>
          <w:szCs w:val="22"/>
          <w:lang w:val="ro-RO"/>
        </w:rPr>
        <w:t xml:space="preserve"> d</w:t>
      </w:r>
      <w:r w:rsidR="00761761" w:rsidRPr="00834B27">
        <w:rPr>
          <w:rFonts w:ascii="Calibri" w:hAnsi="Calibri" w:cs="Calibri"/>
          <w:sz w:val="22"/>
          <w:szCs w:val="22"/>
          <w:lang w:val="ro-RO"/>
        </w:rPr>
        <w:t>e</w:t>
      </w:r>
      <w:r w:rsidRPr="00834B27">
        <w:rPr>
          <w:rFonts w:ascii="Calibri" w:hAnsi="Calibri" w:cs="Calibri"/>
          <w:sz w:val="22"/>
          <w:szCs w:val="22"/>
          <w:lang w:val="ro-RO"/>
        </w:rPr>
        <w:t xml:space="preserve"> date publice, verificabile, provenite din surse oficiale ale statului român și ale instituțiilor internaționale: </w:t>
      </w:r>
    </w:p>
    <w:p w14:paraId="7FCF4F70" w14:textId="77777777" w:rsidR="00744D0F" w:rsidRPr="00834B27" w:rsidRDefault="00744D0F" w:rsidP="00AA15F6">
      <w:pPr>
        <w:pStyle w:val="font-claude-response-body"/>
        <w:spacing w:before="0" w:beforeAutospacing="0" w:after="0" w:afterAutospacing="0" w:line="276" w:lineRule="auto"/>
        <w:jc w:val="both"/>
        <w:rPr>
          <w:rFonts w:ascii="Calibri" w:hAnsi="Calibri" w:cs="Calibri"/>
          <w:sz w:val="22"/>
          <w:szCs w:val="22"/>
          <w:lang w:val="ro-RO"/>
        </w:rPr>
      </w:pPr>
    </w:p>
    <w:p w14:paraId="016B7BDB" w14:textId="6FC6E24C" w:rsidR="00FC33EA" w:rsidRPr="00834B27" w:rsidRDefault="00FC33EA" w:rsidP="00AA15F6">
      <w:pPr>
        <w:pStyle w:val="font-claude-response-body"/>
        <w:spacing w:before="0" w:beforeAutospacing="0" w:after="0" w:afterAutospacing="0" w:line="276" w:lineRule="auto"/>
        <w:jc w:val="both"/>
        <w:rPr>
          <w:rFonts w:ascii="Calibri" w:hAnsi="Calibri" w:cs="Calibri"/>
          <w:b/>
          <w:bCs/>
          <w:sz w:val="22"/>
          <w:szCs w:val="22"/>
          <w:lang w:val="ro-RO"/>
        </w:rPr>
      </w:pPr>
      <w:r w:rsidRPr="00834B27">
        <w:rPr>
          <w:rFonts w:ascii="Calibri" w:hAnsi="Calibri" w:cs="Calibri"/>
          <w:b/>
          <w:bCs/>
          <w:sz w:val="22"/>
          <w:szCs w:val="22"/>
          <w:lang w:val="ro-RO"/>
        </w:rPr>
        <w:t xml:space="preserve">1. </w:t>
      </w:r>
      <w:r w:rsidR="0061346D" w:rsidRPr="00834B27">
        <w:rPr>
          <w:rFonts w:ascii="Calibri" w:eastAsia="Calibri" w:hAnsi="Calibri" w:cs="Calibri"/>
          <w:b/>
          <w:bCs/>
          <w:sz w:val="22"/>
          <w:szCs w:val="22"/>
          <w:lang w:val="ro-RO"/>
        </w:rPr>
        <w:t>L</w:t>
      </w:r>
      <w:r w:rsidRPr="00834B27">
        <w:rPr>
          <w:rFonts w:ascii="Calibri" w:eastAsia="Calibri" w:hAnsi="Calibri" w:cs="Calibri"/>
          <w:b/>
          <w:bCs/>
          <w:sz w:val="22"/>
          <w:szCs w:val="22"/>
          <w:lang w:val="ro-RO"/>
        </w:rPr>
        <w:t>egislația fiscală aplicabilă veniturilor persoanelor fizice din România este fragmentată, instabilă și inechitabilă</w:t>
      </w:r>
      <w:r w:rsidRPr="00834B27">
        <w:rPr>
          <w:rFonts w:ascii="Calibri" w:hAnsi="Calibri" w:cs="Calibri"/>
          <w:b/>
          <w:bCs/>
          <w:sz w:val="22"/>
          <w:szCs w:val="22"/>
          <w:lang w:val="ro-RO"/>
        </w:rPr>
        <w:t xml:space="preserve">: </w:t>
      </w:r>
    </w:p>
    <w:p w14:paraId="137B2401" w14:textId="206A6A7A" w:rsidR="00FC33EA" w:rsidRPr="00834B27" w:rsidRDefault="00FC33EA" w:rsidP="00AA15F6">
      <w:pPr>
        <w:pStyle w:val="font-claude-response-body"/>
        <w:numPr>
          <w:ilvl w:val="0"/>
          <w:numId w:val="57"/>
        </w:numPr>
        <w:spacing w:before="0" w:beforeAutospacing="0" w:after="0" w:afterAutospacing="0" w:line="276" w:lineRule="auto"/>
        <w:ind w:left="540" w:hanging="450"/>
        <w:jc w:val="both"/>
        <w:rPr>
          <w:rFonts w:ascii="Calibri" w:hAnsi="Calibri" w:cs="Calibri"/>
          <w:sz w:val="22"/>
          <w:szCs w:val="22"/>
          <w:lang w:val="ro-RO"/>
        </w:rPr>
      </w:pPr>
      <w:r w:rsidRPr="00834B27">
        <w:rPr>
          <w:rFonts w:ascii="Calibri" w:hAnsi="Calibri" w:cs="Calibri"/>
          <w:sz w:val="22"/>
          <w:szCs w:val="22"/>
          <w:lang w:val="ro-RO"/>
        </w:rPr>
        <w:t>titlurile IV și V din Codul fiscal — cele care reglementează impozitarea veniturilor persoanelor fizice și contribuțiile sociale obligatorii — au suferit peste 450 de modificări în ultimii 10 ani, echivalentul a aproape 4 modificări pe lună, fiecare lună, fără întrerupere</w:t>
      </w:r>
      <w:r w:rsidR="0061346D" w:rsidRPr="00834B27">
        <w:rPr>
          <w:rFonts w:ascii="Calibri" w:hAnsi="Calibri" w:cs="Calibri"/>
          <w:sz w:val="22"/>
          <w:szCs w:val="22"/>
          <w:lang w:val="ro-RO"/>
        </w:rPr>
        <w:t>.</w:t>
      </w:r>
    </w:p>
    <w:p w14:paraId="7620EA9E" w14:textId="77777777" w:rsidR="00FC33EA" w:rsidRPr="00834B27" w:rsidRDefault="00FC33EA" w:rsidP="00AA15F6">
      <w:pPr>
        <w:pStyle w:val="font-claude-response-body"/>
        <w:numPr>
          <w:ilvl w:val="0"/>
          <w:numId w:val="57"/>
        </w:numPr>
        <w:spacing w:before="0" w:beforeAutospacing="0" w:after="0" w:afterAutospacing="0" w:line="276" w:lineRule="auto"/>
        <w:ind w:left="540" w:hanging="450"/>
        <w:jc w:val="both"/>
        <w:rPr>
          <w:rFonts w:ascii="Calibri" w:hAnsi="Calibri" w:cs="Calibri"/>
          <w:sz w:val="22"/>
          <w:szCs w:val="22"/>
          <w:lang w:val="ro-RO"/>
        </w:rPr>
      </w:pPr>
      <w:r w:rsidRPr="00834B27">
        <w:rPr>
          <w:rFonts w:ascii="Calibri" w:hAnsi="Calibri" w:cs="Calibri"/>
          <w:sz w:val="22"/>
          <w:szCs w:val="22"/>
          <w:lang w:val="ro-RO"/>
        </w:rPr>
        <w:t>doar cota de impozitare a dividendelor s-a schimbat de 7 ori în 22 de ani (5%, 10%, 16%, 5%, 8%, 10%, 16%).</w:t>
      </w:r>
    </w:p>
    <w:p w14:paraId="67D593D6" w14:textId="77777777" w:rsidR="00FC33EA" w:rsidRPr="00834B27" w:rsidRDefault="00FC33EA" w:rsidP="00AA15F6">
      <w:pPr>
        <w:pStyle w:val="font-claude-response-body"/>
        <w:numPr>
          <w:ilvl w:val="0"/>
          <w:numId w:val="57"/>
        </w:numPr>
        <w:spacing w:before="0" w:beforeAutospacing="0" w:after="0" w:afterAutospacing="0" w:line="276" w:lineRule="auto"/>
        <w:ind w:left="540" w:hanging="450"/>
        <w:jc w:val="both"/>
        <w:rPr>
          <w:rFonts w:ascii="Calibri" w:hAnsi="Calibri" w:cs="Calibri"/>
          <w:sz w:val="22"/>
          <w:szCs w:val="22"/>
          <w:lang w:val="ro-RO"/>
        </w:rPr>
      </w:pPr>
      <w:r w:rsidRPr="00834B27">
        <w:rPr>
          <w:rFonts w:ascii="Calibri" w:hAnsi="Calibri" w:cs="Calibri"/>
          <w:sz w:val="22"/>
          <w:szCs w:val="22"/>
          <w:lang w:val="ro-RO"/>
        </w:rPr>
        <w:t xml:space="preserve">baza de calcul a CASS pentru veniturile din activități independente s-a modificat de 5 ori în 8 ani (2018–2026). </w:t>
      </w:r>
    </w:p>
    <w:p w14:paraId="079578A6" w14:textId="77777777" w:rsidR="00FC33EA" w:rsidRPr="00834B27" w:rsidRDefault="00FC33EA" w:rsidP="00AA15F6">
      <w:pPr>
        <w:pStyle w:val="font-claude-response-body"/>
        <w:numPr>
          <w:ilvl w:val="0"/>
          <w:numId w:val="57"/>
        </w:numPr>
        <w:spacing w:before="0" w:beforeAutospacing="0" w:after="0" w:afterAutospacing="0" w:line="276" w:lineRule="auto"/>
        <w:ind w:left="540" w:hanging="450"/>
        <w:jc w:val="both"/>
        <w:rPr>
          <w:rFonts w:ascii="Calibri" w:hAnsi="Calibri" w:cs="Calibri"/>
          <w:sz w:val="22"/>
          <w:szCs w:val="22"/>
          <w:lang w:val="ro-RO"/>
        </w:rPr>
      </w:pPr>
      <w:r w:rsidRPr="00834B27">
        <w:rPr>
          <w:rFonts w:ascii="Calibri" w:hAnsi="Calibri" w:cs="Calibri"/>
          <w:sz w:val="22"/>
          <w:szCs w:val="22"/>
          <w:lang w:val="ro-RO"/>
        </w:rPr>
        <w:t>regimul CASS pentru pensii s-a modificat de 7 ori în 10 ani, trecând de la impozitare, la scutire, la plata de la bugetul de stat, la scutire completă și din nou la impozitare, cu praguri diferite la fiecare iterație.</w:t>
      </w:r>
    </w:p>
    <w:p w14:paraId="0C422E1B" w14:textId="77777777" w:rsidR="00FC33EA" w:rsidRPr="00834B27" w:rsidRDefault="00FC33EA" w:rsidP="00AA15F6">
      <w:pPr>
        <w:pStyle w:val="font-claude-response-body"/>
        <w:spacing w:before="0" w:beforeAutospacing="0" w:after="0" w:afterAutospacing="0" w:line="276" w:lineRule="auto"/>
        <w:jc w:val="both"/>
        <w:rPr>
          <w:rFonts w:ascii="Calibri" w:hAnsi="Calibri" w:cs="Calibri"/>
          <w:sz w:val="22"/>
          <w:szCs w:val="22"/>
          <w:lang w:val="ro-RO"/>
        </w:rPr>
      </w:pPr>
      <w:r w:rsidRPr="00834B27">
        <w:rPr>
          <w:rFonts w:ascii="Calibri" w:hAnsi="Calibri" w:cs="Calibri"/>
          <w:sz w:val="22"/>
          <w:szCs w:val="22"/>
          <w:lang w:val="ro-RO"/>
        </w:rPr>
        <w:t>Această instabilitate structurală face imposibilă orice planificare financiară, atât pentru contribuabili, cât și pentru bugetul public.</w:t>
      </w:r>
    </w:p>
    <w:p w14:paraId="318684A1" w14:textId="77777777" w:rsidR="00744D0F" w:rsidRPr="00834B27" w:rsidRDefault="00744D0F" w:rsidP="00AA15F6">
      <w:pPr>
        <w:pStyle w:val="font-claude-response-body"/>
        <w:spacing w:before="0" w:beforeAutospacing="0" w:after="0" w:afterAutospacing="0" w:line="276" w:lineRule="auto"/>
        <w:jc w:val="both"/>
        <w:rPr>
          <w:rFonts w:ascii="Calibri" w:hAnsi="Calibri" w:cs="Calibri"/>
          <w:sz w:val="22"/>
          <w:szCs w:val="22"/>
          <w:lang w:val="ro-RO"/>
        </w:rPr>
      </w:pPr>
    </w:p>
    <w:p w14:paraId="0B98A9AA" w14:textId="3BE48036" w:rsidR="00FC33EA" w:rsidRPr="00834B27" w:rsidRDefault="00FC33EA" w:rsidP="00AA15F6">
      <w:pPr>
        <w:pStyle w:val="font-claude-response-body"/>
        <w:spacing w:before="0" w:beforeAutospacing="0" w:after="0" w:afterAutospacing="0" w:line="276" w:lineRule="auto"/>
        <w:jc w:val="both"/>
        <w:rPr>
          <w:rFonts w:ascii="Calibri" w:hAnsi="Calibri" w:cs="Calibri"/>
          <w:b/>
          <w:bCs/>
          <w:sz w:val="22"/>
          <w:szCs w:val="22"/>
          <w:lang w:val="ro-RO"/>
        </w:rPr>
      </w:pPr>
      <w:r w:rsidRPr="00834B27">
        <w:rPr>
          <w:rFonts w:ascii="Calibri" w:hAnsi="Calibri" w:cs="Calibri"/>
          <w:b/>
          <w:bCs/>
          <w:sz w:val="22"/>
          <w:szCs w:val="22"/>
          <w:lang w:val="ro-RO"/>
        </w:rPr>
        <w:t xml:space="preserve">2. </w:t>
      </w:r>
      <w:r w:rsidR="0061346D" w:rsidRPr="00834B27">
        <w:rPr>
          <w:rFonts w:ascii="Calibri" w:hAnsi="Calibri" w:cs="Calibri"/>
          <w:b/>
          <w:bCs/>
          <w:sz w:val="22"/>
          <w:szCs w:val="22"/>
          <w:lang w:val="ro-RO"/>
        </w:rPr>
        <w:t>S</w:t>
      </w:r>
      <w:r w:rsidRPr="00834B27">
        <w:rPr>
          <w:rFonts w:ascii="Calibri" w:hAnsi="Calibri" w:cs="Calibri"/>
          <w:b/>
          <w:bCs/>
          <w:sz w:val="22"/>
          <w:szCs w:val="22"/>
          <w:lang w:val="ro-RO"/>
        </w:rPr>
        <w:t>arcina fiscală totală variază cu un factor de până la 7:1 pentru venituri de nivel comparabil:</w:t>
      </w:r>
    </w:p>
    <w:p w14:paraId="7AB188F0" w14:textId="5831E07B" w:rsidR="00FC33EA" w:rsidRPr="00834B27" w:rsidRDefault="00FC33EA" w:rsidP="00AA15F6">
      <w:pPr>
        <w:pStyle w:val="font-claude-response-body"/>
        <w:numPr>
          <w:ilvl w:val="0"/>
          <w:numId w:val="58"/>
        </w:numPr>
        <w:spacing w:before="0" w:beforeAutospacing="0" w:after="0" w:afterAutospacing="0" w:line="276" w:lineRule="auto"/>
        <w:ind w:left="540" w:hanging="450"/>
        <w:jc w:val="both"/>
        <w:rPr>
          <w:rFonts w:ascii="Calibri" w:hAnsi="Calibri" w:cs="Calibri"/>
          <w:sz w:val="22"/>
          <w:szCs w:val="22"/>
          <w:lang w:val="ro-RO"/>
        </w:rPr>
      </w:pPr>
      <w:r w:rsidRPr="00834B27">
        <w:rPr>
          <w:rFonts w:ascii="Calibri" w:hAnsi="Calibri" w:cs="Calibri"/>
          <w:sz w:val="22"/>
          <w:szCs w:val="22"/>
          <w:lang w:val="ro-RO"/>
        </w:rPr>
        <w:t xml:space="preserve">un salariat cu venit brut de 10.000 lei pe lună suportă o sarcină fiscală totală (impozit pe venit + CAS + CASS) de 41,5%. </w:t>
      </w:r>
      <w:r w:rsidRPr="00834B27">
        <w:rPr>
          <w:rFonts w:ascii="Calibri" w:eastAsia="Calibri" w:hAnsi="Calibri" w:cs="Calibri"/>
          <w:sz w:val="22"/>
          <w:szCs w:val="22"/>
          <w:lang w:val="ro-RO"/>
        </w:rPr>
        <w:t xml:space="preserve">din venitul brut. </w:t>
      </w:r>
      <w:r w:rsidRPr="00834B27">
        <w:rPr>
          <w:rStyle w:val="Referinnotdesubsol"/>
          <w:rFonts w:ascii="Calibri" w:eastAsia="Calibri" w:hAnsi="Calibri" w:cs="Calibri"/>
          <w:sz w:val="22"/>
          <w:szCs w:val="22"/>
          <w:lang w:val="ro-RO"/>
        </w:rPr>
        <w:footnoteReference w:id="1"/>
      </w:r>
    </w:p>
    <w:p w14:paraId="07DF6982" w14:textId="7BCBD874" w:rsidR="00FC33EA" w:rsidRPr="00834B27" w:rsidRDefault="00FC33EA" w:rsidP="00AA15F6">
      <w:pPr>
        <w:pStyle w:val="font-claude-response-body"/>
        <w:numPr>
          <w:ilvl w:val="0"/>
          <w:numId w:val="58"/>
        </w:numPr>
        <w:spacing w:before="0" w:beforeAutospacing="0" w:after="0" w:afterAutospacing="0" w:line="276" w:lineRule="auto"/>
        <w:ind w:left="540" w:hanging="450"/>
        <w:jc w:val="both"/>
        <w:rPr>
          <w:rFonts w:ascii="Calibri" w:hAnsi="Calibri" w:cs="Calibri"/>
          <w:sz w:val="22"/>
          <w:szCs w:val="22"/>
          <w:lang w:val="ro-RO"/>
        </w:rPr>
      </w:pPr>
      <w:r w:rsidRPr="00834B27">
        <w:rPr>
          <w:rFonts w:ascii="Calibri" w:hAnsi="Calibri" w:cs="Calibri"/>
          <w:sz w:val="22"/>
          <w:szCs w:val="22"/>
          <w:lang w:val="ro-RO"/>
        </w:rPr>
        <w:lastRenderedPageBreak/>
        <w:t xml:space="preserve">un contribuabil cu venituri identice, structurate prin drepturi de proprietate intelectuală, suportă o sarcină fiscală totală de aproximativ 6%. </w:t>
      </w:r>
      <w:r w:rsidRPr="00834B27">
        <w:rPr>
          <w:rFonts w:ascii="Calibri" w:eastAsia="Calibri" w:hAnsi="Calibri" w:cs="Calibri"/>
          <w:sz w:val="22"/>
          <w:szCs w:val="22"/>
          <w:lang w:val="ro-RO"/>
        </w:rPr>
        <w:t>Diferența este de 35,5 puncte procentuale — sarcina fiscală pe salariu este de aproape 7 ori mai mare decât cea pe venitul din drepturi de autor (calculul detaliat al SFT de 6% este prezentat la secțiunea 1.3; calculul de 41,5% la secțiunea 1.1).</w:t>
      </w:r>
    </w:p>
    <w:p w14:paraId="20DF5FB1" w14:textId="2DB80804" w:rsidR="00FC33EA" w:rsidRPr="00834B27" w:rsidRDefault="00FC33EA" w:rsidP="00AA15F6">
      <w:pPr>
        <w:pStyle w:val="font-claude-response-body"/>
        <w:numPr>
          <w:ilvl w:val="0"/>
          <w:numId w:val="58"/>
        </w:numPr>
        <w:spacing w:before="0" w:beforeAutospacing="0" w:after="0" w:afterAutospacing="0" w:line="276" w:lineRule="auto"/>
        <w:ind w:left="540" w:hanging="450"/>
        <w:jc w:val="both"/>
        <w:rPr>
          <w:rFonts w:ascii="Calibri" w:hAnsi="Calibri" w:cs="Calibri"/>
          <w:sz w:val="22"/>
          <w:szCs w:val="22"/>
          <w:lang w:val="ro-RO"/>
        </w:rPr>
      </w:pPr>
      <w:r w:rsidRPr="00834B27">
        <w:rPr>
          <w:rFonts w:ascii="Calibri" w:hAnsi="Calibri" w:cs="Calibri"/>
          <w:sz w:val="22"/>
          <w:szCs w:val="22"/>
          <w:lang w:val="ro-RO"/>
        </w:rPr>
        <w:t xml:space="preserve">un asociat unic al unei microîntreprinderi cu cifra de afaceri de 120.000 lei pe an și cheltuieli reale minime poate ajunge la o sarcină fiscală efectivă de 1–3%. </w:t>
      </w:r>
      <w:r w:rsidRPr="00834B27">
        <w:rPr>
          <w:rFonts w:ascii="Calibri" w:eastAsia="Calibri" w:hAnsi="Calibri" w:cs="Calibri"/>
          <w:sz w:val="22"/>
          <w:szCs w:val="22"/>
          <w:lang w:val="ro-RO"/>
        </w:rPr>
        <w:t>(a se vedea analiza datelor privind microîntreprinderile de la secțiunea 2.3.1, Tabelul 6, din care rezultă că 40,7% din microîntreprinderi declară pierderi comparabile cu cifra de afaceri)</w:t>
      </w:r>
    </w:p>
    <w:p w14:paraId="2211873E" w14:textId="4128453E" w:rsidR="00D1647E" w:rsidRPr="00834B27" w:rsidRDefault="00FC33EA" w:rsidP="00AA15F6">
      <w:pPr>
        <w:pStyle w:val="font-claude-response-body"/>
        <w:spacing w:before="0" w:beforeAutospacing="0" w:after="0" w:afterAutospacing="0" w:line="276" w:lineRule="auto"/>
        <w:jc w:val="both"/>
        <w:rPr>
          <w:rFonts w:ascii="Calibri" w:hAnsi="Calibri" w:cs="Calibri"/>
          <w:sz w:val="22"/>
          <w:szCs w:val="22"/>
          <w:lang w:val="ro-RO"/>
        </w:rPr>
      </w:pPr>
      <w:r w:rsidRPr="00834B27">
        <w:rPr>
          <w:rFonts w:ascii="Calibri" w:hAnsi="Calibri" w:cs="Calibri"/>
          <w:sz w:val="22"/>
          <w:szCs w:val="22"/>
          <w:lang w:val="ro-RO"/>
        </w:rPr>
        <w:t>Aceste diferențe reflectă exclusiv forma juridică sub care venitul este structurat — formă pe care contribuabilul o poate alege și modifica</w:t>
      </w:r>
      <w:r w:rsidR="003139CC" w:rsidRPr="00834B27">
        <w:rPr>
          <w:rFonts w:ascii="Calibri" w:hAnsi="Calibri" w:cs="Calibri"/>
          <w:sz w:val="22"/>
          <w:szCs w:val="22"/>
          <w:lang w:val="ro-RO"/>
        </w:rPr>
        <w:t xml:space="preserve"> pentru a beneficia de </w:t>
      </w:r>
      <w:r w:rsidR="00F42C7F" w:rsidRPr="00834B27">
        <w:rPr>
          <w:rFonts w:ascii="Calibri" w:hAnsi="Calibri" w:cs="Calibri"/>
          <w:sz w:val="22"/>
          <w:szCs w:val="22"/>
          <w:lang w:val="ro-RO"/>
        </w:rPr>
        <w:t>o sarcină fiscală mai mică, lucru dealtfel firesc</w:t>
      </w:r>
      <w:r w:rsidR="00083E67" w:rsidRPr="00834B27">
        <w:rPr>
          <w:rFonts w:ascii="Calibri" w:hAnsi="Calibri" w:cs="Calibri"/>
          <w:sz w:val="22"/>
          <w:szCs w:val="22"/>
          <w:lang w:val="ro-RO"/>
        </w:rPr>
        <w:t>.</w:t>
      </w:r>
      <w:r w:rsidRPr="00834B27">
        <w:rPr>
          <w:rFonts w:ascii="Calibri" w:hAnsi="Calibri" w:cs="Calibri"/>
          <w:sz w:val="22"/>
          <w:szCs w:val="22"/>
          <w:lang w:val="ro-RO"/>
        </w:rPr>
        <w:t xml:space="preserve"> </w:t>
      </w:r>
    </w:p>
    <w:p w14:paraId="23AFA2AF" w14:textId="77777777" w:rsidR="00D1647E" w:rsidRPr="00834B27" w:rsidRDefault="00D1647E" w:rsidP="00AA15F6">
      <w:pPr>
        <w:pStyle w:val="font-claude-response-body"/>
        <w:spacing w:before="0" w:beforeAutospacing="0" w:after="0" w:afterAutospacing="0" w:line="276" w:lineRule="auto"/>
        <w:jc w:val="both"/>
        <w:rPr>
          <w:rFonts w:ascii="Calibri" w:hAnsi="Calibri" w:cs="Calibri"/>
          <w:sz w:val="22"/>
          <w:szCs w:val="22"/>
          <w:lang w:val="ro-RO"/>
        </w:rPr>
      </w:pPr>
    </w:p>
    <w:p w14:paraId="3466DD5F" w14:textId="157E2720" w:rsidR="00FC33EA" w:rsidRPr="00834B27" w:rsidRDefault="00FC33EA" w:rsidP="00AA15F6">
      <w:pPr>
        <w:pStyle w:val="font-claude-response-body"/>
        <w:spacing w:before="0" w:beforeAutospacing="0" w:after="0" w:afterAutospacing="0" w:line="276" w:lineRule="auto"/>
        <w:jc w:val="both"/>
        <w:rPr>
          <w:rFonts w:ascii="Calibri" w:hAnsi="Calibri" w:cs="Calibri"/>
          <w:b/>
          <w:bCs/>
          <w:sz w:val="22"/>
          <w:szCs w:val="22"/>
          <w:lang w:val="ro-RO"/>
        </w:rPr>
      </w:pPr>
      <w:r w:rsidRPr="00834B27">
        <w:rPr>
          <w:rFonts w:ascii="Calibri" w:hAnsi="Calibri" w:cs="Calibri"/>
          <w:b/>
          <w:bCs/>
          <w:sz w:val="22"/>
          <w:szCs w:val="22"/>
          <w:lang w:val="ro-RO"/>
        </w:rPr>
        <w:t>Într-un sistem în care sarcina fiscală depinde nu de cât câștigi, ci de cum te organizezi juridic, stimulentul rațional nu este conformarea, ci optimizarea.</w:t>
      </w:r>
    </w:p>
    <w:p w14:paraId="51815A1D" w14:textId="77777777" w:rsidR="00D1647E" w:rsidRPr="00834B27" w:rsidRDefault="00D1647E" w:rsidP="00AA15F6">
      <w:pPr>
        <w:pStyle w:val="font-claude-response-body"/>
        <w:spacing w:before="0" w:beforeAutospacing="0" w:after="0" w:afterAutospacing="0" w:line="276" w:lineRule="auto"/>
        <w:jc w:val="both"/>
        <w:rPr>
          <w:rFonts w:ascii="Calibri" w:hAnsi="Calibri" w:cs="Calibri"/>
          <w:sz w:val="22"/>
          <w:szCs w:val="22"/>
          <w:lang w:val="ro-RO"/>
        </w:rPr>
      </w:pPr>
    </w:p>
    <w:p w14:paraId="710CC71E" w14:textId="09FE8099" w:rsidR="008058EB" w:rsidRPr="00834B27" w:rsidRDefault="008058EB" w:rsidP="00AA15F6">
      <w:pPr>
        <w:pStyle w:val="font-claude-response-body"/>
        <w:spacing w:before="0" w:beforeAutospacing="0" w:after="0" w:afterAutospacing="0" w:line="276" w:lineRule="auto"/>
        <w:jc w:val="both"/>
        <w:rPr>
          <w:rFonts w:ascii="Calibri" w:hAnsi="Calibri" w:cs="Calibri"/>
          <w:b/>
          <w:bCs/>
          <w:sz w:val="22"/>
          <w:szCs w:val="22"/>
          <w:lang w:val="ro-RO"/>
        </w:rPr>
      </w:pPr>
      <w:r w:rsidRPr="00834B27">
        <w:rPr>
          <w:rFonts w:ascii="Calibri" w:hAnsi="Calibri" w:cs="Calibri"/>
          <w:b/>
          <w:bCs/>
          <w:sz w:val="22"/>
          <w:szCs w:val="22"/>
          <w:lang w:val="ro-RO"/>
        </w:rPr>
        <w:t xml:space="preserve">3. </w:t>
      </w:r>
      <w:r w:rsidR="0061346D" w:rsidRPr="00834B27">
        <w:rPr>
          <w:rFonts w:ascii="Calibri" w:hAnsi="Calibri" w:cs="Calibri"/>
          <w:b/>
          <w:bCs/>
          <w:sz w:val="22"/>
          <w:szCs w:val="22"/>
          <w:lang w:val="ro-RO"/>
        </w:rPr>
        <w:t>D</w:t>
      </w:r>
      <w:r w:rsidRPr="00834B27">
        <w:rPr>
          <w:rFonts w:ascii="Calibri" w:hAnsi="Calibri" w:cs="Calibri"/>
          <w:b/>
          <w:bCs/>
          <w:sz w:val="22"/>
          <w:szCs w:val="22"/>
          <w:lang w:val="ro-RO"/>
        </w:rPr>
        <w:t>atele confirmă că arbitrajul funcționează la scară largă</w:t>
      </w:r>
    </w:p>
    <w:p w14:paraId="123FC0F6" w14:textId="39694EC7" w:rsidR="008058EB" w:rsidRPr="00834B27" w:rsidRDefault="008058EB" w:rsidP="00AA15F6">
      <w:pPr>
        <w:pStyle w:val="font-claude-response-body"/>
        <w:numPr>
          <w:ilvl w:val="0"/>
          <w:numId w:val="59"/>
        </w:numPr>
        <w:spacing w:before="0" w:beforeAutospacing="0" w:after="0" w:afterAutospacing="0" w:line="276" w:lineRule="auto"/>
        <w:ind w:left="540" w:hanging="450"/>
        <w:jc w:val="both"/>
        <w:rPr>
          <w:rFonts w:ascii="Calibri" w:hAnsi="Calibri" w:cs="Calibri"/>
          <w:sz w:val="22"/>
          <w:szCs w:val="22"/>
          <w:lang w:val="ro-RO"/>
        </w:rPr>
      </w:pPr>
      <w:r w:rsidRPr="00834B27">
        <w:rPr>
          <w:rFonts w:ascii="Calibri" w:hAnsi="Calibri" w:cs="Calibri"/>
          <w:sz w:val="22"/>
          <w:szCs w:val="22"/>
          <w:lang w:val="ro-RO"/>
        </w:rPr>
        <w:t>72% dintre persoanele fizice autorizate declară venituri medii nete de 380 lei</w:t>
      </w:r>
      <w:r w:rsidR="00761761" w:rsidRPr="00834B27">
        <w:rPr>
          <w:rFonts w:ascii="Calibri" w:hAnsi="Calibri" w:cs="Calibri"/>
          <w:sz w:val="22"/>
          <w:szCs w:val="22"/>
          <w:lang w:val="ro-RO"/>
        </w:rPr>
        <w:t>/</w:t>
      </w:r>
      <w:r w:rsidRPr="00834B27">
        <w:rPr>
          <w:rFonts w:ascii="Calibri" w:hAnsi="Calibri" w:cs="Calibri"/>
          <w:sz w:val="22"/>
          <w:szCs w:val="22"/>
          <w:lang w:val="ro-RO"/>
        </w:rPr>
        <w:t xml:space="preserve">lună — sub nivelul pragului de sărăcie, pentru activități prestate de profesioniști (consultanți, IT-iști, arhitecți, contabili). </w:t>
      </w:r>
    </w:p>
    <w:p w14:paraId="32DA68F9" w14:textId="152BF439" w:rsidR="008058EB" w:rsidRPr="00834B27" w:rsidRDefault="008058EB" w:rsidP="00AA15F6">
      <w:pPr>
        <w:pStyle w:val="font-claude-response-body"/>
        <w:numPr>
          <w:ilvl w:val="0"/>
          <w:numId w:val="59"/>
        </w:numPr>
        <w:spacing w:before="0" w:beforeAutospacing="0" w:after="0" w:afterAutospacing="0" w:line="276" w:lineRule="auto"/>
        <w:ind w:left="540" w:hanging="450"/>
        <w:jc w:val="both"/>
        <w:rPr>
          <w:rFonts w:ascii="Calibri" w:hAnsi="Calibri" w:cs="Calibri"/>
          <w:sz w:val="22"/>
          <w:szCs w:val="22"/>
          <w:lang w:val="ro-RO"/>
        </w:rPr>
      </w:pPr>
      <w:r w:rsidRPr="00834B27">
        <w:rPr>
          <w:rFonts w:ascii="Calibri" w:hAnsi="Calibri" w:cs="Calibri"/>
          <w:sz w:val="22"/>
          <w:szCs w:val="22"/>
          <w:lang w:val="ro-RO"/>
        </w:rPr>
        <w:t>82% din</w:t>
      </w:r>
      <w:r w:rsidR="00761761" w:rsidRPr="00834B27">
        <w:rPr>
          <w:rFonts w:ascii="Calibri" w:hAnsi="Calibri" w:cs="Calibri"/>
          <w:sz w:val="22"/>
          <w:szCs w:val="22"/>
          <w:lang w:val="ro-RO"/>
        </w:rPr>
        <w:t>tre</w:t>
      </w:r>
      <w:r w:rsidRPr="00834B27">
        <w:rPr>
          <w:rFonts w:ascii="Calibri" w:hAnsi="Calibri" w:cs="Calibri"/>
          <w:sz w:val="22"/>
          <w:szCs w:val="22"/>
          <w:lang w:val="ro-RO"/>
        </w:rPr>
        <w:t xml:space="preserve"> proprietarii care declară venituri din închiriere raportează venituri medii de 160 euro</w:t>
      </w:r>
      <w:r w:rsidR="00761761" w:rsidRPr="00834B27">
        <w:rPr>
          <w:rFonts w:ascii="Calibri" w:hAnsi="Calibri" w:cs="Calibri"/>
          <w:sz w:val="22"/>
          <w:szCs w:val="22"/>
          <w:lang w:val="ro-RO"/>
        </w:rPr>
        <w:t>/lună</w:t>
      </w:r>
      <w:r w:rsidRPr="00834B27">
        <w:rPr>
          <w:rFonts w:ascii="Calibri" w:hAnsi="Calibri" w:cs="Calibri"/>
          <w:sz w:val="22"/>
          <w:szCs w:val="22"/>
          <w:lang w:val="ro-RO"/>
        </w:rPr>
        <w:t xml:space="preserve"> — într-o piață în care chiria medie a unui apartament cu două camere în București depășește 500 euro. </w:t>
      </w:r>
    </w:p>
    <w:p w14:paraId="7FF9D67E" w14:textId="51BD5E8D" w:rsidR="008058EB" w:rsidRPr="00834B27" w:rsidRDefault="008058EB" w:rsidP="00AA15F6">
      <w:pPr>
        <w:pStyle w:val="font-claude-response-body"/>
        <w:numPr>
          <w:ilvl w:val="0"/>
          <w:numId w:val="59"/>
        </w:numPr>
        <w:spacing w:before="0" w:beforeAutospacing="0" w:after="0" w:afterAutospacing="0" w:line="276" w:lineRule="auto"/>
        <w:ind w:left="540" w:hanging="450"/>
        <w:jc w:val="both"/>
        <w:rPr>
          <w:rFonts w:ascii="Calibri" w:hAnsi="Calibri" w:cs="Calibri"/>
          <w:sz w:val="22"/>
          <w:szCs w:val="22"/>
          <w:lang w:val="ro-RO"/>
        </w:rPr>
      </w:pPr>
      <w:r w:rsidRPr="00834B27">
        <w:rPr>
          <w:rFonts w:ascii="Calibri" w:hAnsi="Calibri" w:cs="Calibri"/>
          <w:sz w:val="22"/>
          <w:szCs w:val="22"/>
          <w:lang w:val="ro-RO"/>
        </w:rPr>
        <w:t xml:space="preserve">40,7% din cele 702.691 de microîntreprinderi cu cifra de afaceri sub 100.000 euro declară pierderi egale cu cifra de afaceri — adică un nivel al cheltuielilor dublu față de venituri, ceea ce, pentru o companie funcțională, este matematic imposibil fără o componentă semnificativă de cheltuieli personale ale asociatului. </w:t>
      </w:r>
      <w:r w:rsidR="00506BCA" w:rsidRPr="00834B27">
        <w:rPr>
          <w:rFonts w:ascii="Calibri" w:hAnsi="Calibri" w:cs="Calibri"/>
          <w:sz w:val="22"/>
          <w:szCs w:val="22"/>
          <w:lang w:val="ro-RO"/>
        </w:rPr>
        <w:t xml:space="preserve"> DE INTRODUS NOTA DE SUBSOL – DATELE SUNT LA 202</w:t>
      </w:r>
      <w:r w:rsidR="004B7FBA" w:rsidRPr="00834B27">
        <w:rPr>
          <w:rFonts w:ascii="Calibri" w:hAnsi="Calibri" w:cs="Calibri"/>
          <w:sz w:val="22"/>
          <w:szCs w:val="22"/>
          <w:lang w:val="ro-RO"/>
        </w:rPr>
        <w:t>4</w:t>
      </w:r>
    </w:p>
    <w:p w14:paraId="2EA6AF43" w14:textId="26A25F65" w:rsidR="008058EB" w:rsidRPr="00834B27" w:rsidRDefault="008058EB" w:rsidP="00AA15F6">
      <w:pPr>
        <w:pStyle w:val="font-claude-response-body"/>
        <w:spacing w:before="0" w:beforeAutospacing="0" w:after="0" w:afterAutospacing="0" w:line="276" w:lineRule="auto"/>
        <w:jc w:val="both"/>
        <w:rPr>
          <w:rFonts w:ascii="Calibri" w:hAnsi="Calibri" w:cs="Calibri"/>
          <w:sz w:val="22"/>
          <w:szCs w:val="22"/>
          <w:lang w:val="ro-RO"/>
        </w:rPr>
      </w:pPr>
      <w:r w:rsidRPr="00834B27">
        <w:rPr>
          <w:rFonts w:ascii="Calibri" w:hAnsi="Calibri" w:cs="Calibri"/>
          <w:sz w:val="22"/>
          <w:szCs w:val="22"/>
          <w:lang w:val="ro-RO"/>
        </w:rPr>
        <w:t>Aceste cifre descriu un profil de contribuabili care răspund</w:t>
      </w:r>
      <w:r w:rsidR="00034349" w:rsidRPr="00834B27">
        <w:rPr>
          <w:rFonts w:ascii="Calibri" w:hAnsi="Calibri" w:cs="Calibri"/>
          <w:sz w:val="22"/>
          <w:szCs w:val="22"/>
          <w:lang w:val="ro-RO"/>
        </w:rPr>
        <w:t>e</w:t>
      </w:r>
      <w:r w:rsidRPr="00834B27">
        <w:rPr>
          <w:rFonts w:ascii="Calibri" w:hAnsi="Calibri" w:cs="Calibri"/>
          <w:sz w:val="22"/>
          <w:szCs w:val="22"/>
          <w:lang w:val="ro-RO"/>
        </w:rPr>
        <w:t xml:space="preserve"> la stimulentele create de un sistem fiscal fragmentat</w:t>
      </w:r>
      <w:r w:rsidR="00761761" w:rsidRPr="00834B27">
        <w:rPr>
          <w:rFonts w:ascii="Calibri" w:hAnsi="Calibri" w:cs="Calibri"/>
          <w:sz w:val="22"/>
          <w:szCs w:val="22"/>
          <w:lang w:val="ro-RO"/>
        </w:rPr>
        <w:t xml:space="preserve"> și ineficient</w:t>
      </w:r>
      <w:r w:rsidRPr="00834B27">
        <w:rPr>
          <w:rFonts w:ascii="Calibri" w:hAnsi="Calibri" w:cs="Calibri"/>
          <w:sz w:val="22"/>
          <w:szCs w:val="22"/>
          <w:lang w:val="ro-RO"/>
        </w:rPr>
        <w:t>.</w:t>
      </w:r>
    </w:p>
    <w:p w14:paraId="793B74B2" w14:textId="77777777" w:rsidR="00744D0F" w:rsidRPr="00834B27" w:rsidRDefault="00744D0F" w:rsidP="00AA15F6">
      <w:pPr>
        <w:pStyle w:val="font-claude-response-body"/>
        <w:spacing w:before="0" w:beforeAutospacing="0" w:after="0" w:afterAutospacing="0" w:line="276" w:lineRule="auto"/>
        <w:jc w:val="both"/>
        <w:rPr>
          <w:rFonts w:ascii="Calibri" w:hAnsi="Calibri" w:cs="Calibri"/>
          <w:sz w:val="22"/>
          <w:szCs w:val="22"/>
          <w:lang w:val="ro-RO"/>
        </w:rPr>
      </w:pPr>
    </w:p>
    <w:p w14:paraId="7AA23FB4" w14:textId="03981958" w:rsidR="008058EB" w:rsidRPr="00834B27" w:rsidRDefault="008058EB" w:rsidP="00AA15F6">
      <w:pPr>
        <w:pStyle w:val="font-claude-response-body"/>
        <w:spacing w:before="0" w:beforeAutospacing="0" w:after="0" w:afterAutospacing="0" w:line="276" w:lineRule="auto"/>
        <w:jc w:val="both"/>
        <w:rPr>
          <w:rFonts w:ascii="Calibri" w:hAnsi="Calibri" w:cs="Calibri"/>
          <w:sz w:val="22"/>
          <w:szCs w:val="22"/>
          <w:lang w:val="ro-RO"/>
        </w:rPr>
      </w:pPr>
      <w:r w:rsidRPr="00834B27">
        <w:rPr>
          <w:rStyle w:val="Robust"/>
          <w:rFonts w:ascii="Calibri" w:eastAsiaTheme="majorEastAsia" w:hAnsi="Calibri" w:cs="Calibri"/>
          <w:sz w:val="22"/>
          <w:szCs w:val="22"/>
          <w:lang w:val="ro-RO"/>
        </w:rPr>
        <w:t xml:space="preserve">4. </w:t>
      </w:r>
      <w:r w:rsidR="0061346D" w:rsidRPr="00834B27">
        <w:rPr>
          <w:rStyle w:val="Robust"/>
          <w:rFonts w:ascii="Calibri" w:eastAsiaTheme="majorEastAsia" w:hAnsi="Calibri" w:cs="Calibri"/>
          <w:sz w:val="22"/>
          <w:szCs w:val="22"/>
          <w:lang w:val="ro-RO"/>
        </w:rPr>
        <w:t>C</w:t>
      </w:r>
      <w:r w:rsidRPr="00834B27">
        <w:rPr>
          <w:rStyle w:val="Robust"/>
          <w:rFonts w:ascii="Calibri" w:eastAsiaTheme="majorEastAsia" w:hAnsi="Calibri" w:cs="Calibri"/>
          <w:sz w:val="22"/>
          <w:szCs w:val="22"/>
          <w:lang w:val="ro-RO"/>
        </w:rPr>
        <w:t>onsecința agregată este un deficit cronic de venituri bugetare:</w:t>
      </w:r>
      <w:r w:rsidRPr="00834B27">
        <w:rPr>
          <w:rFonts w:ascii="Calibri" w:hAnsi="Calibri" w:cs="Calibri"/>
          <w:sz w:val="22"/>
          <w:szCs w:val="22"/>
          <w:lang w:val="ro-RO"/>
        </w:rPr>
        <w:t xml:space="preserve"> </w:t>
      </w:r>
    </w:p>
    <w:p w14:paraId="3D72E56F" w14:textId="77777777" w:rsidR="008058EB" w:rsidRPr="00834B27" w:rsidRDefault="008058EB" w:rsidP="00AA15F6">
      <w:pPr>
        <w:pStyle w:val="font-claude-response-body"/>
        <w:numPr>
          <w:ilvl w:val="0"/>
          <w:numId w:val="60"/>
        </w:numPr>
        <w:spacing w:before="0" w:beforeAutospacing="0" w:after="0" w:afterAutospacing="0" w:line="276" w:lineRule="auto"/>
        <w:ind w:left="540" w:hanging="450"/>
        <w:jc w:val="both"/>
        <w:rPr>
          <w:rFonts w:ascii="Calibri" w:hAnsi="Calibri" w:cs="Calibri"/>
          <w:sz w:val="22"/>
          <w:szCs w:val="22"/>
          <w:lang w:val="ro-RO"/>
        </w:rPr>
      </w:pPr>
      <w:r w:rsidRPr="00834B27">
        <w:rPr>
          <w:rFonts w:ascii="Calibri" w:hAnsi="Calibri" w:cs="Calibri"/>
          <w:sz w:val="22"/>
          <w:szCs w:val="22"/>
          <w:lang w:val="ro-RO"/>
        </w:rPr>
        <w:t>România colectează venituri fiscale totale de aproximativ 27,3% din PIB — penultimul loc în Uniunea Europeană, cu aproape 14 puncte procentuale sub media UE de 41,2%.</w:t>
      </w:r>
    </w:p>
    <w:p w14:paraId="7BD8B5B4" w14:textId="77777777" w:rsidR="008058EB" w:rsidRPr="00834B27" w:rsidRDefault="008058EB" w:rsidP="00AA15F6">
      <w:pPr>
        <w:pStyle w:val="font-claude-response-body"/>
        <w:numPr>
          <w:ilvl w:val="0"/>
          <w:numId w:val="60"/>
        </w:numPr>
        <w:spacing w:before="0" w:beforeAutospacing="0" w:after="0" w:afterAutospacing="0" w:line="276" w:lineRule="auto"/>
        <w:ind w:left="540" w:hanging="450"/>
        <w:jc w:val="both"/>
        <w:rPr>
          <w:rFonts w:ascii="Calibri" w:hAnsi="Calibri" w:cs="Calibri"/>
          <w:sz w:val="22"/>
          <w:szCs w:val="22"/>
          <w:lang w:val="ro-RO"/>
        </w:rPr>
      </w:pPr>
      <w:r w:rsidRPr="00834B27">
        <w:rPr>
          <w:rFonts w:ascii="Calibri" w:hAnsi="Calibri" w:cs="Calibri"/>
          <w:sz w:val="22"/>
          <w:szCs w:val="22"/>
          <w:lang w:val="ro-RO"/>
        </w:rPr>
        <w:t>România are, pentru salarii, una dintre cele mai ridicate sarcini fiscale din UE (contribuții sociale de 29,9% din brut, cele mai mari suportate de angajați în UE, conform OECD Taxing Wages 2025).</w:t>
      </w:r>
    </w:p>
    <w:p w14:paraId="43E3971E" w14:textId="77777777" w:rsidR="0083273F" w:rsidRPr="00834B27" w:rsidRDefault="0083273F" w:rsidP="00AA15F6">
      <w:pPr>
        <w:pStyle w:val="font-claude-response-body"/>
        <w:spacing w:before="0" w:beforeAutospacing="0" w:after="0" w:afterAutospacing="0" w:line="276" w:lineRule="auto"/>
        <w:jc w:val="both"/>
        <w:rPr>
          <w:rFonts w:ascii="Calibri" w:hAnsi="Calibri" w:cs="Calibri"/>
          <w:sz w:val="22"/>
          <w:szCs w:val="22"/>
          <w:lang w:val="ro-RO"/>
        </w:rPr>
      </w:pPr>
    </w:p>
    <w:p w14:paraId="43BFA730" w14:textId="3CA5E8DF" w:rsidR="008058EB" w:rsidRPr="00834B27" w:rsidRDefault="008058EB" w:rsidP="00AA15F6">
      <w:pPr>
        <w:pStyle w:val="font-claude-response-body"/>
        <w:spacing w:before="0" w:beforeAutospacing="0" w:after="0" w:afterAutospacing="0" w:line="276" w:lineRule="auto"/>
        <w:jc w:val="both"/>
        <w:rPr>
          <w:rFonts w:ascii="Calibri" w:hAnsi="Calibri" w:cs="Calibri"/>
          <w:sz w:val="22"/>
          <w:szCs w:val="22"/>
          <w:lang w:val="ro-RO"/>
        </w:rPr>
      </w:pPr>
      <w:r w:rsidRPr="00834B27">
        <w:rPr>
          <w:rFonts w:ascii="Calibri" w:hAnsi="Calibri" w:cs="Calibri"/>
          <w:sz w:val="22"/>
          <w:szCs w:val="22"/>
          <w:lang w:val="ro-RO"/>
        </w:rPr>
        <w:t xml:space="preserve">Deficitul de colectare nu este cauzat, deci, de cote de impozitare scăzute — este consecința unei baze de impunere erodate sistematic: de fragmentarea regimurilor, de arbitrajul între forme juridice, de scutirile și excepțiile acordate fără evaluare de impact și retrase fără perioadă de tranziție, și de o instabilitate legislativă care face conformarea voluntară — pilonul oricărui sistem fiscal modern — imposibilă. </w:t>
      </w:r>
    </w:p>
    <w:p w14:paraId="10626FFB" w14:textId="77777777" w:rsidR="0083273F" w:rsidRPr="00834B27" w:rsidRDefault="0083273F" w:rsidP="00AA15F6">
      <w:pPr>
        <w:pStyle w:val="font-claude-response-body"/>
        <w:spacing w:before="0" w:beforeAutospacing="0" w:after="0" w:afterAutospacing="0" w:line="276" w:lineRule="auto"/>
        <w:jc w:val="both"/>
        <w:rPr>
          <w:rFonts w:ascii="Calibri" w:hAnsi="Calibri" w:cs="Calibri"/>
          <w:sz w:val="22"/>
          <w:szCs w:val="22"/>
          <w:lang w:val="ro-RO"/>
        </w:rPr>
      </w:pPr>
    </w:p>
    <w:p w14:paraId="3E2FAA8F" w14:textId="7D10FB70" w:rsidR="008058EB" w:rsidRPr="00834B27" w:rsidRDefault="008058EB" w:rsidP="00AA15F6">
      <w:pPr>
        <w:pStyle w:val="font-claude-response-body"/>
        <w:spacing w:before="0" w:beforeAutospacing="0" w:after="0" w:afterAutospacing="0" w:line="276" w:lineRule="auto"/>
        <w:jc w:val="both"/>
        <w:rPr>
          <w:rFonts w:ascii="Calibri" w:hAnsi="Calibri" w:cs="Calibri"/>
          <w:sz w:val="22"/>
          <w:szCs w:val="22"/>
          <w:lang w:val="ro-RO"/>
        </w:rPr>
      </w:pPr>
      <w:r w:rsidRPr="00834B27">
        <w:rPr>
          <w:rFonts w:ascii="Calibri" w:hAnsi="Calibri" w:cs="Calibri"/>
          <w:sz w:val="22"/>
          <w:szCs w:val="22"/>
          <w:lang w:val="ro-RO"/>
        </w:rPr>
        <w:t xml:space="preserve">5. </w:t>
      </w:r>
      <w:r w:rsidR="0061346D" w:rsidRPr="00834B27">
        <w:rPr>
          <w:rStyle w:val="Robust"/>
          <w:rFonts w:ascii="Calibri" w:eastAsiaTheme="majorEastAsia" w:hAnsi="Calibri" w:cs="Calibri"/>
          <w:sz w:val="22"/>
          <w:szCs w:val="22"/>
          <w:lang w:val="ro-RO"/>
        </w:rPr>
        <w:t>D</w:t>
      </w:r>
      <w:r w:rsidRPr="00834B27">
        <w:rPr>
          <w:rStyle w:val="Robust"/>
          <w:rFonts w:ascii="Calibri" w:eastAsiaTheme="majorEastAsia" w:hAnsi="Calibri" w:cs="Calibri"/>
          <w:sz w:val="22"/>
          <w:szCs w:val="22"/>
          <w:lang w:val="ro-RO"/>
        </w:rPr>
        <w:t>eficitul bugetar reflectă acest cumul de factori</w:t>
      </w:r>
      <w:r w:rsidR="00761761" w:rsidRPr="00834B27">
        <w:rPr>
          <w:rStyle w:val="Robust"/>
          <w:rFonts w:ascii="Calibri" w:eastAsiaTheme="majorEastAsia" w:hAnsi="Calibri" w:cs="Calibri"/>
          <w:sz w:val="22"/>
          <w:szCs w:val="22"/>
          <w:lang w:val="ro-RO"/>
        </w:rPr>
        <w:t>:</w:t>
      </w:r>
    </w:p>
    <w:p w14:paraId="45AEFA81" w14:textId="3384B452" w:rsidR="008058EB" w:rsidRPr="00834B27" w:rsidRDefault="008058EB" w:rsidP="00AA15F6">
      <w:pPr>
        <w:pStyle w:val="font-claude-response-body"/>
        <w:numPr>
          <w:ilvl w:val="0"/>
          <w:numId w:val="61"/>
        </w:numPr>
        <w:spacing w:before="0" w:beforeAutospacing="0" w:after="0" w:afterAutospacing="0" w:line="276" w:lineRule="auto"/>
        <w:ind w:left="540" w:hanging="450"/>
        <w:jc w:val="both"/>
        <w:rPr>
          <w:rFonts w:ascii="Calibri" w:hAnsi="Calibri" w:cs="Calibri"/>
          <w:sz w:val="22"/>
          <w:szCs w:val="22"/>
          <w:lang w:val="ro-RO"/>
        </w:rPr>
      </w:pPr>
      <w:r w:rsidRPr="00834B27">
        <w:rPr>
          <w:rFonts w:ascii="Calibri" w:hAnsi="Calibri" w:cs="Calibri"/>
          <w:sz w:val="22"/>
          <w:szCs w:val="22"/>
          <w:lang w:val="ro-RO"/>
        </w:rPr>
        <w:lastRenderedPageBreak/>
        <w:t>la 7</w:t>
      </w:r>
      <w:r w:rsidR="00957582" w:rsidRPr="00834B27">
        <w:rPr>
          <w:rFonts w:ascii="Calibri" w:hAnsi="Calibri" w:cs="Calibri"/>
          <w:sz w:val="22"/>
          <w:szCs w:val="22"/>
          <w:lang w:val="ro-RO"/>
        </w:rPr>
        <w:t>,</w:t>
      </w:r>
      <w:r w:rsidR="00761761" w:rsidRPr="00834B27">
        <w:rPr>
          <w:rFonts w:ascii="Calibri" w:hAnsi="Calibri" w:cs="Calibri"/>
          <w:sz w:val="22"/>
          <w:szCs w:val="22"/>
          <w:lang w:val="ro-RO"/>
        </w:rPr>
        <w:t>65</w:t>
      </w:r>
      <w:r w:rsidRPr="00834B27">
        <w:rPr>
          <w:rFonts w:ascii="Calibri" w:hAnsi="Calibri" w:cs="Calibri"/>
          <w:sz w:val="22"/>
          <w:szCs w:val="22"/>
          <w:lang w:val="ro-RO"/>
        </w:rPr>
        <w:t>% din PIB în 202</w:t>
      </w:r>
      <w:r w:rsidR="00761761" w:rsidRPr="00834B27">
        <w:rPr>
          <w:rFonts w:ascii="Calibri" w:hAnsi="Calibri" w:cs="Calibri"/>
          <w:sz w:val="22"/>
          <w:szCs w:val="22"/>
          <w:lang w:val="ro-RO"/>
        </w:rPr>
        <w:t>5</w:t>
      </w:r>
      <w:r w:rsidRPr="00834B27">
        <w:rPr>
          <w:rFonts w:ascii="Calibri" w:hAnsi="Calibri" w:cs="Calibri"/>
          <w:sz w:val="22"/>
          <w:szCs w:val="22"/>
          <w:lang w:val="ro-RO"/>
        </w:rPr>
        <w:t xml:space="preserve"> (</w:t>
      </w:r>
      <w:r w:rsidR="00761761" w:rsidRPr="00834B27">
        <w:rPr>
          <w:rFonts w:ascii="Calibri" w:hAnsi="Calibri" w:cs="Calibri"/>
          <w:sz w:val="22"/>
          <w:szCs w:val="22"/>
          <w:lang w:val="ro-RO"/>
        </w:rPr>
        <w:t>metodologie</w:t>
      </w:r>
      <w:r w:rsidRPr="00834B27">
        <w:rPr>
          <w:rFonts w:ascii="Calibri" w:hAnsi="Calibri" w:cs="Calibri"/>
          <w:sz w:val="22"/>
          <w:szCs w:val="22"/>
          <w:lang w:val="ro-RO"/>
        </w:rPr>
        <w:t xml:space="preserve"> cash), deficitul </w:t>
      </w:r>
      <w:r w:rsidR="00761761" w:rsidRPr="00834B27">
        <w:rPr>
          <w:rFonts w:ascii="Calibri" w:hAnsi="Calibri" w:cs="Calibri"/>
          <w:sz w:val="22"/>
          <w:szCs w:val="22"/>
          <w:lang w:val="ro-RO"/>
        </w:rPr>
        <w:t>bugetar</w:t>
      </w:r>
      <w:r w:rsidRPr="00834B27">
        <w:rPr>
          <w:rFonts w:ascii="Calibri" w:hAnsi="Calibri" w:cs="Calibri"/>
          <w:sz w:val="22"/>
          <w:szCs w:val="22"/>
          <w:lang w:val="ro-RO"/>
        </w:rPr>
        <w:t xml:space="preserve"> al României este </w:t>
      </w:r>
      <w:r w:rsidR="00761761" w:rsidRPr="00834B27">
        <w:rPr>
          <w:rFonts w:ascii="Calibri" w:hAnsi="Calibri" w:cs="Calibri"/>
          <w:sz w:val="22"/>
          <w:szCs w:val="22"/>
          <w:lang w:val="ro-RO"/>
        </w:rPr>
        <w:t xml:space="preserve">în continuare </w:t>
      </w:r>
      <w:r w:rsidRPr="00834B27">
        <w:rPr>
          <w:rFonts w:ascii="Calibri" w:hAnsi="Calibri" w:cs="Calibri"/>
          <w:sz w:val="22"/>
          <w:szCs w:val="22"/>
          <w:lang w:val="ro-RO"/>
        </w:rPr>
        <w:t>cel mai mare din Uniunea Europeană</w:t>
      </w:r>
      <w:r w:rsidR="00761761" w:rsidRPr="00834B27">
        <w:rPr>
          <w:rFonts w:ascii="Calibri" w:hAnsi="Calibri" w:cs="Calibri"/>
          <w:sz w:val="22"/>
          <w:szCs w:val="22"/>
          <w:lang w:val="ro-RO"/>
        </w:rPr>
        <w:t xml:space="preserve">, față de o medie europeană de </w:t>
      </w:r>
      <w:r w:rsidR="00151E3D" w:rsidRPr="00834B27">
        <w:rPr>
          <w:rFonts w:ascii="Calibri" w:hAnsi="Calibri" w:cs="Calibri"/>
          <w:sz w:val="22"/>
          <w:szCs w:val="22"/>
          <w:lang w:val="ro-RO"/>
        </w:rPr>
        <w:t>aprox</w:t>
      </w:r>
      <w:r w:rsidR="00957582" w:rsidRPr="00834B27">
        <w:rPr>
          <w:rFonts w:ascii="Calibri" w:hAnsi="Calibri" w:cs="Calibri"/>
          <w:sz w:val="22"/>
          <w:szCs w:val="22"/>
          <w:lang w:val="ro-RO"/>
        </w:rPr>
        <w:t>imativ</w:t>
      </w:r>
      <w:r w:rsidR="00151E3D" w:rsidRPr="00834B27">
        <w:rPr>
          <w:rFonts w:ascii="Calibri" w:hAnsi="Calibri" w:cs="Calibri"/>
          <w:sz w:val="22"/>
          <w:szCs w:val="22"/>
          <w:lang w:val="ro-RO"/>
        </w:rPr>
        <w:t xml:space="preserve"> </w:t>
      </w:r>
      <w:r w:rsidR="00761761" w:rsidRPr="00834B27">
        <w:rPr>
          <w:rFonts w:ascii="Calibri" w:hAnsi="Calibri" w:cs="Calibri"/>
          <w:sz w:val="22"/>
          <w:szCs w:val="22"/>
          <w:lang w:val="ro-RO"/>
        </w:rPr>
        <w:t>3%</w:t>
      </w:r>
      <w:r w:rsidR="00957582" w:rsidRPr="00834B27">
        <w:rPr>
          <w:rFonts w:ascii="Calibri" w:hAnsi="Calibri" w:cs="Calibri"/>
          <w:sz w:val="22"/>
          <w:szCs w:val="22"/>
          <w:lang w:val="ro-RO"/>
        </w:rPr>
        <w:t>,</w:t>
      </w:r>
    </w:p>
    <w:p w14:paraId="64CCF66F" w14:textId="651B2DD7" w:rsidR="008058EB" w:rsidRPr="00834B27" w:rsidRDefault="008058EB" w:rsidP="00AA15F6">
      <w:pPr>
        <w:pStyle w:val="font-claude-response-body"/>
        <w:numPr>
          <w:ilvl w:val="0"/>
          <w:numId w:val="61"/>
        </w:numPr>
        <w:spacing w:before="0" w:beforeAutospacing="0" w:after="0" w:afterAutospacing="0" w:line="276" w:lineRule="auto"/>
        <w:ind w:left="540" w:hanging="450"/>
        <w:jc w:val="both"/>
        <w:rPr>
          <w:rFonts w:ascii="Calibri" w:hAnsi="Calibri" w:cs="Calibri"/>
          <w:sz w:val="22"/>
          <w:szCs w:val="22"/>
          <w:lang w:val="ro-RO"/>
        </w:rPr>
      </w:pPr>
      <w:r w:rsidRPr="00834B27">
        <w:rPr>
          <w:rFonts w:ascii="Calibri" w:hAnsi="Calibri" w:cs="Calibri"/>
          <w:sz w:val="22"/>
          <w:szCs w:val="22"/>
          <w:lang w:val="ro-RO"/>
        </w:rPr>
        <w:t>România se află în procedură de deficit excesiv, cu angajamente de consolidare fiscală față de Comisia Europeană</w:t>
      </w:r>
      <w:r w:rsidR="00957582" w:rsidRPr="00834B27">
        <w:rPr>
          <w:rFonts w:ascii="Calibri" w:hAnsi="Calibri" w:cs="Calibri"/>
          <w:sz w:val="22"/>
          <w:szCs w:val="22"/>
          <w:lang w:val="ro-RO"/>
        </w:rPr>
        <w:t>.</w:t>
      </w:r>
    </w:p>
    <w:p w14:paraId="1EE5C81E" w14:textId="61BA93C0" w:rsidR="008058EB" w:rsidRPr="00834B27" w:rsidRDefault="008058EB" w:rsidP="00AA15F6">
      <w:pPr>
        <w:pStyle w:val="font-claude-response-body"/>
        <w:spacing w:line="276" w:lineRule="auto"/>
        <w:jc w:val="both"/>
        <w:rPr>
          <w:rFonts w:ascii="Calibri" w:hAnsi="Calibri" w:cs="Calibri"/>
          <w:sz w:val="22"/>
          <w:szCs w:val="22"/>
          <w:lang w:val="ro-RO"/>
        </w:rPr>
      </w:pPr>
      <w:r w:rsidRPr="00834B27">
        <w:rPr>
          <w:rFonts w:ascii="Calibri" w:hAnsi="Calibri" w:cs="Calibri"/>
          <w:sz w:val="22"/>
          <w:szCs w:val="22"/>
          <w:lang w:val="ro-RO"/>
        </w:rPr>
        <w:t xml:space="preserve">Angajamentele asumate de România față de CE și prin PNRR presupun </w:t>
      </w:r>
      <w:r w:rsidRPr="00834B27">
        <w:rPr>
          <w:rFonts w:ascii="Calibri" w:hAnsi="Calibri" w:cs="Calibri"/>
          <w:b/>
          <w:bCs/>
          <w:sz w:val="22"/>
          <w:szCs w:val="22"/>
          <w:lang w:val="ro-RO"/>
        </w:rPr>
        <w:t>exact tipul de reforme structurale pe care prezentul studiu le propune: lărgirea bazei de impunere, eliminarea scutirilor nejustificate, simplificarea și stabilizarea cadrului fiscal</w:t>
      </w:r>
      <w:r w:rsidR="00151E3D" w:rsidRPr="00834B27">
        <w:rPr>
          <w:rFonts w:ascii="Calibri" w:hAnsi="Calibri" w:cs="Calibri"/>
          <w:b/>
          <w:bCs/>
          <w:sz w:val="22"/>
          <w:szCs w:val="22"/>
          <w:lang w:val="ro-RO"/>
        </w:rPr>
        <w:t>, creșterea gradului și scăderea costurilor de conformare.</w:t>
      </w:r>
      <w:r w:rsidRPr="00834B27">
        <w:rPr>
          <w:rFonts w:ascii="Calibri" w:hAnsi="Calibri" w:cs="Calibri"/>
          <w:sz w:val="22"/>
          <w:szCs w:val="22"/>
          <w:lang w:val="ro-RO"/>
        </w:rPr>
        <w:t xml:space="preserve"> </w:t>
      </w:r>
    </w:p>
    <w:p w14:paraId="6D7D36E7" w14:textId="2793EAFA" w:rsidR="00D1647E" w:rsidRPr="00834B27" w:rsidRDefault="008058EB" w:rsidP="00AA15F6">
      <w:pPr>
        <w:pStyle w:val="font-claude-response-body"/>
        <w:spacing w:line="276" w:lineRule="auto"/>
        <w:jc w:val="both"/>
        <w:rPr>
          <w:rFonts w:ascii="Calibri" w:hAnsi="Calibri" w:cs="Calibri"/>
          <w:b/>
          <w:bCs/>
          <w:sz w:val="22"/>
          <w:szCs w:val="22"/>
          <w:lang w:val="ro-RO"/>
        </w:rPr>
      </w:pPr>
      <w:r w:rsidRPr="00834B27">
        <w:rPr>
          <w:rFonts w:ascii="Calibri" w:hAnsi="Calibri" w:cs="Calibri"/>
          <w:b/>
          <w:bCs/>
          <w:sz w:val="22"/>
          <w:szCs w:val="22"/>
          <w:lang w:val="ro-RO"/>
        </w:rPr>
        <w:t>Fiecare dintre aceste 5 constatări</w:t>
      </w:r>
      <w:r w:rsidR="00D1647E" w:rsidRPr="00834B27">
        <w:rPr>
          <w:rFonts w:ascii="Calibri" w:hAnsi="Calibri" w:cs="Calibri"/>
          <w:b/>
          <w:bCs/>
          <w:sz w:val="22"/>
          <w:szCs w:val="22"/>
          <w:lang w:val="ro-RO"/>
        </w:rPr>
        <w:t>, anume:</w:t>
      </w:r>
    </w:p>
    <w:p w14:paraId="23A7BBBE" w14:textId="77777777" w:rsidR="00D1647E" w:rsidRPr="00834B27" w:rsidRDefault="00D1647E" w:rsidP="00AA15F6">
      <w:pPr>
        <w:pStyle w:val="font-claude-response-body"/>
        <w:spacing w:line="276" w:lineRule="auto"/>
        <w:jc w:val="both"/>
        <w:rPr>
          <w:rFonts w:ascii="Calibri" w:hAnsi="Calibri" w:cs="Calibri"/>
          <w:b/>
          <w:bCs/>
          <w:sz w:val="22"/>
          <w:szCs w:val="22"/>
          <w:lang w:val="ro-RO"/>
        </w:rPr>
      </w:pPr>
      <w:r w:rsidRPr="00834B27">
        <w:rPr>
          <w:rFonts w:ascii="Calibri" w:hAnsi="Calibri" w:cs="Calibri"/>
          <w:b/>
          <w:bCs/>
          <w:sz w:val="22"/>
          <w:szCs w:val="22"/>
          <w:lang w:val="ro-RO"/>
        </w:rPr>
        <w:t>-</w:t>
      </w:r>
      <w:r w:rsidR="008058EB" w:rsidRPr="00834B27">
        <w:rPr>
          <w:rFonts w:ascii="Calibri" w:hAnsi="Calibri" w:cs="Calibri"/>
          <w:b/>
          <w:bCs/>
          <w:sz w:val="22"/>
          <w:szCs w:val="22"/>
          <w:lang w:val="ro-RO"/>
        </w:rPr>
        <w:t xml:space="preserve"> instabilitate legislativă</w:t>
      </w:r>
      <w:r w:rsidRPr="00834B27">
        <w:rPr>
          <w:rFonts w:ascii="Calibri" w:hAnsi="Calibri" w:cs="Calibri"/>
          <w:b/>
          <w:bCs/>
          <w:sz w:val="22"/>
          <w:szCs w:val="22"/>
          <w:lang w:val="ro-RO"/>
        </w:rPr>
        <w:t>;</w:t>
      </w:r>
    </w:p>
    <w:p w14:paraId="1F07D8B4" w14:textId="0B11314F" w:rsidR="00D1647E" w:rsidRPr="00834B27" w:rsidRDefault="00D1647E" w:rsidP="00AA15F6">
      <w:pPr>
        <w:pStyle w:val="font-claude-response-body"/>
        <w:spacing w:line="276" w:lineRule="auto"/>
        <w:jc w:val="both"/>
        <w:rPr>
          <w:rFonts w:ascii="Calibri" w:hAnsi="Calibri" w:cs="Calibri"/>
          <w:b/>
          <w:bCs/>
          <w:sz w:val="22"/>
          <w:szCs w:val="22"/>
          <w:lang w:val="ro-RO"/>
        </w:rPr>
      </w:pPr>
      <w:r w:rsidRPr="00834B27">
        <w:rPr>
          <w:rFonts w:ascii="Calibri" w:hAnsi="Calibri" w:cs="Calibri"/>
          <w:b/>
          <w:bCs/>
          <w:sz w:val="22"/>
          <w:szCs w:val="22"/>
          <w:lang w:val="ro-RO"/>
        </w:rPr>
        <w:t>-</w:t>
      </w:r>
      <w:r w:rsidR="008058EB" w:rsidRPr="00834B27">
        <w:rPr>
          <w:rFonts w:ascii="Calibri" w:hAnsi="Calibri" w:cs="Calibri"/>
          <w:b/>
          <w:bCs/>
          <w:sz w:val="22"/>
          <w:szCs w:val="22"/>
          <w:lang w:val="ro-RO"/>
        </w:rPr>
        <w:t xml:space="preserve"> inechitate orizontală</w:t>
      </w:r>
    </w:p>
    <w:p w14:paraId="60C66598" w14:textId="77777777" w:rsidR="00D1647E" w:rsidRPr="00834B27" w:rsidRDefault="00D1647E" w:rsidP="00AA15F6">
      <w:pPr>
        <w:pStyle w:val="font-claude-response-body"/>
        <w:spacing w:line="276" w:lineRule="auto"/>
        <w:jc w:val="both"/>
        <w:rPr>
          <w:rFonts w:ascii="Calibri" w:hAnsi="Calibri" w:cs="Calibri"/>
          <w:b/>
          <w:bCs/>
          <w:sz w:val="22"/>
          <w:szCs w:val="22"/>
          <w:lang w:val="ro-RO"/>
        </w:rPr>
      </w:pPr>
      <w:r w:rsidRPr="00834B27">
        <w:rPr>
          <w:rFonts w:ascii="Calibri" w:hAnsi="Calibri" w:cs="Calibri"/>
          <w:b/>
          <w:bCs/>
          <w:sz w:val="22"/>
          <w:szCs w:val="22"/>
          <w:lang w:val="ro-RO"/>
        </w:rPr>
        <w:t>-</w:t>
      </w:r>
      <w:r w:rsidR="008058EB" w:rsidRPr="00834B27">
        <w:rPr>
          <w:rFonts w:ascii="Calibri" w:hAnsi="Calibri" w:cs="Calibri"/>
          <w:b/>
          <w:bCs/>
          <w:sz w:val="22"/>
          <w:szCs w:val="22"/>
          <w:lang w:val="ro-RO"/>
        </w:rPr>
        <w:t xml:space="preserve"> neconformare la scară largă</w:t>
      </w:r>
    </w:p>
    <w:p w14:paraId="1A6BFC1B" w14:textId="77777777" w:rsidR="00D1647E" w:rsidRPr="00834B27" w:rsidRDefault="00D1647E" w:rsidP="00AA15F6">
      <w:pPr>
        <w:pStyle w:val="font-claude-response-body"/>
        <w:spacing w:line="276" w:lineRule="auto"/>
        <w:jc w:val="both"/>
        <w:rPr>
          <w:rFonts w:ascii="Calibri" w:hAnsi="Calibri" w:cs="Calibri"/>
          <w:b/>
          <w:bCs/>
          <w:sz w:val="22"/>
          <w:szCs w:val="22"/>
          <w:lang w:val="ro-RO"/>
        </w:rPr>
      </w:pPr>
      <w:r w:rsidRPr="00834B27">
        <w:rPr>
          <w:rFonts w:ascii="Calibri" w:hAnsi="Calibri" w:cs="Calibri"/>
          <w:b/>
          <w:bCs/>
          <w:sz w:val="22"/>
          <w:szCs w:val="22"/>
          <w:lang w:val="ro-RO"/>
        </w:rPr>
        <w:t xml:space="preserve">- </w:t>
      </w:r>
      <w:r w:rsidR="008058EB" w:rsidRPr="00834B27">
        <w:rPr>
          <w:rFonts w:ascii="Calibri" w:hAnsi="Calibri" w:cs="Calibri"/>
          <w:b/>
          <w:bCs/>
          <w:sz w:val="22"/>
          <w:szCs w:val="22"/>
          <w:lang w:val="ro-RO"/>
        </w:rPr>
        <w:t>deficit cronic de colectare</w:t>
      </w:r>
    </w:p>
    <w:p w14:paraId="7C3CBB3E" w14:textId="77777777" w:rsidR="00D1647E" w:rsidRPr="00834B27" w:rsidRDefault="00D1647E" w:rsidP="00AA15F6">
      <w:pPr>
        <w:pStyle w:val="font-claude-response-body"/>
        <w:spacing w:line="276" w:lineRule="auto"/>
        <w:jc w:val="both"/>
        <w:rPr>
          <w:rFonts w:ascii="Calibri" w:hAnsi="Calibri" w:cs="Calibri"/>
          <w:b/>
          <w:bCs/>
          <w:sz w:val="22"/>
          <w:szCs w:val="22"/>
          <w:lang w:val="ro-RO"/>
        </w:rPr>
      </w:pPr>
      <w:r w:rsidRPr="00834B27">
        <w:rPr>
          <w:rFonts w:ascii="Calibri" w:hAnsi="Calibri" w:cs="Calibri"/>
          <w:b/>
          <w:bCs/>
          <w:sz w:val="22"/>
          <w:szCs w:val="22"/>
          <w:lang w:val="ro-RO"/>
        </w:rPr>
        <w:t xml:space="preserve">- </w:t>
      </w:r>
      <w:r w:rsidR="008058EB" w:rsidRPr="00834B27">
        <w:rPr>
          <w:rFonts w:ascii="Calibri" w:hAnsi="Calibri" w:cs="Calibri"/>
          <w:b/>
          <w:bCs/>
          <w:sz w:val="22"/>
          <w:szCs w:val="22"/>
          <w:lang w:val="ro-RO"/>
        </w:rPr>
        <w:t>deficit bugetar nesustenabil</w:t>
      </w:r>
      <w:r w:rsidRPr="00834B27">
        <w:rPr>
          <w:rFonts w:ascii="Calibri" w:hAnsi="Calibri" w:cs="Calibri"/>
          <w:b/>
          <w:bCs/>
          <w:sz w:val="22"/>
          <w:szCs w:val="22"/>
          <w:lang w:val="ro-RO"/>
        </w:rPr>
        <w:t>,</w:t>
      </w:r>
    </w:p>
    <w:p w14:paraId="703ADB1F" w14:textId="6D7352CF" w:rsidR="008058EB" w:rsidRPr="00834B27" w:rsidRDefault="008058EB" w:rsidP="00AA15F6">
      <w:pPr>
        <w:pStyle w:val="font-claude-response-body"/>
        <w:spacing w:line="276" w:lineRule="auto"/>
        <w:jc w:val="both"/>
        <w:rPr>
          <w:rFonts w:ascii="Calibri" w:hAnsi="Calibri" w:cs="Calibri"/>
          <w:b/>
          <w:bCs/>
          <w:sz w:val="22"/>
          <w:szCs w:val="22"/>
          <w:lang w:val="ro-RO"/>
        </w:rPr>
      </w:pPr>
      <w:r w:rsidRPr="00834B27">
        <w:rPr>
          <w:rFonts w:ascii="Calibri" w:hAnsi="Calibri" w:cs="Calibri"/>
          <w:b/>
          <w:bCs/>
          <w:sz w:val="22"/>
          <w:szCs w:val="22"/>
          <w:lang w:val="ro-RO"/>
        </w:rPr>
        <w:t>descrie o disfuncție distinctă. Dar ele nu sunt independente. Sunt manifestări ale aceleiași cauze structurale: un sistem fiscal fragmentat, modificat punctual și niciodată evaluat ca tot unitar. Prezentul studiu este, în esență, un demers de evaluare unitară din perspectiva impozitării veniturilor obținute de persoanele fizice.</w:t>
      </w:r>
    </w:p>
    <w:p w14:paraId="1CF52542" w14:textId="2605CAC4" w:rsidR="008058EB" w:rsidRPr="00834B27" w:rsidRDefault="008058EB" w:rsidP="00AA15F6">
      <w:pPr>
        <w:pStyle w:val="NormalWeb"/>
        <w:spacing w:line="276" w:lineRule="auto"/>
        <w:jc w:val="both"/>
        <w:rPr>
          <w:rFonts w:ascii="Calibri" w:hAnsi="Calibri" w:cs="Calibri"/>
          <w:sz w:val="22"/>
          <w:szCs w:val="22"/>
          <w:lang w:val="ro-RO"/>
        </w:rPr>
      </w:pPr>
      <w:r w:rsidRPr="00834B27">
        <w:rPr>
          <w:rFonts w:ascii="Calibri" w:hAnsi="Calibri" w:cs="Calibri"/>
          <w:sz w:val="22"/>
          <w:szCs w:val="22"/>
          <w:lang w:val="ro-RO"/>
        </w:rPr>
        <w:t>Prin urmare,</w:t>
      </w:r>
      <w:r w:rsidRPr="00834B27">
        <w:rPr>
          <w:rFonts w:ascii="Calibri" w:hAnsi="Calibri" w:cs="Calibri"/>
          <w:b/>
          <w:bCs/>
          <w:sz w:val="22"/>
          <w:szCs w:val="22"/>
          <w:lang w:val="ro-RO"/>
        </w:rPr>
        <w:t xml:space="preserve"> obiectivul studiului este, </w:t>
      </w:r>
      <w:r w:rsidR="00957582" w:rsidRPr="00834B27">
        <w:rPr>
          <w:rFonts w:ascii="Calibri" w:hAnsi="Calibri" w:cs="Calibri"/>
          <w:b/>
          <w:bCs/>
          <w:sz w:val="22"/>
          <w:szCs w:val="22"/>
          <w:lang w:val="ro-RO"/>
        </w:rPr>
        <w:t>î</w:t>
      </w:r>
      <w:r w:rsidRPr="00834B27">
        <w:rPr>
          <w:rFonts w:ascii="Calibri" w:hAnsi="Calibri" w:cs="Calibri"/>
          <w:b/>
          <w:bCs/>
          <w:sz w:val="22"/>
          <w:szCs w:val="22"/>
          <w:lang w:val="ro-RO"/>
        </w:rPr>
        <w:t xml:space="preserve">n fapt, </w:t>
      </w:r>
      <w:r w:rsidRPr="00834B27">
        <w:rPr>
          <w:rStyle w:val="Robust"/>
          <w:rFonts w:ascii="Calibri" w:eastAsiaTheme="majorEastAsia" w:hAnsi="Calibri" w:cs="Calibri"/>
          <w:sz w:val="22"/>
          <w:szCs w:val="22"/>
          <w:lang w:val="ro-RO"/>
        </w:rPr>
        <w:t>alinierea la arhitectura instituțională predominantă în Uniunea Europeană</w:t>
      </w:r>
      <w:r w:rsidRPr="00834B27">
        <w:rPr>
          <w:rFonts w:ascii="Calibri" w:hAnsi="Calibri" w:cs="Calibri"/>
          <w:sz w:val="22"/>
          <w:szCs w:val="22"/>
          <w:lang w:val="ro-RO"/>
        </w:rPr>
        <w:t xml:space="preserve"> </w:t>
      </w:r>
      <w:r w:rsidRPr="00834B27">
        <w:rPr>
          <w:rFonts w:ascii="Calibri" w:hAnsi="Calibri" w:cs="Calibri"/>
          <w:b/>
          <w:bCs/>
          <w:sz w:val="22"/>
          <w:szCs w:val="22"/>
          <w:lang w:val="ro-RO"/>
        </w:rPr>
        <w:t>și evaluarea</w:t>
      </w:r>
      <w:r w:rsidRPr="00834B27">
        <w:rPr>
          <w:rFonts w:ascii="Calibri" w:hAnsi="Calibri" w:cs="Calibri"/>
          <w:sz w:val="22"/>
          <w:szCs w:val="22"/>
          <w:lang w:val="ro-RO"/>
        </w:rPr>
        <w:t xml:space="preserve"> modului în care principiile consacrate ale politicii fiscale pot fi aplicate în mod coerent în contextul instituțional și economic al României, </w:t>
      </w:r>
      <w:r w:rsidRPr="00834B27">
        <w:rPr>
          <w:rFonts w:ascii="Calibri" w:hAnsi="Calibri" w:cs="Calibri"/>
          <w:b/>
          <w:bCs/>
          <w:sz w:val="22"/>
          <w:szCs w:val="22"/>
          <w:lang w:val="ro-RO"/>
        </w:rPr>
        <w:t>și, în special</w:t>
      </w:r>
      <w:r w:rsidRPr="00834B27">
        <w:rPr>
          <w:rFonts w:ascii="Calibri" w:hAnsi="Calibri" w:cs="Calibri"/>
          <w:sz w:val="22"/>
          <w:szCs w:val="22"/>
          <w:lang w:val="ro-RO"/>
        </w:rPr>
        <w:t xml:space="preserve">, </w:t>
      </w:r>
      <w:r w:rsidRPr="00834B27">
        <w:rPr>
          <w:rFonts w:ascii="Calibri" w:hAnsi="Calibri" w:cs="Calibri"/>
          <w:b/>
          <w:bCs/>
          <w:sz w:val="22"/>
          <w:szCs w:val="22"/>
          <w:lang w:val="ro-RO"/>
        </w:rPr>
        <w:t>ca sarcina fiscală totală să depindă exclusiv de mărimea venitului, nu de forma juridică sub care acesta este structurat. Acest principiu — echitatea orizontală —este fundamentul oricărui sistem fiscal funcțional și este consacrat în practica unanimă a statelor membre ale OCDE și ale Uniunii Europene.</w:t>
      </w:r>
    </w:p>
    <w:p w14:paraId="03A30529" w14:textId="77777777" w:rsidR="008058EB" w:rsidRPr="00834B27" w:rsidRDefault="008058EB" w:rsidP="00AA15F6">
      <w:pPr>
        <w:pStyle w:val="NormalWeb"/>
        <w:spacing w:line="276" w:lineRule="auto"/>
        <w:jc w:val="both"/>
        <w:rPr>
          <w:rFonts w:ascii="Calibri" w:hAnsi="Calibri" w:cs="Calibri"/>
          <w:sz w:val="22"/>
          <w:szCs w:val="22"/>
          <w:lang w:val="ro-RO"/>
        </w:rPr>
      </w:pPr>
      <w:r w:rsidRPr="00834B27">
        <w:rPr>
          <w:rFonts w:ascii="Calibri" w:hAnsi="Calibri" w:cs="Calibri"/>
          <w:sz w:val="22"/>
          <w:szCs w:val="22"/>
          <w:lang w:val="ro-RO"/>
        </w:rPr>
        <w:t>Analiza se bazează pe date bugetare, pe informații furnizate de administrația fiscală și pe experiența comparată a statelor membre ale Uniunii Europene și ale Organizației pentru Cooperare și Dezvoltare Economică.</w:t>
      </w:r>
    </w:p>
    <w:p w14:paraId="2009A181" w14:textId="77777777" w:rsidR="008058EB" w:rsidRPr="00834B27" w:rsidRDefault="008058EB" w:rsidP="00AA15F6">
      <w:pPr>
        <w:pStyle w:val="font-claude-response-body"/>
        <w:spacing w:line="276" w:lineRule="auto"/>
        <w:jc w:val="both"/>
        <w:rPr>
          <w:rFonts w:ascii="Calibri" w:hAnsi="Calibri" w:cs="Calibri"/>
          <w:b/>
          <w:bCs/>
          <w:sz w:val="22"/>
          <w:szCs w:val="22"/>
          <w:lang w:val="ro-RO"/>
        </w:rPr>
      </w:pPr>
      <w:r w:rsidRPr="00834B27">
        <w:rPr>
          <w:rFonts w:ascii="Calibri" w:hAnsi="Calibri" w:cs="Calibri"/>
          <w:b/>
          <w:bCs/>
          <w:sz w:val="22"/>
          <w:szCs w:val="22"/>
          <w:lang w:val="ro-RO"/>
        </w:rPr>
        <w:t>Instrumentele prin care urmărim acest obiectiv sunt, fără excepție, instrumente testate și validate în alte jurisdicții</w:t>
      </w:r>
      <w:r w:rsidRPr="00834B27">
        <w:rPr>
          <w:rFonts w:ascii="Calibri" w:hAnsi="Calibri" w:cs="Calibri"/>
          <w:sz w:val="22"/>
          <w:szCs w:val="22"/>
          <w:lang w:val="ro-RO"/>
        </w:rPr>
        <w:t xml:space="preserve">. </w:t>
      </w:r>
      <w:r w:rsidRPr="00834B27">
        <w:rPr>
          <w:rFonts w:ascii="Calibri" w:hAnsi="Calibri" w:cs="Calibri"/>
          <w:b/>
          <w:bCs/>
          <w:sz w:val="22"/>
          <w:szCs w:val="22"/>
          <w:lang w:val="ro-RO"/>
        </w:rPr>
        <w:t>Plafonarea contribuțiilor sociale cu plafonarea simultană a drepturilor de pensie funcționează în Germania din 1957 și în majoritatea statelor UE. Nu propunem experimente. Propunem adoptarea unor soluții care funcționează deja și adaptarea lor la realitățile românești.</w:t>
      </w:r>
    </w:p>
    <w:p w14:paraId="6A556D36" w14:textId="77777777" w:rsidR="00303D11" w:rsidRPr="00834B27" w:rsidRDefault="00FA68DC" w:rsidP="00AA15F6">
      <w:pPr>
        <w:spacing w:line="276" w:lineRule="auto"/>
        <w:jc w:val="both"/>
        <w:rPr>
          <w:rFonts w:ascii="Calibri" w:eastAsia="Calibri" w:hAnsi="Calibri" w:cs="Calibri"/>
          <w:sz w:val="22"/>
          <w:szCs w:val="22"/>
          <w:lang w:val="ro-RO"/>
        </w:rPr>
      </w:pPr>
      <w:r w:rsidRPr="00834B27">
        <w:rPr>
          <w:rFonts w:ascii="Calibri" w:eastAsia="Calibri" w:hAnsi="Calibri" w:cs="Calibri"/>
          <w:b/>
          <w:bCs/>
          <w:sz w:val="22"/>
          <w:szCs w:val="22"/>
          <w:lang w:val="ro-RO"/>
        </w:rPr>
        <w:t>Costul men</w:t>
      </w:r>
      <w:r w:rsidR="00D77C4B" w:rsidRPr="00834B27">
        <w:rPr>
          <w:rFonts w:ascii="Calibri" w:eastAsia="Calibri" w:hAnsi="Calibri" w:cs="Calibri"/>
          <w:b/>
          <w:bCs/>
          <w:sz w:val="22"/>
          <w:szCs w:val="22"/>
          <w:lang w:val="ro-RO"/>
        </w:rPr>
        <w:t>ț</w:t>
      </w:r>
      <w:r w:rsidRPr="00834B27">
        <w:rPr>
          <w:rFonts w:ascii="Calibri" w:eastAsia="Calibri" w:hAnsi="Calibri" w:cs="Calibri"/>
          <w:b/>
          <w:bCs/>
          <w:sz w:val="22"/>
          <w:szCs w:val="22"/>
          <w:lang w:val="ro-RO"/>
        </w:rPr>
        <w:t>inerii sistemului actual este deja vizibil și crește.</w:t>
      </w:r>
      <w:r w:rsidRPr="00834B27">
        <w:rPr>
          <w:rFonts w:ascii="Calibri" w:eastAsia="Calibri" w:hAnsi="Calibri" w:cs="Calibri"/>
          <w:sz w:val="22"/>
          <w:szCs w:val="22"/>
          <w:lang w:val="ro-RO"/>
        </w:rPr>
        <w:t xml:space="preserve"> </w:t>
      </w:r>
    </w:p>
    <w:p w14:paraId="5F86C9C5" w14:textId="77777777" w:rsidR="00303D11" w:rsidRPr="00834B27" w:rsidRDefault="00CD75FB" w:rsidP="00AA15F6">
      <w:pPr>
        <w:spacing w:line="276" w:lineRule="auto"/>
        <w:jc w:val="both"/>
        <w:rPr>
          <w:rFonts w:ascii="Calibri" w:eastAsia="Calibri" w:hAnsi="Calibri" w:cs="Calibri"/>
          <w:sz w:val="22"/>
          <w:szCs w:val="22"/>
          <w:lang w:val="ro-RO"/>
        </w:rPr>
      </w:pPr>
      <w:r w:rsidRPr="00834B27">
        <w:rPr>
          <w:rFonts w:ascii="Calibri" w:hAnsi="Calibri" w:cs="Calibri"/>
          <w:b/>
          <w:bCs/>
          <w:sz w:val="22"/>
          <w:szCs w:val="22"/>
          <w:lang w:val="ro-RO"/>
        </w:rPr>
        <w:lastRenderedPageBreak/>
        <w:t>Contextul impune urgență, dar nu precipitare</w:t>
      </w:r>
      <w:r w:rsidR="00BE22B5" w:rsidRPr="00834B27">
        <w:rPr>
          <w:rFonts w:ascii="Calibri" w:hAnsi="Calibri" w:cs="Calibri"/>
          <w:b/>
          <w:bCs/>
          <w:sz w:val="22"/>
          <w:szCs w:val="22"/>
          <w:lang w:val="ro-RO"/>
        </w:rPr>
        <w:t>.</w:t>
      </w:r>
      <w:r w:rsidRPr="00834B27">
        <w:rPr>
          <w:rFonts w:ascii="Calibri" w:eastAsia="Calibri" w:hAnsi="Calibri" w:cs="Calibri"/>
          <w:sz w:val="22"/>
          <w:szCs w:val="22"/>
          <w:lang w:val="ro-RO"/>
        </w:rPr>
        <w:t xml:space="preserve"> </w:t>
      </w:r>
    </w:p>
    <w:p w14:paraId="5C474D6D" w14:textId="40F54433" w:rsidR="00CD75FB" w:rsidRPr="00834B27" w:rsidRDefault="00FA68DC" w:rsidP="00AA15F6">
      <w:pPr>
        <w:spacing w:line="276" w:lineRule="auto"/>
        <w:jc w:val="both"/>
        <w:rPr>
          <w:rFonts w:ascii="Calibri" w:eastAsia="Calibri" w:hAnsi="Calibri" w:cs="Calibri"/>
          <w:sz w:val="22"/>
          <w:szCs w:val="22"/>
          <w:lang w:val="ro-RO"/>
        </w:rPr>
      </w:pPr>
      <w:r w:rsidRPr="00834B27">
        <w:rPr>
          <w:rFonts w:ascii="Calibri" w:eastAsia="Calibri" w:hAnsi="Calibri" w:cs="Calibri"/>
          <w:sz w:val="22"/>
          <w:szCs w:val="22"/>
          <w:lang w:val="ro-RO"/>
        </w:rPr>
        <w:t>România se află în procedură de deficit excesiv, cu un deficit bugetar structural care limitează drastic spa</w:t>
      </w:r>
      <w:r w:rsidR="00D77C4B" w:rsidRPr="00834B27">
        <w:rPr>
          <w:rFonts w:ascii="Calibri" w:eastAsia="Calibri" w:hAnsi="Calibri" w:cs="Calibri"/>
          <w:sz w:val="22"/>
          <w:szCs w:val="22"/>
          <w:lang w:val="ro-RO"/>
        </w:rPr>
        <w:t>ț</w:t>
      </w:r>
      <w:r w:rsidRPr="00834B27">
        <w:rPr>
          <w:rFonts w:ascii="Calibri" w:eastAsia="Calibri" w:hAnsi="Calibri" w:cs="Calibri"/>
          <w:sz w:val="22"/>
          <w:szCs w:val="22"/>
          <w:lang w:val="ro-RO"/>
        </w:rPr>
        <w:t xml:space="preserve">iul </w:t>
      </w:r>
      <w:r w:rsidR="00957582" w:rsidRPr="00834B27">
        <w:rPr>
          <w:rFonts w:ascii="Calibri" w:eastAsia="Calibri" w:hAnsi="Calibri" w:cs="Calibri"/>
          <w:sz w:val="22"/>
          <w:szCs w:val="22"/>
          <w:lang w:val="ro-RO"/>
        </w:rPr>
        <w:t xml:space="preserve">fiscal </w:t>
      </w:r>
      <w:r w:rsidRPr="00834B27">
        <w:rPr>
          <w:rFonts w:ascii="Calibri" w:eastAsia="Calibri" w:hAnsi="Calibri" w:cs="Calibri"/>
          <w:sz w:val="22"/>
          <w:szCs w:val="22"/>
          <w:lang w:val="ro-RO"/>
        </w:rPr>
        <w:t xml:space="preserve">de manevră </w:t>
      </w:r>
      <w:r w:rsidR="00CD75FB" w:rsidRPr="00834B27">
        <w:rPr>
          <w:rFonts w:ascii="Calibri" w:hAnsi="Calibri" w:cs="Calibri"/>
          <w:sz w:val="22"/>
          <w:szCs w:val="22"/>
          <w:lang w:val="ro-RO"/>
        </w:rPr>
        <w:t>și cu angajamente asumate față de Comisia Europeană și prin Planul Național de Redresare și Reziliență — care includ explicit eliminarea graduală a scutirilor și excepțiilor fiscale.</w:t>
      </w:r>
      <w:r w:rsidRPr="00834B27">
        <w:rPr>
          <w:rFonts w:ascii="Calibri" w:eastAsia="Calibri" w:hAnsi="Calibri" w:cs="Calibri"/>
          <w:sz w:val="22"/>
          <w:szCs w:val="22"/>
          <w:lang w:val="ro-RO"/>
        </w:rPr>
        <w:t xml:space="preserve"> Popula</w:t>
      </w:r>
      <w:r w:rsidR="00D77C4B" w:rsidRPr="00834B27">
        <w:rPr>
          <w:rFonts w:ascii="Calibri" w:eastAsia="Calibri" w:hAnsi="Calibri" w:cs="Calibri"/>
          <w:sz w:val="22"/>
          <w:szCs w:val="22"/>
          <w:lang w:val="ro-RO"/>
        </w:rPr>
        <w:t>ț</w:t>
      </w:r>
      <w:r w:rsidRPr="00834B27">
        <w:rPr>
          <w:rFonts w:ascii="Calibri" w:eastAsia="Calibri" w:hAnsi="Calibri" w:cs="Calibri"/>
          <w:sz w:val="22"/>
          <w:szCs w:val="22"/>
          <w:lang w:val="ro-RO"/>
        </w:rPr>
        <w:t>ia activă se contractă, iar genera</w:t>
      </w:r>
      <w:r w:rsidR="00D77C4B" w:rsidRPr="00834B27">
        <w:rPr>
          <w:rFonts w:ascii="Calibri" w:eastAsia="Calibri" w:hAnsi="Calibri" w:cs="Calibri"/>
          <w:sz w:val="22"/>
          <w:szCs w:val="22"/>
          <w:lang w:val="ro-RO"/>
        </w:rPr>
        <w:t>ț</w:t>
      </w:r>
      <w:r w:rsidRPr="00834B27">
        <w:rPr>
          <w:rFonts w:ascii="Calibri" w:eastAsia="Calibri" w:hAnsi="Calibri" w:cs="Calibri"/>
          <w:sz w:val="22"/>
          <w:szCs w:val="22"/>
          <w:lang w:val="ro-RO"/>
        </w:rPr>
        <w:t xml:space="preserve">ia născută în perioada 1967–1972 — cea mai numeroasă cohortă din istoria recentă a României — va ieși la pensie în următorii ani, amplificând presiunea asupra </w:t>
      </w:r>
      <w:r w:rsidR="00CD75FB" w:rsidRPr="00834B27">
        <w:rPr>
          <w:rFonts w:ascii="Calibri" w:hAnsi="Calibri" w:cs="Calibri"/>
          <w:sz w:val="22"/>
          <w:szCs w:val="22"/>
          <w:lang w:val="ro-RO"/>
        </w:rPr>
        <w:t>unui sistem de pensii publice ale cărui obligații viitoare sunt, în absența plafonării, nelimitate</w:t>
      </w:r>
      <w:r w:rsidRPr="00834B27">
        <w:rPr>
          <w:rFonts w:ascii="Calibri" w:eastAsia="Calibri" w:hAnsi="Calibri" w:cs="Calibri"/>
          <w:sz w:val="22"/>
          <w:szCs w:val="22"/>
          <w:lang w:val="ro-RO"/>
        </w:rPr>
        <w:t xml:space="preserve">. </w:t>
      </w:r>
      <w:r w:rsidR="00CD75FB" w:rsidRPr="00834B27">
        <w:rPr>
          <w:rFonts w:ascii="Calibri" w:eastAsia="Calibri" w:hAnsi="Calibri" w:cs="Calibri"/>
          <w:sz w:val="22"/>
          <w:szCs w:val="22"/>
          <w:lang w:val="ro-RO"/>
        </w:rPr>
        <w:t>M</w:t>
      </w:r>
      <w:r w:rsidRPr="00834B27">
        <w:rPr>
          <w:rFonts w:ascii="Calibri" w:eastAsia="Calibri" w:hAnsi="Calibri" w:cs="Calibri"/>
          <w:sz w:val="22"/>
          <w:szCs w:val="22"/>
          <w:lang w:val="ro-RO"/>
        </w:rPr>
        <w:t>ajorarea impozitului pe dividende la 16% a amplificat fenomenul de emigrare fiscală — observabil deja în practica curentă a consultan</w:t>
      </w:r>
      <w:r w:rsidR="00D77C4B" w:rsidRPr="00834B27">
        <w:rPr>
          <w:rFonts w:ascii="Calibri" w:eastAsia="Calibri" w:hAnsi="Calibri" w:cs="Calibri"/>
          <w:sz w:val="22"/>
          <w:szCs w:val="22"/>
          <w:lang w:val="ro-RO"/>
        </w:rPr>
        <w:t>ț</w:t>
      </w:r>
      <w:r w:rsidRPr="00834B27">
        <w:rPr>
          <w:rFonts w:ascii="Calibri" w:eastAsia="Calibri" w:hAnsi="Calibri" w:cs="Calibri"/>
          <w:sz w:val="22"/>
          <w:szCs w:val="22"/>
          <w:lang w:val="ro-RO"/>
        </w:rPr>
        <w:t>ilor fiscali și în creșterea numărului de solicitări de certificate de reziden</w:t>
      </w:r>
      <w:r w:rsidR="00D77C4B" w:rsidRPr="00834B27">
        <w:rPr>
          <w:rFonts w:ascii="Calibri" w:eastAsia="Calibri" w:hAnsi="Calibri" w:cs="Calibri"/>
          <w:sz w:val="22"/>
          <w:szCs w:val="22"/>
          <w:lang w:val="ro-RO"/>
        </w:rPr>
        <w:t>ț</w:t>
      </w:r>
      <w:r w:rsidRPr="00834B27">
        <w:rPr>
          <w:rFonts w:ascii="Calibri" w:eastAsia="Calibri" w:hAnsi="Calibri" w:cs="Calibri"/>
          <w:sz w:val="22"/>
          <w:szCs w:val="22"/>
          <w:lang w:val="ro-RO"/>
        </w:rPr>
        <w:t>ă fiscală — erodând baza de impunere a României. Fiecare an de amânare a reformei înseamnă pierderi bugetare mai mari și o corec</w:t>
      </w:r>
      <w:r w:rsidR="00D77C4B" w:rsidRPr="00834B27">
        <w:rPr>
          <w:rFonts w:ascii="Calibri" w:eastAsia="Calibri" w:hAnsi="Calibri" w:cs="Calibri"/>
          <w:sz w:val="22"/>
          <w:szCs w:val="22"/>
          <w:lang w:val="ro-RO"/>
        </w:rPr>
        <w:t>ț</w:t>
      </w:r>
      <w:r w:rsidRPr="00834B27">
        <w:rPr>
          <w:rFonts w:ascii="Calibri" w:eastAsia="Calibri" w:hAnsi="Calibri" w:cs="Calibri"/>
          <w:sz w:val="22"/>
          <w:szCs w:val="22"/>
          <w:lang w:val="ro-RO"/>
        </w:rPr>
        <w:t>ie viitoare mai dureroasă.</w:t>
      </w:r>
      <w:r w:rsidR="00CD75FB" w:rsidRPr="00834B27">
        <w:rPr>
          <w:rFonts w:ascii="Calibri" w:eastAsia="Calibri" w:hAnsi="Calibri" w:cs="Calibri"/>
          <w:sz w:val="22"/>
          <w:szCs w:val="22"/>
          <w:lang w:val="ro-RO"/>
        </w:rPr>
        <w:t xml:space="preserve"> </w:t>
      </w:r>
      <w:r w:rsidR="00CD75FB" w:rsidRPr="00834B27">
        <w:rPr>
          <w:rFonts w:ascii="Calibri" w:hAnsi="Calibri" w:cs="Calibri"/>
          <w:sz w:val="22"/>
          <w:szCs w:val="22"/>
          <w:lang w:val="ro-RO"/>
        </w:rPr>
        <w:t xml:space="preserve">Simultan, infrastructura digitală poate asigura cadrul tehnic pentru o administrare fiscală modernă. O legislație fiscală simplificată este precondiția valorificării acestei infrastructuri. </w:t>
      </w:r>
    </w:p>
    <w:p w14:paraId="65AEDD84" w14:textId="4D6A2E13" w:rsidR="00FA68DC" w:rsidRPr="00834B27" w:rsidRDefault="00FA68DC" w:rsidP="00AA15F6">
      <w:pPr>
        <w:spacing w:line="276" w:lineRule="auto"/>
        <w:jc w:val="both"/>
        <w:rPr>
          <w:rFonts w:ascii="Calibri" w:hAnsi="Calibri" w:cs="Calibri"/>
          <w:sz w:val="22"/>
          <w:szCs w:val="22"/>
          <w:lang w:val="ro-RO"/>
        </w:rPr>
      </w:pPr>
      <w:r w:rsidRPr="00834B27">
        <w:rPr>
          <w:rFonts w:ascii="Calibri" w:eastAsia="Calibri" w:hAnsi="Calibri" w:cs="Calibri"/>
          <w:sz w:val="22"/>
          <w:szCs w:val="22"/>
          <w:lang w:val="ro-RO"/>
        </w:rPr>
        <w:t xml:space="preserve">Principiul fundamental pe care se construiește reforma propusă este cel al </w:t>
      </w:r>
      <w:r w:rsidRPr="00834B27">
        <w:rPr>
          <w:rFonts w:ascii="Calibri" w:eastAsia="Calibri" w:hAnsi="Calibri" w:cs="Calibri"/>
          <w:b/>
          <w:bCs/>
          <w:sz w:val="22"/>
          <w:szCs w:val="22"/>
          <w:lang w:val="ro-RO"/>
        </w:rPr>
        <w:t>echită</w:t>
      </w:r>
      <w:r w:rsidR="00D77C4B" w:rsidRPr="00834B27">
        <w:rPr>
          <w:rFonts w:ascii="Calibri" w:eastAsia="Calibri" w:hAnsi="Calibri" w:cs="Calibri"/>
          <w:b/>
          <w:bCs/>
          <w:sz w:val="22"/>
          <w:szCs w:val="22"/>
          <w:lang w:val="ro-RO"/>
        </w:rPr>
        <w:t>ț</w:t>
      </w:r>
      <w:r w:rsidRPr="00834B27">
        <w:rPr>
          <w:rFonts w:ascii="Calibri" w:eastAsia="Calibri" w:hAnsi="Calibri" w:cs="Calibri"/>
          <w:b/>
          <w:bCs/>
          <w:sz w:val="22"/>
          <w:szCs w:val="22"/>
          <w:lang w:val="ro-RO"/>
        </w:rPr>
        <w:t>ii</w:t>
      </w:r>
      <w:r w:rsidRPr="00834B27">
        <w:rPr>
          <w:rFonts w:ascii="Calibri" w:eastAsia="Calibri" w:hAnsi="Calibri" w:cs="Calibri"/>
          <w:sz w:val="22"/>
          <w:szCs w:val="22"/>
          <w:lang w:val="ro-RO"/>
        </w:rPr>
        <w:t xml:space="preserve">: sarcina fiscală totală trebuie să depindă exclusiv de </w:t>
      </w:r>
      <w:r w:rsidRPr="00834B27">
        <w:rPr>
          <w:rFonts w:ascii="Calibri" w:eastAsia="Calibri" w:hAnsi="Calibri" w:cs="Calibri"/>
          <w:b/>
          <w:bCs/>
          <w:sz w:val="22"/>
          <w:szCs w:val="22"/>
          <w:lang w:val="ro-RO"/>
        </w:rPr>
        <w:t>cât</w:t>
      </w:r>
      <w:r w:rsidRPr="00834B27">
        <w:rPr>
          <w:rFonts w:ascii="Calibri" w:eastAsia="Calibri" w:hAnsi="Calibri" w:cs="Calibri"/>
          <w:sz w:val="22"/>
          <w:szCs w:val="22"/>
          <w:lang w:val="ro-RO"/>
        </w:rPr>
        <w:t xml:space="preserve"> câștigă un contribuabil, și nu de </w:t>
      </w:r>
      <w:r w:rsidRPr="00834B27">
        <w:rPr>
          <w:rFonts w:ascii="Calibri" w:eastAsia="Calibri" w:hAnsi="Calibri" w:cs="Calibri"/>
          <w:b/>
          <w:bCs/>
          <w:sz w:val="22"/>
          <w:szCs w:val="22"/>
          <w:lang w:val="ro-RO"/>
        </w:rPr>
        <w:t>cum</w:t>
      </w:r>
      <w:r w:rsidRPr="00834B27">
        <w:rPr>
          <w:rFonts w:ascii="Calibri" w:eastAsia="Calibri" w:hAnsi="Calibri" w:cs="Calibri"/>
          <w:sz w:val="22"/>
          <w:szCs w:val="22"/>
          <w:lang w:val="ro-RO"/>
        </w:rPr>
        <w:t xml:space="preserve"> își câștigă venitul. Aceasta este </w:t>
      </w:r>
      <w:r w:rsidRPr="00834B27">
        <w:rPr>
          <w:rFonts w:ascii="Calibri" w:eastAsia="Calibri" w:hAnsi="Calibri" w:cs="Calibri"/>
          <w:b/>
          <w:bCs/>
          <w:sz w:val="22"/>
          <w:szCs w:val="22"/>
          <w:lang w:val="ro-RO"/>
        </w:rPr>
        <w:t>justa așezare a sarcinii fiscale</w:t>
      </w:r>
      <w:r w:rsidRPr="00834B27">
        <w:rPr>
          <w:rFonts w:ascii="Calibri" w:eastAsia="Calibri" w:hAnsi="Calibri" w:cs="Calibri"/>
          <w:sz w:val="22"/>
          <w:szCs w:val="22"/>
          <w:lang w:val="ro-RO"/>
        </w:rPr>
        <w:t xml:space="preserve"> — un principiu constitu</w:t>
      </w:r>
      <w:r w:rsidR="00D77C4B" w:rsidRPr="00834B27">
        <w:rPr>
          <w:rFonts w:ascii="Calibri" w:eastAsia="Calibri" w:hAnsi="Calibri" w:cs="Calibri"/>
          <w:sz w:val="22"/>
          <w:szCs w:val="22"/>
          <w:lang w:val="ro-RO"/>
        </w:rPr>
        <w:t>ț</w:t>
      </w:r>
      <w:r w:rsidRPr="00834B27">
        <w:rPr>
          <w:rFonts w:ascii="Calibri" w:eastAsia="Calibri" w:hAnsi="Calibri" w:cs="Calibri"/>
          <w:sz w:val="22"/>
          <w:szCs w:val="22"/>
          <w:lang w:val="ro-RO"/>
        </w:rPr>
        <w:t>ional, dar și unul de bun-sim</w:t>
      </w:r>
      <w:r w:rsidR="00D77C4B" w:rsidRPr="00834B27">
        <w:rPr>
          <w:rFonts w:ascii="Calibri" w:eastAsia="Calibri" w:hAnsi="Calibri" w:cs="Calibri"/>
          <w:sz w:val="22"/>
          <w:szCs w:val="22"/>
          <w:lang w:val="ro-RO"/>
        </w:rPr>
        <w:t>ț</w:t>
      </w:r>
      <w:r w:rsidRPr="00834B27">
        <w:rPr>
          <w:rFonts w:ascii="Calibri" w:eastAsia="Calibri" w:hAnsi="Calibri" w:cs="Calibri"/>
          <w:sz w:val="22"/>
          <w:szCs w:val="22"/>
          <w:lang w:val="ro-RO"/>
        </w:rPr>
        <w:t xml:space="preserve">: doi contribuabili cu venituri </w:t>
      </w:r>
      <w:r w:rsidR="00A6652D" w:rsidRPr="00834B27">
        <w:rPr>
          <w:rFonts w:ascii="Calibri" w:eastAsia="Calibri" w:hAnsi="Calibri" w:cs="Calibri"/>
          <w:sz w:val="22"/>
          <w:szCs w:val="22"/>
          <w:lang w:val="ro-RO"/>
        </w:rPr>
        <w:t>similare</w:t>
      </w:r>
      <w:r w:rsidRPr="00834B27">
        <w:rPr>
          <w:rFonts w:ascii="Calibri" w:eastAsia="Calibri" w:hAnsi="Calibri" w:cs="Calibri"/>
          <w:sz w:val="22"/>
          <w:szCs w:val="22"/>
          <w:lang w:val="ro-RO"/>
        </w:rPr>
        <w:t xml:space="preserve"> trebuie să contribuie în mod comparabil la finan</w:t>
      </w:r>
      <w:r w:rsidR="00D77C4B" w:rsidRPr="00834B27">
        <w:rPr>
          <w:rFonts w:ascii="Calibri" w:eastAsia="Calibri" w:hAnsi="Calibri" w:cs="Calibri"/>
          <w:sz w:val="22"/>
          <w:szCs w:val="22"/>
          <w:lang w:val="ro-RO"/>
        </w:rPr>
        <w:t>ț</w:t>
      </w:r>
      <w:r w:rsidRPr="00834B27">
        <w:rPr>
          <w:rFonts w:ascii="Calibri" w:eastAsia="Calibri" w:hAnsi="Calibri" w:cs="Calibri"/>
          <w:sz w:val="22"/>
          <w:szCs w:val="22"/>
          <w:lang w:val="ro-RO"/>
        </w:rPr>
        <w:t>area statului, indiferent dacă unul ob</w:t>
      </w:r>
      <w:r w:rsidR="00D77C4B" w:rsidRPr="00834B27">
        <w:rPr>
          <w:rFonts w:ascii="Calibri" w:eastAsia="Calibri" w:hAnsi="Calibri" w:cs="Calibri"/>
          <w:sz w:val="22"/>
          <w:szCs w:val="22"/>
          <w:lang w:val="ro-RO"/>
        </w:rPr>
        <w:t>ț</w:t>
      </w:r>
      <w:r w:rsidRPr="00834B27">
        <w:rPr>
          <w:rFonts w:ascii="Calibri" w:eastAsia="Calibri" w:hAnsi="Calibri" w:cs="Calibri"/>
          <w:sz w:val="22"/>
          <w:szCs w:val="22"/>
          <w:lang w:val="ro-RO"/>
        </w:rPr>
        <w:t>ine venituri din salarii, iar celălalt din activită</w:t>
      </w:r>
      <w:r w:rsidR="00D77C4B" w:rsidRPr="00834B27">
        <w:rPr>
          <w:rFonts w:ascii="Calibri" w:eastAsia="Calibri" w:hAnsi="Calibri" w:cs="Calibri"/>
          <w:sz w:val="22"/>
          <w:szCs w:val="22"/>
          <w:lang w:val="ro-RO"/>
        </w:rPr>
        <w:t>ț</w:t>
      </w:r>
      <w:r w:rsidRPr="00834B27">
        <w:rPr>
          <w:rFonts w:ascii="Calibri" w:eastAsia="Calibri" w:hAnsi="Calibri" w:cs="Calibri"/>
          <w:sz w:val="22"/>
          <w:szCs w:val="22"/>
          <w:lang w:val="ro-RO"/>
        </w:rPr>
        <w:t>i independente, dividende sau închiriere.</w:t>
      </w:r>
    </w:p>
    <w:p w14:paraId="4F4700BB" w14:textId="5867C859" w:rsidR="00CA098E" w:rsidRPr="00834B27" w:rsidRDefault="00CA098E" w:rsidP="00AA15F6">
      <w:pPr>
        <w:pStyle w:val="font-claude-response-body"/>
        <w:spacing w:line="276" w:lineRule="auto"/>
        <w:jc w:val="both"/>
        <w:rPr>
          <w:rFonts w:ascii="Calibri" w:hAnsi="Calibri" w:cs="Calibri"/>
          <w:b/>
          <w:bCs/>
          <w:sz w:val="22"/>
          <w:szCs w:val="22"/>
          <w:lang w:val="ro-RO"/>
        </w:rPr>
      </w:pPr>
      <w:r w:rsidRPr="00834B27">
        <w:rPr>
          <w:rFonts w:ascii="Calibri" w:hAnsi="Calibri" w:cs="Calibri"/>
          <w:sz w:val="22"/>
          <w:szCs w:val="22"/>
          <w:lang w:val="ro-RO"/>
        </w:rPr>
        <w:t xml:space="preserve">Subliniem că reforma propusă </w:t>
      </w:r>
      <w:r w:rsidRPr="00834B27">
        <w:rPr>
          <w:rFonts w:ascii="Calibri" w:hAnsi="Calibri" w:cs="Calibri"/>
          <w:b/>
          <w:bCs/>
          <w:sz w:val="22"/>
          <w:szCs w:val="22"/>
          <w:lang w:val="ro-RO"/>
        </w:rPr>
        <w:t>nu funcționează prin componente izolate:</w:t>
      </w:r>
      <w:r w:rsidRPr="00834B27">
        <w:rPr>
          <w:rFonts w:ascii="Calibri" w:eastAsia="Calibri" w:hAnsi="Calibri" w:cs="Calibri"/>
          <w:b/>
          <w:bCs/>
          <w:sz w:val="22"/>
          <w:szCs w:val="22"/>
          <w:lang w:val="ro-RO"/>
        </w:rPr>
        <w:t xml:space="preserve"> impactul măsurilor este maximal dacă acestea sunt implementate conjugat și simultan</w:t>
      </w:r>
      <w:r w:rsidRPr="00834B27">
        <w:rPr>
          <w:rFonts w:ascii="Calibri" w:hAnsi="Calibri" w:cs="Calibri"/>
          <w:sz w:val="22"/>
          <w:szCs w:val="22"/>
          <w:lang w:val="ro-RO"/>
        </w:rPr>
        <w:t>. Plafonarea contribuțiilor fără unificarea bazelor de calcul ar crea noi inechități. Eliminarea dublei impuneri pe dividende fără transparentizarea microîntreprinderilor ar amplifica arbitrajul. Introducerea regulilor CFC fără infrastructura DAC7/DAC8 ar rămâne fără efect. Experiența ultimilor 10 ani demonstrează că modificările punctuale nu doar că nu rezolvă problemele</w:t>
      </w:r>
      <w:r w:rsidR="00555D3C" w:rsidRPr="00834B27">
        <w:rPr>
          <w:rFonts w:ascii="Calibri" w:hAnsi="Calibri" w:cs="Calibri"/>
          <w:sz w:val="22"/>
          <w:szCs w:val="22"/>
          <w:lang w:val="ro-RO"/>
        </w:rPr>
        <w:t>,</w:t>
      </w:r>
      <w:r w:rsidRPr="00834B27">
        <w:rPr>
          <w:rFonts w:ascii="Calibri" w:hAnsi="Calibri" w:cs="Calibri"/>
          <w:sz w:val="22"/>
          <w:szCs w:val="22"/>
          <w:lang w:val="ro-RO"/>
        </w:rPr>
        <w:t xml:space="preserve"> </w:t>
      </w:r>
      <w:r w:rsidR="00555D3C" w:rsidRPr="00834B27">
        <w:rPr>
          <w:rFonts w:ascii="Calibri" w:hAnsi="Calibri" w:cs="Calibri"/>
          <w:sz w:val="22"/>
          <w:szCs w:val="22"/>
          <w:lang w:val="ro-RO"/>
        </w:rPr>
        <w:t>ci</w:t>
      </w:r>
      <w:r w:rsidRPr="00834B27">
        <w:rPr>
          <w:rFonts w:ascii="Calibri" w:hAnsi="Calibri" w:cs="Calibri"/>
          <w:sz w:val="22"/>
          <w:szCs w:val="22"/>
          <w:lang w:val="ro-RO"/>
        </w:rPr>
        <w:t xml:space="preserve"> le agravează, fiecare „reparație" generând noi inconsistențe și noi oportunități de arbitraj. </w:t>
      </w:r>
      <w:r w:rsidRPr="00834B27">
        <w:rPr>
          <w:rFonts w:ascii="Calibri" w:hAnsi="Calibri" w:cs="Calibri"/>
          <w:b/>
          <w:bCs/>
          <w:sz w:val="22"/>
          <w:szCs w:val="22"/>
          <w:lang w:val="ro-RO"/>
        </w:rPr>
        <w:t xml:space="preserve">Pachetul de reformă </w:t>
      </w:r>
      <w:r w:rsidR="00034349" w:rsidRPr="00834B27">
        <w:rPr>
          <w:rFonts w:ascii="Calibri" w:hAnsi="Calibri" w:cs="Calibri"/>
          <w:b/>
          <w:bCs/>
          <w:sz w:val="22"/>
          <w:szCs w:val="22"/>
          <w:lang w:val="ro-RO"/>
        </w:rPr>
        <w:t xml:space="preserve">trebuie </w:t>
      </w:r>
      <w:r w:rsidRPr="00834B27">
        <w:rPr>
          <w:rFonts w:ascii="Calibri" w:hAnsi="Calibri" w:cs="Calibri"/>
          <w:b/>
          <w:bCs/>
          <w:sz w:val="22"/>
          <w:szCs w:val="22"/>
          <w:lang w:val="ro-RO"/>
        </w:rPr>
        <w:t>construit ca un tot coerent, în care fiecare măsură întărește efectul celorlalte.</w:t>
      </w:r>
    </w:p>
    <w:p w14:paraId="71F3F127" w14:textId="61A25428" w:rsidR="00CA098E" w:rsidRPr="00834B27" w:rsidRDefault="00CA098E" w:rsidP="00AA15F6">
      <w:pPr>
        <w:pStyle w:val="font-claude-response-body"/>
        <w:spacing w:line="276" w:lineRule="auto"/>
        <w:jc w:val="both"/>
        <w:rPr>
          <w:rFonts w:ascii="Calibri" w:hAnsi="Calibri" w:cs="Calibri"/>
          <w:sz w:val="22"/>
          <w:szCs w:val="22"/>
          <w:lang w:val="ro-RO"/>
        </w:rPr>
      </w:pPr>
      <w:r w:rsidRPr="00834B27">
        <w:rPr>
          <w:rFonts w:ascii="Calibri" w:hAnsi="Calibri" w:cs="Calibri"/>
          <w:sz w:val="22"/>
          <w:szCs w:val="22"/>
          <w:lang w:val="ro-RO"/>
        </w:rPr>
        <w:t xml:space="preserve">Suntem pe deplin conștienți că orice reformă fiscală are și costuri și că transparența cu privire la efectele redistributive este o condiție de legitimitate. Prezentăm explicit, în secțiunile care urmează, potențialele efecte. Anticipăm, de asemenea, obiecțiile principale și le </w:t>
      </w:r>
      <w:r w:rsidR="00555D3C" w:rsidRPr="00834B27">
        <w:rPr>
          <w:rFonts w:ascii="Calibri" w:hAnsi="Calibri" w:cs="Calibri"/>
          <w:sz w:val="22"/>
          <w:szCs w:val="22"/>
          <w:lang w:val="ro-RO"/>
        </w:rPr>
        <w:t xml:space="preserve">abordăm </w:t>
      </w:r>
      <w:r w:rsidRPr="00834B27">
        <w:rPr>
          <w:rFonts w:ascii="Calibri" w:hAnsi="Calibri" w:cs="Calibri"/>
          <w:sz w:val="22"/>
          <w:szCs w:val="22"/>
          <w:lang w:val="ro-RO"/>
        </w:rPr>
        <w:t>cu date și cu precedente internaționale. Convingerea noastră este că un studiu care își recunoaște limitările — inclusiv cele metodologice, derivate din indisponibilitatea unor date pe care doar ANAF le deține — este mai credibil decât unul care le ignoră.</w:t>
      </w:r>
    </w:p>
    <w:p w14:paraId="45918FF6" w14:textId="207DE7E9" w:rsidR="00FA68DC" w:rsidRPr="00834B27" w:rsidRDefault="00FA68DC" w:rsidP="00AA15F6">
      <w:pPr>
        <w:spacing w:line="276" w:lineRule="auto"/>
        <w:jc w:val="both"/>
        <w:rPr>
          <w:rFonts w:ascii="Calibri" w:eastAsia="Calibri" w:hAnsi="Calibri" w:cs="Calibri"/>
          <w:sz w:val="22"/>
          <w:szCs w:val="22"/>
          <w:lang w:val="ro-RO"/>
        </w:rPr>
      </w:pPr>
      <w:r w:rsidRPr="00834B27">
        <w:rPr>
          <w:rFonts w:ascii="Calibri" w:eastAsia="Calibri" w:hAnsi="Calibri" w:cs="Calibri"/>
          <w:sz w:val="22"/>
          <w:szCs w:val="22"/>
          <w:lang w:val="ro-RO"/>
        </w:rPr>
        <w:t>Propunerile din prezentul studiu se înscriu în practica dominantă a Uniunii Europene și a OCDE: plafonarea contribu</w:t>
      </w:r>
      <w:r w:rsidR="00D77C4B" w:rsidRPr="00834B27">
        <w:rPr>
          <w:rFonts w:ascii="Calibri" w:eastAsia="Calibri" w:hAnsi="Calibri" w:cs="Calibri"/>
          <w:sz w:val="22"/>
          <w:szCs w:val="22"/>
          <w:lang w:val="ro-RO"/>
        </w:rPr>
        <w:t>ț</w:t>
      </w:r>
      <w:r w:rsidRPr="00834B27">
        <w:rPr>
          <w:rFonts w:ascii="Calibri" w:eastAsia="Calibri" w:hAnsi="Calibri" w:cs="Calibri"/>
          <w:sz w:val="22"/>
          <w:szCs w:val="22"/>
          <w:lang w:val="ro-RO"/>
        </w:rPr>
        <w:t>iilor sociale (Germania, Fran</w:t>
      </w:r>
      <w:r w:rsidR="00D77C4B" w:rsidRPr="00834B27">
        <w:rPr>
          <w:rFonts w:ascii="Calibri" w:eastAsia="Calibri" w:hAnsi="Calibri" w:cs="Calibri"/>
          <w:sz w:val="22"/>
          <w:szCs w:val="22"/>
          <w:lang w:val="ro-RO"/>
        </w:rPr>
        <w:t>ț</w:t>
      </w:r>
      <w:r w:rsidRPr="00834B27">
        <w:rPr>
          <w:rFonts w:ascii="Calibri" w:eastAsia="Calibri" w:hAnsi="Calibri" w:cs="Calibri"/>
          <w:sz w:val="22"/>
          <w:szCs w:val="22"/>
          <w:lang w:val="ro-RO"/>
        </w:rPr>
        <w:t>a, Cehia</w:t>
      </w:r>
      <w:r w:rsidR="00034349" w:rsidRPr="00834B27">
        <w:rPr>
          <w:rFonts w:ascii="Calibri" w:eastAsia="Calibri" w:hAnsi="Calibri" w:cs="Calibri"/>
          <w:sz w:val="22"/>
          <w:szCs w:val="22"/>
          <w:lang w:val="ro-RO"/>
        </w:rPr>
        <w:t>, Bulgaria</w:t>
      </w:r>
      <w:r w:rsidR="008D2670" w:rsidRPr="00834B27">
        <w:rPr>
          <w:rFonts w:ascii="Calibri" w:eastAsia="Calibri" w:hAnsi="Calibri" w:cs="Calibri"/>
          <w:sz w:val="22"/>
          <w:szCs w:val="22"/>
          <w:lang w:val="ro-RO"/>
        </w:rPr>
        <w:t>, Polonia</w:t>
      </w:r>
      <w:r w:rsidR="000A13BD" w:rsidRPr="00834B27">
        <w:rPr>
          <w:rFonts w:ascii="Calibri" w:eastAsia="Calibri" w:hAnsi="Calibri" w:cs="Calibri"/>
          <w:sz w:val="22"/>
          <w:szCs w:val="22"/>
          <w:lang w:val="ro-RO"/>
        </w:rPr>
        <w:t>, etc</w:t>
      </w:r>
      <w:r w:rsidRPr="00834B27">
        <w:rPr>
          <w:rFonts w:ascii="Calibri" w:eastAsia="Calibri" w:hAnsi="Calibri" w:cs="Calibri"/>
          <w:sz w:val="22"/>
          <w:szCs w:val="22"/>
          <w:lang w:val="ro-RO"/>
        </w:rPr>
        <w:t>), impozitarea la ieșire (ATAD art. 5, confirmat de jurispruden</w:t>
      </w:r>
      <w:r w:rsidR="00D77C4B" w:rsidRPr="00834B27">
        <w:rPr>
          <w:rFonts w:ascii="Calibri" w:eastAsia="Calibri" w:hAnsi="Calibri" w:cs="Calibri"/>
          <w:sz w:val="22"/>
          <w:szCs w:val="22"/>
          <w:lang w:val="ro-RO"/>
        </w:rPr>
        <w:t>ț</w:t>
      </w:r>
      <w:r w:rsidRPr="00834B27">
        <w:rPr>
          <w:rFonts w:ascii="Calibri" w:eastAsia="Calibri" w:hAnsi="Calibri" w:cs="Calibri"/>
          <w:sz w:val="22"/>
          <w:szCs w:val="22"/>
          <w:lang w:val="ro-RO"/>
        </w:rPr>
        <w:t>a CJUE</w:t>
      </w:r>
      <w:r w:rsidRPr="00834B27">
        <w:rPr>
          <w:rStyle w:val="Referinnotdesubsol"/>
          <w:rFonts w:ascii="Calibri" w:eastAsia="Calibri" w:hAnsi="Calibri" w:cs="Calibri"/>
          <w:sz w:val="22"/>
          <w:szCs w:val="22"/>
          <w:lang w:val="ro-RO"/>
        </w:rPr>
        <w:footnoteReference w:id="2"/>
      </w:r>
      <w:r w:rsidRPr="00834B27">
        <w:rPr>
          <w:rFonts w:ascii="Calibri" w:eastAsia="Calibri" w:hAnsi="Calibri" w:cs="Calibri"/>
          <w:sz w:val="22"/>
          <w:szCs w:val="22"/>
          <w:lang w:val="ro-RO"/>
        </w:rPr>
        <w:t>), regulile CFC (</w:t>
      </w:r>
      <w:r w:rsidR="00C81AB5" w:rsidRPr="00834B27">
        <w:rPr>
          <w:rFonts w:ascii="Calibri" w:eastAsia="Calibri" w:hAnsi="Calibri" w:cs="Calibri"/>
          <w:sz w:val="22"/>
          <w:szCs w:val="22"/>
          <w:lang w:val="ro-RO"/>
        </w:rPr>
        <w:t xml:space="preserve">instrumente standard în UE (minim pentru persoane </w:t>
      </w:r>
      <w:r w:rsidR="00C81AB5" w:rsidRPr="00834B27">
        <w:rPr>
          <w:rFonts w:ascii="Calibri" w:eastAsia="Calibri" w:hAnsi="Calibri" w:cs="Calibri"/>
          <w:sz w:val="22"/>
          <w:szCs w:val="22"/>
          <w:lang w:val="ro-RO"/>
        </w:rPr>
        <w:lastRenderedPageBreak/>
        <w:t>juridice), cu precedente și pentru persoane fizice în unele state</w:t>
      </w:r>
      <w:r w:rsidRPr="00834B27">
        <w:rPr>
          <w:rFonts w:ascii="Calibri" w:eastAsia="Calibri" w:hAnsi="Calibri" w:cs="Calibri"/>
          <w:sz w:val="22"/>
          <w:szCs w:val="22"/>
          <w:lang w:val="ro-RO"/>
        </w:rPr>
        <w:t>), transparen</w:t>
      </w:r>
      <w:r w:rsidR="00D77C4B" w:rsidRPr="00834B27">
        <w:rPr>
          <w:rFonts w:ascii="Calibri" w:eastAsia="Calibri" w:hAnsi="Calibri" w:cs="Calibri"/>
          <w:sz w:val="22"/>
          <w:szCs w:val="22"/>
          <w:lang w:val="ro-RO"/>
        </w:rPr>
        <w:t>ț</w:t>
      </w:r>
      <w:r w:rsidRPr="00834B27">
        <w:rPr>
          <w:rFonts w:ascii="Calibri" w:eastAsia="Calibri" w:hAnsi="Calibri" w:cs="Calibri"/>
          <w:sz w:val="22"/>
          <w:szCs w:val="22"/>
          <w:lang w:val="ro-RO"/>
        </w:rPr>
        <w:t>a fiscală digitală (DAC7, DAC8, CARF), tratamentul simetric al câștigurilor și pierderilor de capital. România nu trebuie să inventeze solu</w:t>
      </w:r>
      <w:r w:rsidR="00D77C4B" w:rsidRPr="00834B27">
        <w:rPr>
          <w:rFonts w:ascii="Calibri" w:eastAsia="Calibri" w:hAnsi="Calibri" w:cs="Calibri"/>
          <w:sz w:val="22"/>
          <w:szCs w:val="22"/>
          <w:lang w:val="ro-RO"/>
        </w:rPr>
        <w:t>ț</w:t>
      </w:r>
      <w:r w:rsidRPr="00834B27">
        <w:rPr>
          <w:rFonts w:ascii="Calibri" w:eastAsia="Calibri" w:hAnsi="Calibri" w:cs="Calibri"/>
          <w:sz w:val="22"/>
          <w:szCs w:val="22"/>
          <w:lang w:val="ro-RO"/>
        </w:rPr>
        <w:t>ii noi — trebuie să le adopte pe cele care func</w:t>
      </w:r>
      <w:r w:rsidR="00D77C4B" w:rsidRPr="00834B27">
        <w:rPr>
          <w:rFonts w:ascii="Calibri" w:eastAsia="Calibri" w:hAnsi="Calibri" w:cs="Calibri"/>
          <w:sz w:val="22"/>
          <w:szCs w:val="22"/>
          <w:lang w:val="ro-RO"/>
        </w:rPr>
        <w:t>ț</w:t>
      </w:r>
      <w:r w:rsidRPr="00834B27">
        <w:rPr>
          <w:rFonts w:ascii="Calibri" w:eastAsia="Calibri" w:hAnsi="Calibri" w:cs="Calibri"/>
          <w:sz w:val="22"/>
          <w:szCs w:val="22"/>
          <w:lang w:val="ro-RO"/>
        </w:rPr>
        <w:t>ionează deja și să le adapteze la realită</w:t>
      </w:r>
      <w:r w:rsidR="00D77C4B" w:rsidRPr="00834B27">
        <w:rPr>
          <w:rFonts w:ascii="Calibri" w:eastAsia="Calibri" w:hAnsi="Calibri" w:cs="Calibri"/>
          <w:sz w:val="22"/>
          <w:szCs w:val="22"/>
          <w:lang w:val="ro-RO"/>
        </w:rPr>
        <w:t>ț</w:t>
      </w:r>
      <w:r w:rsidRPr="00834B27">
        <w:rPr>
          <w:rFonts w:ascii="Calibri" w:eastAsia="Calibri" w:hAnsi="Calibri" w:cs="Calibri"/>
          <w:sz w:val="22"/>
          <w:szCs w:val="22"/>
          <w:lang w:val="ro-RO"/>
        </w:rPr>
        <w:t>ile proprii.</w:t>
      </w:r>
    </w:p>
    <w:p w14:paraId="344F0E1A" w14:textId="19368680" w:rsidR="002E355D" w:rsidRPr="00834B27" w:rsidRDefault="00CA098E" w:rsidP="00AA15F6">
      <w:pPr>
        <w:pStyle w:val="NormalWeb"/>
        <w:spacing w:line="276" w:lineRule="auto"/>
        <w:jc w:val="both"/>
        <w:rPr>
          <w:rFonts w:ascii="Calibri" w:hAnsi="Calibri" w:cs="Calibri"/>
          <w:sz w:val="22"/>
          <w:szCs w:val="22"/>
          <w:lang w:val="ro-RO"/>
        </w:rPr>
      </w:pPr>
      <w:r w:rsidRPr="00834B27">
        <w:rPr>
          <w:rFonts w:ascii="Calibri" w:hAnsi="Calibri" w:cs="Calibri"/>
          <w:sz w:val="22"/>
          <w:szCs w:val="22"/>
          <w:lang w:val="ro-RO"/>
        </w:rPr>
        <w:t>Studiul este structurat în două capitole</w:t>
      </w:r>
      <w:r w:rsidR="002E355D" w:rsidRPr="00834B27">
        <w:rPr>
          <w:rFonts w:ascii="Calibri" w:hAnsi="Calibri" w:cs="Calibri"/>
          <w:sz w:val="22"/>
          <w:szCs w:val="22"/>
          <w:lang w:val="ro-RO"/>
        </w:rPr>
        <w:t>:</w:t>
      </w:r>
    </w:p>
    <w:p w14:paraId="2AB451D8" w14:textId="5BD2A075" w:rsidR="002E355D" w:rsidRPr="00834B27" w:rsidRDefault="00CA098E" w:rsidP="00474A05">
      <w:pPr>
        <w:pStyle w:val="NormalWeb"/>
        <w:numPr>
          <w:ilvl w:val="0"/>
          <w:numId w:val="63"/>
        </w:numPr>
        <w:spacing w:line="276" w:lineRule="auto"/>
        <w:jc w:val="both"/>
        <w:rPr>
          <w:rFonts w:ascii="Calibri" w:hAnsi="Calibri" w:cs="Calibri"/>
          <w:sz w:val="22"/>
          <w:szCs w:val="22"/>
          <w:lang w:val="ro-RO"/>
        </w:rPr>
      </w:pPr>
      <w:r w:rsidRPr="00834B27">
        <w:rPr>
          <w:rFonts w:ascii="Calibri" w:hAnsi="Calibri" w:cs="Calibri"/>
          <w:sz w:val="22"/>
          <w:szCs w:val="22"/>
          <w:lang w:val="ro-RO"/>
        </w:rPr>
        <w:t>Capitolul 1 documentează situația actuală a impozitării veniturilor persoanelor fizice — cu toate fragmentările, inconsistențele și consecințele acestora</w:t>
      </w:r>
      <w:r w:rsidR="002E355D" w:rsidRPr="00834B27">
        <w:rPr>
          <w:rFonts w:ascii="Calibri" w:hAnsi="Calibri" w:cs="Calibri"/>
          <w:sz w:val="22"/>
          <w:szCs w:val="22"/>
          <w:lang w:val="ro-RO"/>
        </w:rPr>
        <w:t>;</w:t>
      </w:r>
      <w:r w:rsidRPr="00834B27">
        <w:rPr>
          <w:rFonts w:ascii="Calibri" w:hAnsi="Calibri" w:cs="Calibri"/>
          <w:sz w:val="22"/>
          <w:szCs w:val="22"/>
          <w:lang w:val="ro-RO"/>
        </w:rPr>
        <w:t xml:space="preserve"> </w:t>
      </w:r>
    </w:p>
    <w:p w14:paraId="79CB8401" w14:textId="77777777" w:rsidR="00A92410" w:rsidRPr="00834B27" w:rsidRDefault="00CA098E" w:rsidP="00A92410">
      <w:pPr>
        <w:pStyle w:val="NormalWeb"/>
        <w:numPr>
          <w:ilvl w:val="0"/>
          <w:numId w:val="63"/>
        </w:numPr>
        <w:spacing w:line="276" w:lineRule="auto"/>
        <w:jc w:val="both"/>
        <w:rPr>
          <w:rFonts w:ascii="Calibri" w:hAnsi="Calibri" w:cs="Calibri"/>
          <w:sz w:val="22"/>
          <w:szCs w:val="22"/>
          <w:lang w:val="ro-RO"/>
        </w:rPr>
      </w:pPr>
      <w:r w:rsidRPr="00834B27">
        <w:rPr>
          <w:rFonts w:ascii="Calibri" w:hAnsi="Calibri" w:cs="Calibri"/>
          <w:sz w:val="22"/>
          <w:szCs w:val="22"/>
          <w:lang w:val="ro-RO"/>
        </w:rPr>
        <w:t xml:space="preserve">Capitolul 2 prezintă scenariile de reformă, fundamentate pe date, pe experiența internațională și pe un calcul de impact bugetar realist. </w:t>
      </w:r>
    </w:p>
    <w:p w14:paraId="30436939" w14:textId="33E881E2" w:rsidR="00CA098E" w:rsidRPr="00834B27" w:rsidRDefault="00CA098E" w:rsidP="00A92410">
      <w:pPr>
        <w:pStyle w:val="NormalWeb"/>
        <w:spacing w:line="276" w:lineRule="auto"/>
        <w:jc w:val="both"/>
        <w:rPr>
          <w:rFonts w:ascii="Calibri" w:hAnsi="Calibri" w:cs="Calibri"/>
          <w:sz w:val="22"/>
          <w:szCs w:val="22"/>
          <w:lang w:val="ro-RO"/>
        </w:rPr>
      </w:pPr>
      <w:r w:rsidRPr="00834B27">
        <w:rPr>
          <w:rFonts w:ascii="Calibri" w:hAnsi="Calibri" w:cs="Calibri"/>
          <w:sz w:val="22"/>
          <w:szCs w:val="22"/>
          <w:lang w:val="ro-RO"/>
        </w:rPr>
        <w:t>Analiza de impact este statică — presupune că actualul comportament al contribuabililor rămâne neschimbat. În practică, reformele fiscale influențează în mod inevitabil comportamentul economic al contribuabililor, inclusiv gradul de conformare voluntară. Din acest motiv, estimările prezentate trebuie interpretate ca evaluări prudente ale impactului fiscal, care pot supraestima costurile reformei și subestima potențialele venituri suplimentare generate de creșterea conformării. Aceasta este o limitare metodologică inerentă, pe care o recunoaștem și care trebuie reținută la lectura și interpretarea cifrelor. De asemenea, disponibilitatea limitată a unor date detaliate privind distribuția veniturilor pentru anumite categorii de contribuabili a impus utilizarea unor aproximări metodologice, explicate în anexele studiului, convingerea noastră fiind că transparența față de ceea ce nu știm este la fel de importantă ca rigoarea față de ceea ce știm.</w:t>
      </w:r>
    </w:p>
    <w:p w14:paraId="7C466B0D" w14:textId="77777777" w:rsidR="00CA098E" w:rsidRPr="00834B27" w:rsidRDefault="00CA098E" w:rsidP="00AA15F6">
      <w:pPr>
        <w:pStyle w:val="font-claude-response-body"/>
        <w:spacing w:line="276" w:lineRule="auto"/>
        <w:jc w:val="both"/>
        <w:rPr>
          <w:rFonts w:ascii="Calibri" w:hAnsi="Calibri" w:cs="Calibri"/>
          <w:sz w:val="22"/>
          <w:szCs w:val="22"/>
          <w:lang w:val="ro-RO"/>
        </w:rPr>
      </w:pPr>
      <w:r w:rsidRPr="00834B27">
        <w:rPr>
          <w:rFonts w:ascii="Calibri" w:hAnsi="Calibri" w:cs="Calibri"/>
          <w:b/>
          <w:bCs/>
          <w:sz w:val="22"/>
          <w:szCs w:val="22"/>
          <w:lang w:val="ro-RO"/>
        </w:rPr>
        <w:t xml:space="preserve">Propunerile din prezentul studiu sunt fundamentate pe un set de principii directoare </w:t>
      </w:r>
      <w:r w:rsidRPr="00834B27">
        <w:rPr>
          <w:rFonts w:ascii="Calibri" w:hAnsi="Calibri" w:cs="Calibri"/>
          <w:sz w:val="22"/>
          <w:szCs w:val="22"/>
          <w:lang w:val="ro-RO"/>
        </w:rPr>
        <w:t>care reflectă bunele practici internaționale în domeniul politicii fiscale și</w:t>
      </w:r>
      <w:r w:rsidRPr="00834B27">
        <w:rPr>
          <w:rFonts w:ascii="Calibri" w:hAnsi="Calibri" w:cs="Calibri"/>
          <w:b/>
          <w:bCs/>
          <w:sz w:val="22"/>
          <w:szCs w:val="22"/>
          <w:lang w:val="ro-RO"/>
        </w:rPr>
        <w:t xml:space="preserve"> pe care le expunem în continuare. Acestea constituie cadrul </w:t>
      </w:r>
      <w:r w:rsidRPr="00834B27">
        <w:rPr>
          <w:rFonts w:ascii="Calibri" w:hAnsi="Calibri" w:cs="Calibri"/>
          <w:sz w:val="22"/>
          <w:szCs w:val="22"/>
          <w:lang w:val="ro-RO"/>
        </w:rPr>
        <w:t>analitic în baza căruia sunt evaluate diferitele opțiuni de reformă și impactul acestora asupra veniturilor bugetare, asupra distribuției sarcinii fiscale și asupra sustenabilității sistemelor de protecție socială.</w:t>
      </w:r>
    </w:p>
    <w:p w14:paraId="09D0E582" w14:textId="10AA7102" w:rsidR="00CA098E" w:rsidRPr="00834B27" w:rsidRDefault="00CA098E" w:rsidP="00AA15F6">
      <w:pPr>
        <w:pStyle w:val="font-claude-response-body"/>
        <w:spacing w:line="276" w:lineRule="auto"/>
        <w:jc w:val="both"/>
        <w:rPr>
          <w:rFonts w:ascii="Calibri" w:hAnsi="Calibri" w:cs="Calibri"/>
          <w:b/>
          <w:bCs/>
          <w:sz w:val="22"/>
          <w:szCs w:val="22"/>
          <w:lang w:val="ro-RO"/>
        </w:rPr>
      </w:pPr>
      <w:r w:rsidRPr="00834B27">
        <w:rPr>
          <w:rFonts w:ascii="Calibri" w:hAnsi="Calibri" w:cs="Calibri"/>
          <w:b/>
          <w:bCs/>
          <w:sz w:val="22"/>
          <w:szCs w:val="22"/>
          <w:lang w:val="ro-RO"/>
        </w:rPr>
        <w:t>Principii directoare</w:t>
      </w:r>
      <w:r w:rsidR="00BE22B5" w:rsidRPr="00834B27">
        <w:rPr>
          <w:rFonts w:ascii="Calibri" w:hAnsi="Calibri" w:cs="Calibri"/>
          <w:b/>
          <w:bCs/>
          <w:sz w:val="22"/>
          <w:szCs w:val="22"/>
          <w:lang w:val="ro-RO"/>
        </w:rPr>
        <w:t xml:space="preserve">: </w:t>
      </w:r>
      <w:r w:rsidRPr="00834B27">
        <w:rPr>
          <w:rFonts w:ascii="Calibri" w:hAnsi="Calibri" w:cs="Calibri"/>
          <w:i/>
          <w:iCs/>
          <w:sz w:val="22"/>
          <w:szCs w:val="22"/>
          <w:lang w:val="ro-RO"/>
        </w:rPr>
        <w:t>Cadrul analitic —</w:t>
      </w:r>
      <w:r w:rsidR="00BE22B5" w:rsidRPr="00834B27">
        <w:rPr>
          <w:rFonts w:ascii="Calibri" w:hAnsi="Calibri" w:cs="Calibri"/>
          <w:i/>
          <w:iCs/>
          <w:sz w:val="22"/>
          <w:szCs w:val="22"/>
          <w:lang w:val="ro-RO"/>
        </w:rPr>
        <w:t>a</w:t>
      </w:r>
      <w:r w:rsidRPr="00834B27">
        <w:rPr>
          <w:rFonts w:ascii="Calibri" w:hAnsi="Calibri" w:cs="Calibri"/>
          <w:i/>
          <w:iCs/>
          <w:sz w:val="22"/>
          <w:szCs w:val="22"/>
          <w:lang w:val="ro-RO"/>
        </w:rPr>
        <w:t>xiome de lucru:</w:t>
      </w:r>
    </w:p>
    <w:p w14:paraId="2E015E21" w14:textId="1C4628DA" w:rsidR="00CA098E" w:rsidRPr="00834B27" w:rsidRDefault="00CA098E" w:rsidP="00AA15F6">
      <w:pPr>
        <w:pStyle w:val="Listparagraf"/>
        <w:numPr>
          <w:ilvl w:val="0"/>
          <w:numId w:val="62"/>
        </w:numPr>
        <w:spacing w:before="100" w:beforeAutospacing="1" w:after="100" w:afterAutospacing="1" w:line="276" w:lineRule="auto"/>
        <w:jc w:val="both"/>
        <w:rPr>
          <w:rFonts w:ascii="Calibri" w:eastAsia="Times New Roman" w:hAnsi="Calibri" w:cs="Calibri"/>
          <w:kern w:val="0"/>
          <w:sz w:val="22"/>
          <w:szCs w:val="22"/>
          <w:lang w:val="ro-RO"/>
          <w14:ligatures w14:val="none"/>
        </w:rPr>
      </w:pPr>
      <w:r w:rsidRPr="00834B27">
        <w:rPr>
          <w:rFonts w:ascii="Calibri" w:eastAsia="Times New Roman" w:hAnsi="Calibri" w:cs="Calibri"/>
          <w:b/>
          <w:bCs/>
          <w:kern w:val="0"/>
          <w:sz w:val="22"/>
          <w:szCs w:val="22"/>
          <w:lang w:val="ro-RO"/>
          <w14:ligatures w14:val="none"/>
        </w:rPr>
        <w:t xml:space="preserve">Echitatea orizontală nu este negociabilă: sarcina fiscală trebuie să depindă de cât câștigă un contribuabil, </w:t>
      </w:r>
      <w:r w:rsidR="00240162" w:rsidRPr="00834B27">
        <w:rPr>
          <w:rFonts w:ascii="Calibri" w:eastAsia="Times New Roman" w:hAnsi="Calibri" w:cs="Calibri"/>
          <w:b/>
          <w:bCs/>
          <w:kern w:val="0"/>
          <w:sz w:val="22"/>
          <w:szCs w:val="22"/>
          <w:lang w:val="ro-RO"/>
          <w14:ligatures w14:val="none"/>
        </w:rPr>
        <w:t xml:space="preserve">nu de </w:t>
      </w:r>
      <w:r w:rsidR="00B94AD1" w:rsidRPr="00834B27">
        <w:rPr>
          <w:rFonts w:ascii="Calibri" w:eastAsia="Times New Roman" w:hAnsi="Calibri" w:cs="Calibri"/>
          <w:b/>
          <w:bCs/>
          <w:kern w:val="0"/>
          <w:sz w:val="22"/>
          <w:szCs w:val="22"/>
          <w:lang w:val="ro-RO"/>
          <w14:ligatures w14:val="none"/>
        </w:rPr>
        <w:t>natura economică</w:t>
      </w:r>
      <w:r w:rsidR="00240162" w:rsidRPr="00834B27">
        <w:rPr>
          <w:rFonts w:ascii="Calibri" w:eastAsia="Times New Roman" w:hAnsi="Calibri" w:cs="Calibri"/>
          <w:b/>
          <w:bCs/>
          <w:kern w:val="0"/>
          <w:sz w:val="22"/>
          <w:szCs w:val="22"/>
          <w:lang w:val="ro-RO"/>
          <w14:ligatures w14:val="none"/>
        </w:rPr>
        <w:t xml:space="preserve"> sau</w:t>
      </w:r>
      <w:r w:rsidRPr="00834B27">
        <w:rPr>
          <w:rFonts w:ascii="Calibri" w:eastAsia="Times New Roman" w:hAnsi="Calibri" w:cs="Calibri"/>
          <w:b/>
          <w:bCs/>
          <w:kern w:val="0"/>
          <w:sz w:val="22"/>
          <w:szCs w:val="22"/>
          <w:lang w:val="ro-RO"/>
          <w14:ligatures w14:val="none"/>
        </w:rPr>
        <w:t xml:space="preserve"> de forma juridică prin care își câștigă venitul.</w:t>
      </w:r>
      <w:r w:rsidRPr="00834B27">
        <w:rPr>
          <w:rFonts w:ascii="Calibri" w:eastAsia="Times New Roman" w:hAnsi="Calibri" w:cs="Calibri"/>
          <w:kern w:val="0"/>
          <w:sz w:val="22"/>
          <w:szCs w:val="22"/>
          <w:lang w:val="ro-RO"/>
          <w14:ligatures w14:val="none"/>
        </w:rPr>
        <w:t xml:space="preserve"> </w:t>
      </w:r>
    </w:p>
    <w:p w14:paraId="0584F0C8" w14:textId="77777777" w:rsidR="00CA098E" w:rsidRPr="00834B27" w:rsidRDefault="00CA098E" w:rsidP="00AA15F6">
      <w:pPr>
        <w:pStyle w:val="Listparagraf"/>
        <w:numPr>
          <w:ilvl w:val="0"/>
          <w:numId w:val="62"/>
        </w:numPr>
        <w:spacing w:before="100" w:beforeAutospacing="1" w:after="100" w:afterAutospacing="1" w:line="276" w:lineRule="auto"/>
        <w:jc w:val="both"/>
        <w:rPr>
          <w:rFonts w:ascii="Calibri" w:eastAsia="Times New Roman" w:hAnsi="Calibri" w:cs="Calibri"/>
          <w:b/>
          <w:bCs/>
          <w:kern w:val="0"/>
          <w:sz w:val="22"/>
          <w:szCs w:val="22"/>
          <w:lang w:val="ro-RO"/>
          <w14:ligatures w14:val="none"/>
        </w:rPr>
      </w:pPr>
      <w:r w:rsidRPr="00834B27">
        <w:rPr>
          <w:rFonts w:ascii="Calibri" w:eastAsia="Times New Roman" w:hAnsi="Calibri" w:cs="Calibri"/>
          <w:b/>
          <w:bCs/>
          <w:kern w:val="0"/>
          <w:sz w:val="22"/>
          <w:szCs w:val="22"/>
          <w:lang w:val="ro-RO"/>
          <w14:ligatures w14:val="none"/>
        </w:rPr>
        <w:t>Un sistem fiscal care permite arbitraj este un sistem fiscal care se subvenționează pe sine însuși să eșueze</w:t>
      </w:r>
    </w:p>
    <w:p w14:paraId="5815E57F" w14:textId="5A684817" w:rsidR="00CA098E" w:rsidRPr="00834B27" w:rsidRDefault="00CA098E" w:rsidP="00AA15F6">
      <w:pPr>
        <w:pStyle w:val="Listparagraf"/>
        <w:numPr>
          <w:ilvl w:val="0"/>
          <w:numId w:val="62"/>
        </w:numPr>
        <w:spacing w:before="100" w:beforeAutospacing="1" w:after="100" w:afterAutospacing="1" w:line="276" w:lineRule="auto"/>
        <w:ind w:left="900" w:hanging="450"/>
        <w:jc w:val="both"/>
        <w:rPr>
          <w:rFonts w:ascii="Calibri" w:eastAsia="Times New Roman" w:hAnsi="Calibri" w:cs="Calibri"/>
          <w:kern w:val="0"/>
          <w:sz w:val="22"/>
          <w:szCs w:val="22"/>
          <w:lang w:val="ro-RO"/>
          <w14:ligatures w14:val="none"/>
        </w:rPr>
      </w:pPr>
      <w:r w:rsidRPr="00834B27">
        <w:rPr>
          <w:rFonts w:ascii="Calibri" w:eastAsia="Times New Roman" w:hAnsi="Calibri" w:cs="Calibri"/>
          <w:b/>
          <w:bCs/>
          <w:kern w:val="0"/>
          <w:sz w:val="22"/>
          <w:szCs w:val="22"/>
          <w:lang w:val="ro-RO"/>
          <w14:ligatures w14:val="none"/>
        </w:rPr>
        <w:t xml:space="preserve">Complexitatea fiscală este, în practică, o subvenție pentru planificarea fiscală agresivă și o penalizare pentru contribuabilii </w:t>
      </w:r>
      <w:r w:rsidR="00034349" w:rsidRPr="00834B27">
        <w:rPr>
          <w:rFonts w:ascii="Calibri" w:eastAsia="Times New Roman" w:hAnsi="Calibri" w:cs="Calibri"/>
          <w:b/>
          <w:bCs/>
          <w:kern w:val="0"/>
          <w:sz w:val="22"/>
          <w:szCs w:val="22"/>
          <w:lang w:val="ro-RO"/>
          <w14:ligatures w14:val="none"/>
        </w:rPr>
        <w:t>mai putin sofisticati</w:t>
      </w:r>
      <w:r w:rsidR="00A92410" w:rsidRPr="00834B27">
        <w:rPr>
          <w:rFonts w:ascii="Calibri" w:eastAsia="Times New Roman" w:hAnsi="Calibri" w:cs="Calibri"/>
          <w:b/>
          <w:bCs/>
          <w:kern w:val="0"/>
          <w:sz w:val="22"/>
          <w:szCs w:val="22"/>
          <w:lang w:val="ro-RO"/>
          <w14:ligatures w14:val="none"/>
        </w:rPr>
        <w:t xml:space="preserve">, </w:t>
      </w:r>
      <w:r w:rsidR="00345A90" w:rsidRPr="00834B27">
        <w:rPr>
          <w:rFonts w:ascii="Calibri" w:eastAsia="Times New Roman" w:hAnsi="Calibri" w:cs="Calibri"/>
          <w:b/>
          <w:bCs/>
          <w:kern w:val="0"/>
          <w:sz w:val="22"/>
          <w:szCs w:val="22"/>
          <w:lang w:val="ro-RO"/>
          <w14:ligatures w14:val="none"/>
        </w:rPr>
        <w:t>în special contribuabilii care obțin în principal venituri din salarii</w:t>
      </w:r>
      <w:r w:rsidRPr="00834B27">
        <w:rPr>
          <w:rFonts w:ascii="Calibri" w:eastAsia="Times New Roman" w:hAnsi="Calibri" w:cs="Calibri"/>
          <w:b/>
          <w:bCs/>
          <w:kern w:val="0"/>
          <w:sz w:val="22"/>
          <w:szCs w:val="22"/>
          <w:lang w:val="ro-RO"/>
          <w14:ligatures w14:val="none"/>
        </w:rPr>
        <w:t xml:space="preserve">. Costurile de administrare ale unui sistem fiscal complex sunt suportate atât de stat, cât și de contribuabili. </w:t>
      </w:r>
    </w:p>
    <w:p w14:paraId="5B1225DB" w14:textId="77777777" w:rsidR="00CA098E" w:rsidRPr="00834B27" w:rsidRDefault="00CA098E" w:rsidP="00AA15F6">
      <w:pPr>
        <w:pStyle w:val="Listparagraf"/>
        <w:numPr>
          <w:ilvl w:val="0"/>
          <w:numId w:val="62"/>
        </w:numPr>
        <w:spacing w:before="100" w:beforeAutospacing="1" w:after="100" w:afterAutospacing="1" w:line="276" w:lineRule="auto"/>
        <w:jc w:val="both"/>
        <w:rPr>
          <w:rFonts w:ascii="Calibri" w:eastAsia="Times New Roman" w:hAnsi="Calibri" w:cs="Calibri"/>
          <w:b/>
          <w:bCs/>
          <w:kern w:val="0"/>
          <w:sz w:val="22"/>
          <w:szCs w:val="22"/>
          <w:lang w:val="ro-RO"/>
          <w14:ligatures w14:val="none"/>
        </w:rPr>
      </w:pPr>
      <w:r w:rsidRPr="00834B27">
        <w:rPr>
          <w:rFonts w:ascii="Calibri" w:eastAsia="Times New Roman" w:hAnsi="Calibri" w:cs="Calibri"/>
          <w:b/>
          <w:bCs/>
          <w:kern w:val="0"/>
          <w:sz w:val="22"/>
          <w:szCs w:val="22"/>
          <w:lang w:val="ro-RO"/>
          <w14:ligatures w14:val="none"/>
        </w:rPr>
        <w:t>Lărgirea bazei de impozitare este, în mod sistematic, mai eficientă decât creșterea cotelor de impozitare.</w:t>
      </w:r>
    </w:p>
    <w:p w14:paraId="624331E6" w14:textId="2D9E25D8" w:rsidR="00CA098E" w:rsidRPr="00834B27" w:rsidRDefault="00CA098E" w:rsidP="00AA15F6">
      <w:pPr>
        <w:pStyle w:val="Listparagraf"/>
        <w:numPr>
          <w:ilvl w:val="0"/>
          <w:numId w:val="62"/>
        </w:numPr>
        <w:spacing w:before="100" w:beforeAutospacing="1" w:after="100" w:afterAutospacing="1" w:line="276" w:lineRule="auto"/>
        <w:jc w:val="both"/>
        <w:rPr>
          <w:rFonts w:ascii="Calibri" w:eastAsia="Times New Roman" w:hAnsi="Calibri" w:cs="Calibri"/>
          <w:b/>
          <w:bCs/>
          <w:kern w:val="0"/>
          <w:sz w:val="22"/>
          <w:szCs w:val="22"/>
          <w:lang w:val="ro-RO"/>
          <w14:ligatures w14:val="none"/>
        </w:rPr>
      </w:pPr>
      <w:r w:rsidRPr="00834B27">
        <w:rPr>
          <w:rFonts w:ascii="Calibri" w:eastAsia="Times New Roman" w:hAnsi="Calibri" w:cs="Calibri"/>
          <w:b/>
          <w:bCs/>
          <w:kern w:val="0"/>
          <w:sz w:val="22"/>
          <w:szCs w:val="22"/>
          <w:lang w:val="ro-RO"/>
          <w14:ligatures w14:val="none"/>
        </w:rPr>
        <w:t xml:space="preserve">Propunerile de reformă nu reduc veniturile bugetare </w:t>
      </w:r>
      <w:r w:rsidR="00D1647E" w:rsidRPr="00834B27">
        <w:rPr>
          <w:rFonts w:ascii="Calibri" w:eastAsia="Times New Roman" w:hAnsi="Calibri" w:cs="Calibri"/>
          <w:b/>
          <w:bCs/>
          <w:kern w:val="0"/>
          <w:sz w:val="22"/>
          <w:szCs w:val="22"/>
          <w:lang w:val="ro-RO"/>
          <w14:ligatures w14:val="none"/>
        </w:rPr>
        <w:t>–</w:t>
      </w:r>
      <w:r w:rsidRPr="00834B27">
        <w:rPr>
          <w:rFonts w:ascii="Calibri" w:eastAsia="Times New Roman" w:hAnsi="Calibri" w:cs="Calibri"/>
          <w:b/>
          <w:bCs/>
          <w:kern w:val="0"/>
          <w:sz w:val="22"/>
          <w:szCs w:val="22"/>
          <w:lang w:val="ro-RO"/>
          <w14:ligatures w14:val="none"/>
        </w:rPr>
        <w:t xml:space="preserve"> </w:t>
      </w:r>
      <w:r w:rsidR="00D1647E" w:rsidRPr="00834B27">
        <w:rPr>
          <w:rFonts w:ascii="Calibri" w:eastAsia="Times New Roman" w:hAnsi="Calibri" w:cs="Calibri"/>
          <w:b/>
          <w:bCs/>
          <w:kern w:val="0"/>
          <w:sz w:val="22"/>
          <w:szCs w:val="22"/>
          <w:lang w:val="ro-RO"/>
          <w14:ligatures w14:val="none"/>
        </w:rPr>
        <w:t xml:space="preserve">reducerea bazei de calcul al CAS, CASS la salarii este compensată </w:t>
      </w:r>
      <w:r w:rsidR="00957582" w:rsidRPr="00834B27">
        <w:rPr>
          <w:rFonts w:ascii="Calibri" w:eastAsia="Times New Roman" w:hAnsi="Calibri" w:cs="Calibri"/>
          <w:b/>
          <w:bCs/>
          <w:kern w:val="0"/>
          <w:sz w:val="22"/>
          <w:szCs w:val="22"/>
          <w:lang w:val="ro-RO"/>
          <w14:ligatures w14:val="none"/>
        </w:rPr>
        <w:t>de lărgirea</w:t>
      </w:r>
      <w:r w:rsidR="00D1647E" w:rsidRPr="00834B27">
        <w:rPr>
          <w:rFonts w:ascii="Calibri" w:eastAsia="Times New Roman" w:hAnsi="Calibri" w:cs="Calibri"/>
          <w:b/>
          <w:bCs/>
          <w:kern w:val="0"/>
          <w:sz w:val="22"/>
          <w:szCs w:val="22"/>
          <w:lang w:val="ro-RO"/>
          <w14:ligatures w14:val="none"/>
        </w:rPr>
        <w:t xml:space="preserve"> bazei  la</w:t>
      </w:r>
      <w:r w:rsidRPr="00834B27">
        <w:rPr>
          <w:rFonts w:ascii="Calibri" w:eastAsia="Times New Roman" w:hAnsi="Calibri" w:cs="Calibri"/>
          <w:b/>
          <w:bCs/>
          <w:kern w:val="0"/>
          <w:sz w:val="22"/>
          <w:szCs w:val="22"/>
          <w:lang w:val="ro-RO"/>
          <w14:ligatures w14:val="none"/>
        </w:rPr>
        <w:t xml:space="preserve"> </w:t>
      </w:r>
      <w:r w:rsidR="00D1647E" w:rsidRPr="00834B27">
        <w:rPr>
          <w:rFonts w:ascii="Calibri" w:eastAsia="Times New Roman" w:hAnsi="Calibri" w:cs="Calibri"/>
          <w:b/>
          <w:bCs/>
          <w:kern w:val="0"/>
          <w:sz w:val="22"/>
          <w:szCs w:val="22"/>
          <w:lang w:val="ro-RO"/>
          <w14:ligatures w14:val="none"/>
        </w:rPr>
        <w:t>celelalte categorii de venituri.</w:t>
      </w:r>
      <w:r w:rsidRPr="00834B27">
        <w:rPr>
          <w:rFonts w:ascii="Calibri" w:eastAsia="Times New Roman" w:hAnsi="Calibri" w:cs="Calibri"/>
          <w:b/>
          <w:bCs/>
          <w:kern w:val="0"/>
          <w:sz w:val="22"/>
          <w:szCs w:val="22"/>
          <w:lang w:val="ro-RO"/>
          <w14:ligatures w14:val="none"/>
        </w:rPr>
        <w:t xml:space="preserve"> </w:t>
      </w:r>
    </w:p>
    <w:p w14:paraId="46DE419C" w14:textId="141E7471" w:rsidR="00CA098E" w:rsidRPr="00834B27" w:rsidRDefault="00D1647E" w:rsidP="00AA15F6">
      <w:pPr>
        <w:pStyle w:val="Listparagraf"/>
        <w:numPr>
          <w:ilvl w:val="0"/>
          <w:numId w:val="62"/>
        </w:numPr>
        <w:spacing w:before="100" w:beforeAutospacing="1" w:after="100" w:afterAutospacing="1" w:line="276" w:lineRule="auto"/>
        <w:ind w:left="900" w:hanging="450"/>
        <w:jc w:val="both"/>
        <w:rPr>
          <w:rFonts w:ascii="Calibri" w:eastAsia="Times New Roman" w:hAnsi="Calibri" w:cs="Calibri"/>
          <w:b/>
          <w:bCs/>
          <w:kern w:val="0"/>
          <w:sz w:val="22"/>
          <w:szCs w:val="22"/>
          <w:lang w:val="ro-RO"/>
          <w14:ligatures w14:val="none"/>
        </w:rPr>
      </w:pPr>
      <w:r w:rsidRPr="00834B27">
        <w:rPr>
          <w:rFonts w:ascii="Calibri" w:eastAsia="Times New Roman" w:hAnsi="Calibri" w:cs="Calibri"/>
          <w:b/>
          <w:bCs/>
          <w:kern w:val="0"/>
          <w:sz w:val="22"/>
          <w:szCs w:val="22"/>
          <w:lang w:val="ro-RO"/>
          <w14:ligatures w14:val="none"/>
        </w:rPr>
        <w:lastRenderedPageBreak/>
        <w:t xml:space="preserve">Baza de calcul al </w:t>
      </w:r>
      <w:r w:rsidR="00CA098E" w:rsidRPr="00834B27">
        <w:rPr>
          <w:rFonts w:ascii="Calibri" w:eastAsia="Times New Roman" w:hAnsi="Calibri" w:cs="Calibri"/>
          <w:b/>
          <w:bCs/>
          <w:kern w:val="0"/>
          <w:sz w:val="22"/>
          <w:szCs w:val="22"/>
          <w:lang w:val="ro-RO"/>
          <w14:ligatures w14:val="none"/>
        </w:rPr>
        <w:t>C</w:t>
      </w:r>
      <w:r w:rsidRPr="00834B27">
        <w:rPr>
          <w:rFonts w:ascii="Calibri" w:eastAsia="Times New Roman" w:hAnsi="Calibri" w:cs="Calibri"/>
          <w:b/>
          <w:bCs/>
          <w:kern w:val="0"/>
          <w:sz w:val="22"/>
          <w:szCs w:val="22"/>
          <w:lang w:val="ro-RO"/>
          <w14:ligatures w14:val="none"/>
        </w:rPr>
        <w:t>AS</w:t>
      </w:r>
      <w:r w:rsidR="00CA098E" w:rsidRPr="00834B27">
        <w:rPr>
          <w:rFonts w:ascii="Calibri" w:eastAsia="Times New Roman" w:hAnsi="Calibri" w:cs="Calibri"/>
          <w:b/>
          <w:bCs/>
          <w:kern w:val="0"/>
          <w:sz w:val="22"/>
          <w:szCs w:val="22"/>
          <w:lang w:val="ro-RO"/>
          <w14:ligatures w14:val="none"/>
        </w:rPr>
        <w:t xml:space="preserve"> fără plafon generează obligații fără plafon: absența unui plafon al </w:t>
      </w:r>
      <w:r w:rsidRPr="00834B27">
        <w:rPr>
          <w:rFonts w:ascii="Calibri" w:eastAsia="Times New Roman" w:hAnsi="Calibri" w:cs="Calibri"/>
          <w:b/>
          <w:bCs/>
          <w:kern w:val="0"/>
          <w:sz w:val="22"/>
          <w:szCs w:val="22"/>
          <w:lang w:val="ro-RO"/>
          <w14:ligatures w14:val="none"/>
        </w:rPr>
        <w:t>CAS</w:t>
      </w:r>
      <w:r w:rsidR="00CA098E" w:rsidRPr="00834B27">
        <w:rPr>
          <w:rFonts w:ascii="Calibri" w:eastAsia="Times New Roman" w:hAnsi="Calibri" w:cs="Calibri"/>
          <w:b/>
          <w:bCs/>
          <w:kern w:val="0"/>
          <w:sz w:val="22"/>
          <w:szCs w:val="22"/>
          <w:lang w:val="ro-RO"/>
          <w14:ligatures w14:val="none"/>
        </w:rPr>
        <w:t xml:space="preserve"> nu crește echitatea sistemului, ci crește obligațiile viitoare ale sistemului de pensii.</w:t>
      </w:r>
    </w:p>
    <w:p w14:paraId="5787DD94" w14:textId="77777777" w:rsidR="00CA098E" w:rsidRPr="00834B27" w:rsidRDefault="00CA098E" w:rsidP="00AA15F6">
      <w:pPr>
        <w:pStyle w:val="Listparagraf"/>
        <w:numPr>
          <w:ilvl w:val="0"/>
          <w:numId w:val="62"/>
        </w:numPr>
        <w:spacing w:before="100" w:beforeAutospacing="1" w:after="100" w:afterAutospacing="1" w:line="276" w:lineRule="auto"/>
        <w:ind w:left="900" w:hanging="450"/>
        <w:jc w:val="both"/>
        <w:rPr>
          <w:rFonts w:ascii="Calibri" w:eastAsia="Times New Roman" w:hAnsi="Calibri" w:cs="Calibri"/>
          <w:b/>
          <w:bCs/>
          <w:kern w:val="0"/>
          <w:sz w:val="22"/>
          <w:szCs w:val="22"/>
          <w:lang w:val="ro-RO"/>
          <w14:ligatures w14:val="none"/>
        </w:rPr>
      </w:pPr>
      <w:r w:rsidRPr="00834B27">
        <w:rPr>
          <w:rFonts w:ascii="Calibri" w:eastAsia="Times New Roman" w:hAnsi="Calibri" w:cs="Calibri"/>
          <w:b/>
          <w:bCs/>
          <w:kern w:val="0"/>
          <w:sz w:val="22"/>
          <w:szCs w:val="22"/>
          <w:lang w:val="ro-RO"/>
          <w14:ligatures w14:val="none"/>
        </w:rPr>
        <w:t>Protejarea veniturilor mici și limitarea distorsiunilor fiscale sunt obiective compatibile, nu contradictorii.</w:t>
      </w:r>
    </w:p>
    <w:p w14:paraId="124C63CA" w14:textId="28E32961" w:rsidR="00CA098E" w:rsidRPr="00834B27" w:rsidRDefault="00CA098E" w:rsidP="00AA15F6">
      <w:pPr>
        <w:pStyle w:val="Listparagraf"/>
        <w:numPr>
          <w:ilvl w:val="0"/>
          <w:numId w:val="62"/>
        </w:numPr>
        <w:spacing w:before="100" w:beforeAutospacing="1" w:after="100" w:afterAutospacing="1" w:line="276" w:lineRule="auto"/>
        <w:ind w:left="900" w:hanging="450"/>
        <w:jc w:val="both"/>
        <w:rPr>
          <w:rFonts w:ascii="Calibri" w:eastAsia="Times New Roman" w:hAnsi="Calibri" w:cs="Calibri"/>
          <w:kern w:val="0"/>
          <w:sz w:val="22"/>
          <w:szCs w:val="22"/>
          <w:lang w:val="ro-RO"/>
          <w14:ligatures w14:val="none"/>
        </w:rPr>
      </w:pPr>
      <w:r w:rsidRPr="00834B27">
        <w:rPr>
          <w:rFonts w:ascii="Calibri" w:eastAsia="Times New Roman" w:hAnsi="Calibri" w:cs="Calibri"/>
          <w:b/>
          <w:bCs/>
          <w:kern w:val="0"/>
          <w:sz w:val="22"/>
          <w:szCs w:val="22"/>
          <w:lang w:val="ro-RO"/>
          <w14:ligatures w14:val="none"/>
        </w:rPr>
        <w:t>Costul reformei este măsurabil, costul non-reformei este exponențial. Instabilitatea legislativă este un cost fiscal real, nu o externalitate abstractă</w:t>
      </w:r>
      <w:r w:rsidR="00D1647E" w:rsidRPr="00834B27">
        <w:rPr>
          <w:rFonts w:ascii="Calibri" w:eastAsia="Times New Roman" w:hAnsi="Calibri" w:cs="Calibri"/>
          <w:b/>
          <w:bCs/>
          <w:kern w:val="0"/>
          <w:sz w:val="22"/>
          <w:szCs w:val="22"/>
          <w:lang w:val="ro-RO"/>
          <w14:ligatures w14:val="none"/>
        </w:rPr>
        <w:t>.</w:t>
      </w:r>
    </w:p>
    <w:p w14:paraId="179CFAE0" w14:textId="76648125" w:rsidR="00CA098E" w:rsidRPr="00834B27" w:rsidRDefault="00CA098E" w:rsidP="00AA15F6">
      <w:pPr>
        <w:pStyle w:val="Listparagraf"/>
        <w:numPr>
          <w:ilvl w:val="0"/>
          <w:numId w:val="62"/>
        </w:numPr>
        <w:spacing w:before="100" w:beforeAutospacing="1" w:after="100" w:afterAutospacing="1" w:line="276" w:lineRule="auto"/>
        <w:ind w:left="900" w:hanging="450"/>
        <w:jc w:val="both"/>
        <w:rPr>
          <w:rFonts w:ascii="Calibri" w:eastAsia="Times New Roman" w:hAnsi="Calibri" w:cs="Calibri"/>
          <w:kern w:val="0"/>
          <w:sz w:val="22"/>
          <w:szCs w:val="22"/>
          <w:lang w:val="ro-RO"/>
          <w14:ligatures w14:val="none"/>
        </w:rPr>
      </w:pPr>
      <w:r w:rsidRPr="00834B27">
        <w:rPr>
          <w:rFonts w:ascii="Calibri" w:eastAsia="Times New Roman" w:hAnsi="Calibri" w:cs="Calibri"/>
          <w:b/>
          <w:bCs/>
          <w:kern w:val="0"/>
          <w:sz w:val="22"/>
          <w:szCs w:val="22"/>
          <w:lang w:val="ro-RO"/>
          <w14:ligatures w14:val="none"/>
        </w:rPr>
        <w:t xml:space="preserve">O legislație fiscală competitivă nu este </w:t>
      </w:r>
      <w:r w:rsidR="00D1647E" w:rsidRPr="00834B27">
        <w:rPr>
          <w:rFonts w:ascii="Calibri" w:eastAsia="Times New Roman" w:hAnsi="Calibri" w:cs="Calibri"/>
          <w:b/>
          <w:bCs/>
          <w:kern w:val="0"/>
          <w:sz w:val="22"/>
          <w:szCs w:val="22"/>
          <w:lang w:val="ro-RO"/>
          <w14:ligatures w14:val="none"/>
        </w:rPr>
        <w:t xml:space="preserve">neapărat </w:t>
      </w:r>
      <w:r w:rsidRPr="00834B27">
        <w:rPr>
          <w:rFonts w:ascii="Calibri" w:eastAsia="Times New Roman" w:hAnsi="Calibri" w:cs="Calibri"/>
          <w:b/>
          <w:bCs/>
          <w:kern w:val="0"/>
          <w:sz w:val="22"/>
          <w:szCs w:val="22"/>
          <w:lang w:val="ro-RO"/>
          <w14:ligatures w14:val="none"/>
        </w:rPr>
        <w:t>una cu cote mici. Este una clară, stabilă și previzibilă</w:t>
      </w:r>
      <w:r w:rsidR="00D1647E" w:rsidRPr="00834B27">
        <w:rPr>
          <w:rFonts w:ascii="Calibri" w:eastAsia="Times New Roman" w:hAnsi="Calibri" w:cs="Calibri"/>
          <w:b/>
          <w:bCs/>
          <w:kern w:val="0"/>
          <w:sz w:val="22"/>
          <w:szCs w:val="22"/>
          <w:lang w:val="ro-RO"/>
          <w14:ligatures w14:val="none"/>
        </w:rPr>
        <w:t>.</w:t>
      </w:r>
    </w:p>
    <w:p w14:paraId="7C512994" w14:textId="5C52A073" w:rsidR="00957582" w:rsidRPr="00834B27" w:rsidRDefault="00CA098E" w:rsidP="00AA15F6">
      <w:pPr>
        <w:pStyle w:val="Listparagraf"/>
        <w:numPr>
          <w:ilvl w:val="0"/>
          <w:numId w:val="62"/>
        </w:numPr>
        <w:spacing w:before="100" w:beforeAutospacing="1" w:after="100" w:afterAutospacing="1" w:line="276" w:lineRule="auto"/>
        <w:ind w:left="900" w:hanging="450"/>
        <w:jc w:val="both"/>
        <w:rPr>
          <w:rFonts w:ascii="Calibri" w:eastAsia="Times New Roman" w:hAnsi="Calibri" w:cs="Calibri"/>
          <w:b/>
          <w:bCs/>
          <w:kern w:val="0"/>
          <w:sz w:val="22"/>
          <w:szCs w:val="22"/>
          <w:lang w:val="ro-RO"/>
          <w14:ligatures w14:val="none"/>
        </w:rPr>
      </w:pPr>
      <w:r w:rsidRPr="00834B27">
        <w:rPr>
          <w:rFonts w:ascii="Calibri" w:eastAsia="Times New Roman" w:hAnsi="Calibri" w:cs="Calibri"/>
          <w:b/>
          <w:bCs/>
          <w:kern w:val="0"/>
          <w:sz w:val="22"/>
          <w:szCs w:val="22"/>
          <w:lang w:val="ro-RO"/>
          <w14:ligatures w14:val="none"/>
        </w:rPr>
        <w:t>Echitatea fiscală, eficiența economică și sustenabilitatea bugetară nu sunt obiective alternative — sunt condiții simultane ale unei politici fiscale solide.</w:t>
      </w:r>
    </w:p>
    <w:p w14:paraId="5A0DBE83" w14:textId="2A5C6DBA" w:rsidR="00CA098E" w:rsidRPr="00834B27" w:rsidRDefault="00957582" w:rsidP="00957582">
      <w:pPr>
        <w:rPr>
          <w:rFonts w:ascii="Calibri" w:eastAsia="Times New Roman" w:hAnsi="Calibri" w:cs="Calibri"/>
          <w:b/>
          <w:bCs/>
          <w:kern w:val="0"/>
          <w:sz w:val="22"/>
          <w:szCs w:val="22"/>
          <w:lang w:val="ro-RO"/>
          <w14:ligatures w14:val="none"/>
        </w:rPr>
      </w:pPr>
      <w:r w:rsidRPr="00834B27">
        <w:rPr>
          <w:rFonts w:ascii="Calibri" w:eastAsia="Times New Roman" w:hAnsi="Calibri" w:cs="Calibri"/>
          <w:b/>
          <w:bCs/>
          <w:kern w:val="0"/>
          <w:sz w:val="22"/>
          <w:szCs w:val="22"/>
          <w:lang w:val="ro-RO"/>
          <w14:ligatures w14:val="none"/>
        </w:rPr>
        <w:br w:type="page"/>
      </w:r>
    </w:p>
    <w:p w14:paraId="52BBE3C3" w14:textId="77777777" w:rsidR="00FA68DC" w:rsidRPr="00834B27" w:rsidRDefault="00FA68DC">
      <w:pPr>
        <w:rPr>
          <w:rFonts w:ascii="Calibri" w:hAnsi="Calibri" w:cs="Calibri"/>
          <w:sz w:val="20"/>
          <w:szCs w:val="20"/>
          <w:lang w:val="ro-RO"/>
        </w:rPr>
      </w:pPr>
    </w:p>
    <w:p w14:paraId="7FC720D5" w14:textId="6AD14094" w:rsidR="000D4B0D" w:rsidRPr="00834B27" w:rsidRDefault="000D4B0D" w:rsidP="009F2FDA">
      <w:pPr>
        <w:pStyle w:val="Listparagraf"/>
        <w:numPr>
          <w:ilvl w:val="0"/>
          <w:numId w:val="23"/>
        </w:numPr>
        <w:tabs>
          <w:tab w:val="left" w:pos="1260"/>
        </w:tabs>
        <w:spacing w:line="276" w:lineRule="auto"/>
        <w:contextualSpacing w:val="0"/>
        <w:jc w:val="both"/>
        <w:outlineLvl w:val="0"/>
        <w:rPr>
          <w:rFonts w:ascii="Calibri" w:hAnsi="Calibri" w:cs="Calibri"/>
          <w:b/>
          <w:bCs/>
          <w:lang w:val="ro-RO"/>
        </w:rPr>
      </w:pPr>
      <w:bookmarkStart w:id="1" w:name="_Toc223643870"/>
      <w:r w:rsidRPr="00834B27">
        <w:rPr>
          <w:rFonts w:ascii="Calibri" w:hAnsi="Calibri" w:cs="Calibri"/>
          <w:b/>
          <w:bCs/>
          <w:lang w:val="ro-RO"/>
        </w:rPr>
        <w:t xml:space="preserve">– </w:t>
      </w:r>
      <w:r w:rsidR="00C90E84" w:rsidRPr="00834B27">
        <w:rPr>
          <w:rFonts w:ascii="Calibri" w:hAnsi="Calibri" w:cs="Calibri"/>
          <w:b/>
          <w:bCs/>
          <w:lang w:val="ro-RO"/>
        </w:rPr>
        <w:t>Situa</w:t>
      </w:r>
      <w:r w:rsidR="00D77C4B" w:rsidRPr="00834B27">
        <w:rPr>
          <w:rFonts w:ascii="Calibri" w:hAnsi="Calibri" w:cs="Calibri"/>
          <w:b/>
          <w:bCs/>
          <w:lang w:val="ro-RO"/>
        </w:rPr>
        <w:t>ț</w:t>
      </w:r>
      <w:r w:rsidR="00C90E84" w:rsidRPr="00834B27">
        <w:rPr>
          <w:rFonts w:ascii="Calibri" w:hAnsi="Calibri" w:cs="Calibri"/>
          <w:b/>
          <w:bCs/>
          <w:lang w:val="ro-RO"/>
        </w:rPr>
        <w:t>ia</w:t>
      </w:r>
      <w:r w:rsidRPr="00834B27">
        <w:rPr>
          <w:rFonts w:ascii="Calibri" w:hAnsi="Calibri" w:cs="Calibri"/>
          <w:b/>
          <w:bCs/>
          <w:lang w:val="ro-RO"/>
        </w:rPr>
        <w:t xml:space="preserve"> actual</w:t>
      </w:r>
      <w:r w:rsidR="00C90E84" w:rsidRPr="00834B27">
        <w:rPr>
          <w:rFonts w:ascii="Calibri" w:hAnsi="Calibri" w:cs="Calibri"/>
          <w:b/>
          <w:bCs/>
          <w:lang w:val="ro-RO"/>
        </w:rPr>
        <w:t>ă</w:t>
      </w:r>
      <w:bookmarkEnd w:id="1"/>
    </w:p>
    <w:p w14:paraId="3A745992" w14:textId="77777777" w:rsidR="000D4B0D" w:rsidRPr="00834B27" w:rsidRDefault="000D4B0D" w:rsidP="00B91E74">
      <w:pPr>
        <w:spacing w:line="276" w:lineRule="auto"/>
        <w:jc w:val="both"/>
        <w:rPr>
          <w:rFonts w:ascii="Calibri" w:hAnsi="Calibri" w:cs="Calibri"/>
          <w:lang w:val="ro-RO"/>
        </w:rPr>
      </w:pPr>
    </w:p>
    <w:p w14:paraId="519C2F38" w14:textId="4AEB61DE" w:rsidR="000D4B0D" w:rsidRPr="00834B27" w:rsidRDefault="000D4B0D" w:rsidP="00B91E74">
      <w:pPr>
        <w:spacing w:line="276" w:lineRule="auto"/>
        <w:jc w:val="both"/>
        <w:rPr>
          <w:rFonts w:ascii="Calibri" w:hAnsi="Calibri" w:cs="Calibri"/>
          <w:b/>
          <w:bCs/>
          <w:lang w:val="ro-RO"/>
        </w:rPr>
      </w:pPr>
      <w:r w:rsidRPr="00834B27">
        <w:rPr>
          <w:rFonts w:ascii="Calibri" w:hAnsi="Calibri" w:cs="Calibri"/>
          <w:b/>
          <w:bCs/>
          <w:lang w:val="ro-RO"/>
        </w:rPr>
        <w:t>Not</w:t>
      </w:r>
      <w:r w:rsidR="00854521" w:rsidRPr="00834B27">
        <w:rPr>
          <w:rFonts w:ascii="Calibri" w:hAnsi="Calibri" w:cs="Calibri"/>
          <w:b/>
          <w:bCs/>
          <w:lang w:val="ro-RO"/>
        </w:rPr>
        <w:t>ă</w:t>
      </w:r>
      <w:r w:rsidRPr="00834B27">
        <w:rPr>
          <w:rFonts w:ascii="Calibri" w:hAnsi="Calibri" w:cs="Calibri"/>
          <w:b/>
          <w:bCs/>
          <w:lang w:val="ro-RO"/>
        </w:rPr>
        <w:t xml:space="preserve"> introductiv</w:t>
      </w:r>
      <w:r w:rsidR="00C90E84" w:rsidRPr="00834B27">
        <w:rPr>
          <w:rFonts w:ascii="Calibri" w:hAnsi="Calibri" w:cs="Calibri"/>
          <w:b/>
          <w:bCs/>
          <w:lang w:val="ro-RO"/>
        </w:rPr>
        <w:t>ă</w:t>
      </w:r>
    </w:p>
    <w:p w14:paraId="41959E69" w14:textId="3A731701" w:rsidR="00F56454" w:rsidRPr="00834B27" w:rsidRDefault="00F56454" w:rsidP="00AA15F6">
      <w:pPr>
        <w:spacing w:line="276" w:lineRule="auto"/>
        <w:jc w:val="both"/>
        <w:rPr>
          <w:rFonts w:ascii="Calibri" w:hAnsi="Calibri" w:cs="Calibri"/>
          <w:lang w:val="ro-RO"/>
        </w:rPr>
      </w:pPr>
      <w:r w:rsidRPr="00834B27">
        <w:rPr>
          <w:rFonts w:ascii="Calibri" w:hAnsi="Calibri" w:cs="Calibri"/>
          <w:lang w:val="ro-RO"/>
        </w:rPr>
        <w:t>Considerăm că analiza impozitării veniturilor ob</w:t>
      </w:r>
      <w:r w:rsidR="00D77C4B" w:rsidRPr="00834B27">
        <w:rPr>
          <w:rFonts w:ascii="Calibri" w:hAnsi="Calibri" w:cs="Calibri"/>
          <w:lang w:val="ro-RO"/>
        </w:rPr>
        <w:t>ț</w:t>
      </w:r>
      <w:r w:rsidRPr="00834B27">
        <w:rPr>
          <w:rFonts w:ascii="Calibri" w:hAnsi="Calibri" w:cs="Calibri"/>
          <w:lang w:val="ro-RO"/>
        </w:rPr>
        <w:t xml:space="preserve">inute de persoane fizice trebuie făcută </w:t>
      </w:r>
      <w:r w:rsidR="00D77C4B" w:rsidRPr="00834B27">
        <w:rPr>
          <w:rFonts w:ascii="Calibri" w:hAnsi="Calibri" w:cs="Calibri"/>
          <w:lang w:val="ro-RO"/>
        </w:rPr>
        <w:t>ț</w:t>
      </w:r>
      <w:r w:rsidRPr="00834B27">
        <w:rPr>
          <w:rFonts w:ascii="Calibri" w:hAnsi="Calibri" w:cs="Calibri"/>
          <w:lang w:val="ro-RO"/>
        </w:rPr>
        <w:t>inând cont atât de impozitul pe venit datorat pentru fiecare tip de venit, cât și de contribu</w:t>
      </w:r>
      <w:r w:rsidR="00D77C4B" w:rsidRPr="00834B27">
        <w:rPr>
          <w:rFonts w:ascii="Calibri" w:hAnsi="Calibri" w:cs="Calibri"/>
          <w:lang w:val="ro-RO"/>
        </w:rPr>
        <w:t>ț</w:t>
      </w:r>
      <w:r w:rsidRPr="00834B27">
        <w:rPr>
          <w:rFonts w:ascii="Calibri" w:hAnsi="Calibri" w:cs="Calibri"/>
          <w:lang w:val="ro-RO"/>
        </w:rPr>
        <w:t xml:space="preserve">iile obligatorii datorate de contribuabil, și anume CAS și CASS. Chiar dacă CAS și CASS nu sunt impozite </w:t>
      </w:r>
      <w:r w:rsidRPr="00834B27">
        <w:rPr>
          <w:rFonts w:ascii="Calibri" w:hAnsi="Calibri" w:cs="Calibri"/>
          <w:i/>
          <w:iCs/>
          <w:lang w:val="ro-RO"/>
        </w:rPr>
        <w:t>per se</w:t>
      </w:r>
      <w:r w:rsidRPr="00834B27">
        <w:rPr>
          <w:rFonts w:ascii="Calibri" w:hAnsi="Calibri" w:cs="Calibri"/>
          <w:lang w:val="ro-RO"/>
        </w:rPr>
        <w:t xml:space="preserve"> – ele implicând contrapresta</w:t>
      </w:r>
      <w:r w:rsidR="00D77C4B" w:rsidRPr="00834B27">
        <w:rPr>
          <w:rFonts w:ascii="Calibri" w:hAnsi="Calibri" w:cs="Calibri"/>
          <w:lang w:val="ro-RO"/>
        </w:rPr>
        <w:t>ț</w:t>
      </w:r>
      <w:r w:rsidRPr="00834B27">
        <w:rPr>
          <w:rFonts w:ascii="Calibri" w:hAnsi="Calibri" w:cs="Calibri"/>
          <w:lang w:val="ro-RO"/>
        </w:rPr>
        <w:t>ii – sunt incluse în Codul fiscal, reprezintă prelevări obligatorii în sarcina contribuabilului și, în consecin</w:t>
      </w:r>
      <w:r w:rsidR="00D77C4B" w:rsidRPr="00834B27">
        <w:rPr>
          <w:rFonts w:ascii="Calibri" w:hAnsi="Calibri" w:cs="Calibri"/>
          <w:lang w:val="ro-RO"/>
        </w:rPr>
        <w:t>ț</w:t>
      </w:r>
      <w:r w:rsidRPr="00834B27">
        <w:rPr>
          <w:rFonts w:ascii="Calibri" w:hAnsi="Calibri" w:cs="Calibri"/>
          <w:lang w:val="ro-RO"/>
        </w:rPr>
        <w:t xml:space="preserve">ă, trebuie analizate împreună. </w:t>
      </w:r>
    </w:p>
    <w:p w14:paraId="23EAF145" w14:textId="44DE9839" w:rsidR="00F56454" w:rsidRPr="00834B27" w:rsidRDefault="00F56454" w:rsidP="00F56454">
      <w:pPr>
        <w:spacing w:line="276" w:lineRule="auto"/>
        <w:jc w:val="both"/>
        <w:rPr>
          <w:rFonts w:ascii="Calibri" w:hAnsi="Calibri" w:cs="Calibri"/>
          <w:lang w:val="ro-RO"/>
        </w:rPr>
      </w:pPr>
      <w:r w:rsidRPr="00834B27">
        <w:rPr>
          <w:rFonts w:ascii="Calibri" w:hAnsi="Calibri" w:cs="Calibri"/>
          <w:lang w:val="ro-RO"/>
        </w:rPr>
        <w:t>Deoarece SFT este reglementată frac</w:t>
      </w:r>
      <w:r w:rsidR="00D77C4B" w:rsidRPr="00834B27">
        <w:rPr>
          <w:rFonts w:ascii="Calibri" w:hAnsi="Calibri" w:cs="Calibri"/>
          <w:lang w:val="ro-RO"/>
        </w:rPr>
        <w:t>ț</w:t>
      </w:r>
      <w:r w:rsidRPr="00834B27">
        <w:rPr>
          <w:rFonts w:ascii="Calibri" w:hAnsi="Calibri" w:cs="Calibri"/>
          <w:lang w:val="ro-RO"/>
        </w:rPr>
        <w:t>ionat, vom prezenta situa</w:t>
      </w:r>
      <w:r w:rsidR="00D77C4B" w:rsidRPr="00834B27">
        <w:rPr>
          <w:rFonts w:ascii="Calibri" w:hAnsi="Calibri" w:cs="Calibri"/>
          <w:lang w:val="ro-RO"/>
        </w:rPr>
        <w:t>ț</w:t>
      </w:r>
      <w:r w:rsidRPr="00834B27">
        <w:rPr>
          <w:rFonts w:ascii="Calibri" w:hAnsi="Calibri" w:cs="Calibri"/>
          <w:lang w:val="ro-RO"/>
        </w:rPr>
        <w:t xml:space="preserve">ia actuală similar pentru fiecare tip de venit în parte. Nu vom intra în detalii cu privire la reglementarea modului de calcul al bazei de calcul al IV, CAS și CASS, acolo unde considerăm necesar, făcând trimitere la articolele relevante din CF. </w:t>
      </w:r>
    </w:p>
    <w:p w14:paraId="0736B6B7" w14:textId="2D653939" w:rsidR="00F56454" w:rsidRPr="00834B27" w:rsidRDefault="00F56454" w:rsidP="00F56454">
      <w:pPr>
        <w:spacing w:line="276" w:lineRule="auto"/>
        <w:jc w:val="both"/>
        <w:rPr>
          <w:rFonts w:ascii="Calibri" w:hAnsi="Calibri" w:cs="Calibri"/>
          <w:lang w:val="ro-RO"/>
        </w:rPr>
      </w:pPr>
      <w:r w:rsidRPr="00834B27">
        <w:rPr>
          <w:rFonts w:ascii="Calibri" w:hAnsi="Calibri" w:cs="Calibri"/>
          <w:lang w:val="ro-RO"/>
        </w:rPr>
        <w:t>Pentru o mai bună în</w:t>
      </w:r>
      <w:r w:rsidR="00D77C4B" w:rsidRPr="00834B27">
        <w:rPr>
          <w:rFonts w:ascii="Calibri" w:hAnsi="Calibri" w:cs="Calibri"/>
          <w:lang w:val="ro-RO"/>
        </w:rPr>
        <w:t>ț</w:t>
      </w:r>
      <w:r w:rsidRPr="00834B27">
        <w:rPr>
          <w:rFonts w:ascii="Calibri" w:hAnsi="Calibri" w:cs="Calibri"/>
          <w:lang w:val="ro-RO"/>
        </w:rPr>
        <w:t>elegere a situa</w:t>
      </w:r>
      <w:r w:rsidR="00D77C4B" w:rsidRPr="00834B27">
        <w:rPr>
          <w:rFonts w:ascii="Calibri" w:hAnsi="Calibri" w:cs="Calibri"/>
          <w:lang w:val="ro-RO"/>
        </w:rPr>
        <w:t>ț</w:t>
      </w:r>
      <w:r w:rsidRPr="00834B27">
        <w:rPr>
          <w:rFonts w:ascii="Calibri" w:hAnsi="Calibri" w:cs="Calibri"/>
          <w:lang w:val="ro-RO"/>
        </w:rPr>
        <w:t>iei actuale, vom prezenta pentru fiecare tip de venit în parte și un scurt istoric al evolu</w:t>
      </w:r>
      <w:r w:rsidR="00D77C4B" w:rsidRPr="00834B27">
        <w:rPr>
          <w:rFonts w:ascii="Calibri" w:hAnsi="Calibri" w:cs="Calibri"/>
          <w:lang w:val="ro-RO"/>
        </w:rPr>
        <w:t>ț</w:t>
      </w:r>
      <w:r w:rsidRPr="00834B27">
        <w:rPr>
          <w:rFonts w:ascii="Calibri" w:hAnsi="Calibri" w:cs="Calibri"/>
          <w:lang w:val="ro-RO"/>
        </w:rPr>
        <w:t>iei în timp a reglementărilor.</w:t>
      </w:r>
    </w:p>
    <w:p w14:paraId="1428A0FE" w14:textId="77777777" w:rsidR="00F56454" w:rsidRPr="00834B27" w:rsidRDefault="00F56454" w:rsidP="00F56454">
      <w:pPr>
        <w:spacing w:line="276" w:lineRule="auto"/>
        <w:jc w:val="both"/>
        <w:rPr>
          <w:rFonts w:ascii="Calibri" w:hAnsi="Calibri" w:cs="Calibri"/>
          <w:lang w:val="ro-RO"/>
        </w:rPr>
      </w:pPr>
    </w:p>
    <w:p w14:paraId="7B11CD30" w14:textId="77777777" w:rsidR="00F56454" w:rsidRPr="00834B27" w:rsidRDefault="00F56454" w:rsidP="00F56454">
      <w:pPr>
        <w:spacing w:line="276" w:lineRule="auto"/>
        <w:jc w:val="both"/>
        <w:rPr>
          <w:rFonts w:ascii="Calibri" w:hAnsi="Calibri" w:cs="Calibri"/>
          <w:sz w:val="22"/>
          <w:szCs w:val="22"/>
          <w:lang w:val="ro-RO"/>
        </w:rPr>
      </w:pPr>
      <w:r w:rsidRPr="00834B27">
        <w:rPr>
          <w:rFonts w:ascii="Calibri" w:hAnsi="Calibri" w:cs="Calibri"/>
          <w:b/>
          <w:bCs/>
          <w:sz w:val="22"/>
          <w:szCs w:val="22"/>
          <w:lang w:val="ro-RO"/>
        </w:rPr>
        <w:t>Notă metodologică</w:t>
      </w:r>
    </w:p>
    <w:p w14:paraId="74F9A58B" w14:textId="6A952338" w:rsidR="00F56454" w:rsidRPr="00834B27" w:rsidRDefault="00F56454" w:rsidP="00F56454">
      <w:pPr>
        <w:spacing w:line="276" w:lineRule="auto"/>
        <w:jc w:val="both"/>
        <w:rPr>
          <w:rFonts w:ascii="Calibri" w:hAnsi="Calibri" w:cs="Calibri"/>
          <w:lang w:val="ro-RO"/>
        </w:rPr>
      </w:pPr>
      <w:r w:rsidRPr="00834B27">
        <w:rPr>
          <w:rFonts w:ascii="Calibri" w:hAnsi="Calibri" w:cs="Calibri"/>
          <w:lang w:val="ro-RO"/>
        </w:rPr>
        <w:t xml:space="preserve">Analiza de impact prezentată în Capitolul 2 este o analiză statică, cu limitările metodologice descrise în detaliu </w:t>
      </w:r>
      <w:r w:rsidR="00981AD5" w:rsidRPr="00834B27">
        <w:rPr>
          <w:rFonts w:ascii="Calibri" w:hAnsi="Calibri" w:cs="Calibri"/>
          <w:lang w:val="ro-RO"/>
        </w:rPr>
        <w:t>mai sus</w:t>
      </w:r>
      <w:r w:rsidRPr="00834B27">
        <w:rPr>
          <w:rFonts w:ascii="Calibri" w:hAnsi="Calibri" w:cs="Calibri"/>
          <w:lang w:val="ro-RO"/>
        </w:rPr>
        <w:t xml:space="preserve">. </w:t>
      </w:r>
    </w:p>
    <w:p w14:paraId="2850B01F" w14:textId="2ADC10B3" w:rsidR="00F56454" w:rsidRPr="00834B27" w:rsidRDefault="00F56454" w:rsidP="00F56454">
      <w:pPr>
        <w:spacing w:line="276" w:lineRule="auto"/>
        <w:jc w:val="both"/>
        <w:rPr>
          <w:rFonts w:ascii="Calibri" w:hAnsi="Calibri" w:cs="Calibri"/>
          <w:lang w:val="ro-RO"/>
        </w:rPr>
      </w:pPr>
      <w:r w:rsidRPr="00834B27">
        <w:rPr>
          <w:rFonts w:ascii="Calibri" w:hAnsi="Calibri" w:cs="Calibri"/>
          <w:lang w:val="ro-RO"/>
        </w:rPr>
        <w:t>În lipsa unor informa</w:t>
      </w:r>
      <w:r w:rsidR="00D77C4B" w:rsidRPr="00834B27">
        <w:rPr>
          <w:rFonts w:ascii="Calibri" w:hAnsi="Calibri" w:cs="Calibri"/>
          <w:lang w:val="ro-RO"/>
        </w:rPr>
        <w:t>ț</w:t>
      </w:r>
      <w:r w:rsidRPr="00834B27">
        <w:rPr>
          <w:rFonts w:ascii="Calibri" w:hAnsi="Calibri" w:cs="Calibri"/>
          <w:lang w:val="ro-RO"/>
        </w:rPr>
        <w:t>ii detaliate cu privire la structura și distribu</w:t>
      </w:r>
      <w:r w:rsidR="00D77C4B" w:rsidRPr="00834B27">
        <w:rPr>
          <w:rFonts w:ascii="Calibri" w:hAnsi="Calibri" w:cs="Calibri"/>
          <w:lang w:val="ro-RO"/>
        </w:rPr>
        <w:t>ț</w:t>
      </w:r>
      <w:r w:rsidRPr="00834B27">
        <w:rPr>
          <w:rFonts w:ascii="Calibri" w:hAnsi="Calibri" w:cs="Calibri"/>
          <w:lang w:val="ro-RO"/>
        </w:rPr>
        <w:t xml:space="preserve">ia diverselor tipuri de venituri, pentru calculul impactului a fost necesar să facem anumite aproximări, explicate în Anexa 1. </w:t>
      </w:r>
    </w:p>
    <w:p w14:paraId="3A815B05" w14:textId="6DA284FA" w:rsidR="00F56454" w:rsidRPr="00834B27" w:rsidRDefault="00F56454" w:rsidP="00F56454">
      <w:pPr>
        <w:spacing w:line="276" w:lineRule="auto"/>
        <w:jc w:val="both"/>
        <w:rPr>
          <w:rFonts w:ascii="Calibri" w:hAnsi="Calibri" w:cs="Calibri"/>
          <w:lang w:val="ro-RO"/>
        </w:rPr>
      </w:pPr>
      <w:r w:rsidRPr="00834B27">
        <w:rPr>
          <w:rFonts w:ascii="Calibri" w:hAnsi="Calibri" w:cs="Calibri"/>
          <w:lang w:val="ro-RO"/>
        </w:rPr>
        <w:t>Datele folosite pentru estimarea impactului provin din: Legea Bugetului de Stat pentru 2025, Legea Bugetului Asigurărilor Sociale de Stat pentru 2025, Raportul de Execu</w:t>
      </w:r>
      <w:r w:rsidR="00D77C4B" w:rsidRPr="00834B27">
        <w:rPr>
          <w:rFonts w:ascii="Calibri" w:hAnsi="Calibri" w:cs="Calibri"/>
          <w:lang w:val="ro-RO"/>
        </w:rPr>
        <w:t>ț</w:t>
      </w:r>
      <w:r w:rsidRPr="00834B27">
        <w:rPr>
          <w:rFonts w:ascii="Calibri" w:hAnsi="Calibri" w:cs="Calibri"/>
          <w:lang w:val="ro-RO"/>
        </w:rPr>
        <w:t>ie Bugetară COFOG3, informa</w:t>
      </w:r>
      <w:r w:rsidR="00D77C4B" w:rsidRPr="00834B27">
        <w:rPr>
          <w:rFonts w:ascii="Calibri" w:hAnsi="Calibri" w:cs="Calibri"/>
          <w:lang w:val="ro-RO"/>
        </w:rPr>
        <w:t>ț</w:t>
      </w:r>
      <w:r w:rsidRPr="00834B27">
        <w:rPr>
          <w:rFonts w:ascii="Calibri" w:hAnsi="Calibri" w:cs="Calibri"/>
          <w:lang w:val="ro-RO"/>
        </w:rPr>
        <w:t>iile primite de la ANAF cu privire la declara</w:t>
      </w:r>
      <w:r w:rsidR="00D77C4B" w:rsidRPr="00834B27">
        <w:rPr>
          <w:rFonts w:ascii="Calibri" w:hAnsi="Calibri" w:cs="Calibri"/>
          <w:lang w:val="ro-RO"/>
        </w:rPr>
        <w:t>ț</w:t>
      </w:r>
      <w:r w:rsidRPr="00834B27">
        <w:rPr>
          <w:rFonts w:ascii="Calibri" w:hAnsi="Calibri" w:cs="Calibri"/>
          <w:lang w:val="ro-RO"/>
        </w:rPr>
        <w:t>iile D212, precum și din baza de date B2APP privind situa</w:t>
      </w:r>
      <w:r w:rsidR="00D77C4B" w:rsidRPr="00834B27">
        <w:rPr>
          <w:rFonts w:ascii="Calibri" w:hAnsi="Calibri" w:cs="Calibri"/>
          <w:lang w:val="ro-RO"/>
        </w:rPr>
        <w:t>ț</w:t>
      </w:r>
      <w:r w:rsidRPr="00834B27">
        <w:rPr>
          <w:rFonts w:ascii="Calibri" w:hAnsi="Calibri" w:cs="Calibri"/>
          <w:lang w:val="ro-RO"/>
        </w:rPr>
        <w:t>iile financiare ale microîntreprinderilor.</w:t>
      </w:r>
    </w:p>
    <w:p w14:paraId="5CA32D68" w14:textId="77777777" w:rsidR="00F56454" w:rsidRPr="00834B27" w:rsidRDefault="00F56454" w:rsidP="00F56454">
      <w:pPr>
        <w:spacing w:line="276" w:lineRule="auto"/>
        <w:jc w:val="both"/>
        <w:rPr>
          <w:rFonts w:ascii="Calibri" w:hAnsi="Calibri" w:cs="Calibri"/>
          <w:lang w:val="ro-RO"/>
        </w:rPr>
      </w:pPr>
    </w:p>
    <w:p w14:paraId="78C946A8" w14:textId="5AA6C5E1" w:rsidR="00F56454" w:rsidRPr="00834B27" w:rsidRDefault="00F56454">
      <w:pPr>
        <w:rPr>
          <w:rFonts w:ascii="Calibri" w:hAnsi="Calibri" w:cs="Calibri"/>
          <w:lang w:val="ro-RO"/>
        </w:rPr>
      </w:pPr>
      <w:r w:rsidRPr="00834B27">
        <w:rPr>
          <w:rFonts w:ascii="Calibri" w:hAnsi="Calibri" w:cs="Calibri"/>
          <w:lang w:val="ro-RO"/>
        </w:rPr>
        <w:br w:type="page"/>
      </w:r>
    </w:p>
    <w:p w14:paraId="4CAB4F48" w14:textId="32AE2FC3" w:rsidR="005C54CB" w:rsidRPr="00834B27" w:rsidRDefault="005C54CB" w:rsidP="009F2FDA">
      <w:pPr>
        <w:pStyle w:val="Listparagraf"/>
        <w:numPr>
          <w:ilvl w:val="1"/>
          <w:numId w:val="5"/>
        </w:numPr>
        <w:spacing w:line="276" w:lineRule="auto"/>
        <w:ind w:left="720" w:hanging="720"/>
        <w:contextualSpacing w:val="0"/>
        <w:jc w:val="both"/>
        <w:outlineLvl w:val="1"/>
        <w:rPr>
          <w:rFonts w:ascii="Calibri" w:hAnsi="Calibri" w:cs="Calibri"/>
          <w:b/>
          <w:bCs/>
          <w:lang w:val="ro-RO"/>
        </w:rPr>
      </w:pPr>
      <w:bookmarkStart w:id="2" w:name="_Toc223643871"/>
      <w:r w:rsidRPr="00834B27">
        <w:rPr>
          <w:rFonts w:ascii="Calibri" w:hAnsi="Calibri" w:cs="Calibri"/>
          <w:b/>
          <w:bCs/>
          <w:lang w:val="ro-RO"/>
        </w:rPr>
        <w:lastRenderedPageBreak/>
        <w:t xml:space="preserve">Venituri din </w:t>
      </w:r>
      <w:r w:rsidR="00C90E84" w:rsidRPr="00834B27">
        <w:rPr>
          <w:rFonts w:ascii="Calibri" w:hAnsi="Calibri" w:cs="Calibri"/>
          <w:b/>
          <w:bCs/>
          <w:lang w:val="ro-RO"/>
        </w:rPr>
        <w:t>activită</w:t>
      </w:r>
      <w:r w:rsidR="00D77C4B" w:rsidRPr="00834B27">
        <w:rPr>
          <w:rFonts w:ascii="Calibri" w:hAnsi="Calibri" w:cs="Calibri"/>
          <w:b/>
          <w:bCs/>
          <w:lang w:val="ro-RO"/>
        </w:rPr>
        <w:t>ț</w:t>
      </w:r>
      <w:r w:rsidR="00C90E84" w:rsidRPr="00834B27">
        <w:rPr>
          <w:rFonts w:ascii="Calibri" w:hAnsi="Calibri" w:cs="Calibri"/>
          <w:b/>
          <w:bCs/>
          <w:lang w:val="ro-RO"/>
        </w:rPr>
        <w:t>i</w:t>
      </w:r>
      <w:r w:rsidR="000B3A8E" w:rsidRPr="00834B27">
        <w:rPr>
          <w:rFonts w:ascii="Calibri" w:hAnsi="Calibri" w:cs="Calibri"/>
          <w:b/>
          <w:bCs/>
          <w:lang w:val="ro-RO"/>
        </w:rPr>
        <w:t xml:space="preserve"> depende</w:t>
      </w:r>
      <w:r w:rsidR="00F45006" w:rsidRPr="00834B27">
        <w:rPr>
          <w:rFonts w:ascii="Calibri" w:hAnsi="Calibri" w:cs="Calibri"/>
          <w:b/>
          <w:bCs/>
          <w:lang w:val="ro-RO"/>
        </w:rPr>
        <w:t>nte</w:t>
      </w:r>
      <w:bookmarkEnd w:id="2"/>
    </w:p>
    <w:p w14:paraId="38F4E761" w14:textId="2C6637D3" w:rsidR="005C54CB" w:rsidRPr="00834B27" w:rsidRDefault="00DD7E25" w:rsidP="00B91E74">
      <w:pPr>
        <w:spacing w:line="276" w:lineRule="auto"/>
        <w:jc w:val="both"/>
        <w:rPr>
          <w:rFonts w:ascii="Calibri" w:hAnsi="Calibri" w:cs="Calibri"/>
          <w:lang w:val="ro-RO"/>
        </w:rPr>
      </w:pPr>
      <w:r w:rsidRPr="00834B27">
        <w:rPr>
          <w:rFonts w:ascii="Calibri" w:hAnsi="Calibri" w:cs="Calibri"/>
          <w:lang w:val="ro-RO"/>
        </w:rPr>
        <w:t xml:space="preserve">Veniturile din </w:t>
      </w:r>
      <w:r w:rsidR="00854521" w:rsidRPr="00834B27">
        <w:rPr>
          <w:rFonts w:ascii="Calibri" w:hAnsi="Calibri" w:cs="Calibri"/>
          <w:lang w:val="ro-RO"/>
        </w:rPr>
        <w:t>activită</w:t>
      </w:r>
      <w:r w:rsidR="00D77C4B" w:rsidRPr="00834B27">
        <w:rPr>
          <w:rFonts w:ascii="Calibri" w:hAnsi="Calibri" w:cs="Calibri"/>
          <w:lang w:val="ro-RO"/>
        </w:rPr>
        <w:t>ț</w:t>
      </w:r>
      <w:r w:rsidR="00854521" w:rsidRPr="00834B27">
        <w:rPr>
          <w:rFonts w:ascii="Calibri" w:hAnsi="Calibri" w:cs="Calibri"/>
          <w:lang w:val="ro-RO"/>
        </w:rPr>
        <w:t>i</w:t>
      </w:r>
      <w:r w:rsidRPr="00834B27">
        <w:rPr>
          <w:rFonts w:ascii="Calibri" w:hAnsi="Calibri" w:cs="Calibri"/>
          <w:lang w:val="ro-RO"/>
        </w:rPr>
        <w:t xml:space="preserve"> dependente definite la art. </w:t>
      </w:r>
      <w:r w:rsidR="00B57184" w:rsidRPr="00834B27">
        <w:rPr>
          <w:rFonts w:ascii="Calibri" w:hAnsi="Calibri" w:cs="Calibri"/>
          <w:lang w:val="ro-RO"/>
        </w:rPr>
        <w:t xml:space="preserve">7 pct. 1) din </w:t>
      </w:r>
      <w:r w:rsidR="00C90E84" w:rsidRPr="00834B27">
        <w:rPr>
          <w:rFonts w:ascii="Calibri" w:hAnsi="Calibri" w:cs="Calibri"/>
          <w:lang w:val="ro-RO"/>
        </w:rPr>
        <w:t>CF</w:t>
      </w:r>
      <w:r w:rsidR="00F53511" w:rsidRPr="00834B27">
        <w:rPr>
          <w:rFonts w:ascii="Calibri" w:hAnsi="Calibri" w:cs="Calibri"/>
          <w:lang w:val="ro-RO"/>
        </w:rPr>
        <w:t xml:space="preserve"> sunt reprezentate </w:t>
      </w:r>
      <w:r w:rsidR="00C90E84" w:rsidRPr="00834B27">
        <w:rPr>
          <w:rFonts w:ascii="Calibri" w:hAnsi="Calibri" w:cs="Calibri"/>
          <w:lang w:val="ro-RO"/>
        </w:rPr>
        <w:t>î</w:t>
      </w:r>
      <w:r w:rsidR="00F53511" w:rsidRPr="00834B27">
        <w:rPr>
          <w:rFonts w:ascii="Calibri" w:hAnsi="Calibri" w:cs="Calibri"/>
          <w:lang w:val="ro-RO"/>
        </w:rPr>
        <w:t>n special d</w:t>
      </w:r>
      <w:r w:rsidR="00285F1A" w:rsidRPr="00834B27">
        <w:rPr>
          <w:rFonts w:ascii="Calibri" w:hAnsi="Calibri" w:cs="Calibri"/>
          <w:lang w:val="ro-RO"/>
        </w:rPr>
        <w:t>e</w:t>
      </w:r>
      <w:r w:rsidR="00F53511" w:rsidRPr="00834B27">
        <w:rPr>
          <w:rFonts w:ascii="Calibri" w:hAnsi="Calibri" w:cs="Calibri"/>
          <w:lang w:val="ro-RO"/>
        </w:rPr>
        <w:t xml:space="preserve"> v</w:t>
      </w:r>
      <w:r w:rsidR="005C54CB" w:rsidRPr="00834B27">
        <w:rPr>
          <w:rFonts w:ascii="Calibri" w:hAnsi="Calibri" w:cs="Calibri"/>
          <w:lang w:val="ro-RO"/>
        </w:rPr>
        <w:t xml:space="preserve">eniturile din salarii </w:t>
      </w:r>
      <w:r w:rsidR="00C90E84" w:rsidRPr="00834B27">
        <w:rPr>
          <w:rFonts w:ascii="Calibri" w:hAnsi="Calibri" w:cs="Calibri"/>
          <w:lang w:val="ro-RO"/>
        </w:rPr>
        <w:t>ș</w:t>
      </w:r>
      <w:r w:rsidR="005C54CB" w:rsidRPr="00834B27">
        <w:rPr>
          <w:rFonts w:ascii="Calibri" w:hAnsi="Calibri" w:cs="Calibri"/>
          <w:lang w:val="ro-RO"/>
        </w:rPr>
        <w:t xml:space="preserve">i asimilate salariilor definite la </w:t>
      </w:r>
      <w:r w:rsidR="00F56454" w:rsidRPr="00834B27">
        <w:rPr>
          <w:rFonts w:ascii="Calibri" w:hAnsi="Calibri" w:cs="Calibri"/>
          <w:lang w:val="ro-RO"/>
        </w:rPr>
        <w:t>a</w:t>
      </w:r>
      <w:r w:rsidR="005C54CB" w:rsidRPr="00834B27">
        <w:rPr>
          <w:rFonts w:ascii="Calibri" w:hAnsi="Calibri" w:cs="Calibri"/>
          <w:lang w:val="ro-RO"/>
        </w:rPr>
        <w:t xml:space="preserve">rt. 76 din CF </w:t>
      </w:r>
      <w:r w:rsidR="00C90E84" w:rsidRPr="00834B27">
        <w:rPr>
          <w:rFonts w:ascii="Calibri" w:hAnsi="Calibri" w:cs="Calibri"/>
          <w:lang w:val="ro-RO"/>
        </w:rPr>
        <w:t>ș</w:t>
      </w:r>
      <w:r w:rsidR="005C54CB" w:rsidRPr="00834B27">
        <w:rPr>
          <w:rFonts w:ascii="Calibri" w:hAnsi="Calibri" w:cs="Calibri"/>
          <w:lang w:val="ro-RO"/>
        </w:rPr>
        <w:t xml:space="preserve">i sunt </w:t>
      </w:r>
      <w:r w:rsidR="00C90E84" w:rsidRPr="00834B27">
        <w:rPr>
          <w:rFonts w:ascii="Calibri" w:hAnsi="Calibri" w:cs="Calibri"/>
          <w:lang w:val="ro-RO"/>
        </w:rPr>
        <w:t>î</w:t>
      </w:r>
      <w:r w:rsidR="005C54CB" w:rsidRPr="00834B27">
        <w:rPr>
          <w:rFonts w:ascii="Calibri" w:hAnsi="Calibri" w:cs="Calibri"/>
          <w:lang w:val="ro-RO"/>
        </w:rPr>
        <w:t xml:space="preserve">n principal veniturile </w:t>
      </w:r>
      <w:r w:rsidR="00C90E84" w:rsidRPr="00834B27">
        <w:rPr>
          <w:rFonts w:ascii="Calibri" w:hAnsi="Calibri" w:cs="Calibri"/>
          <w:lang w:val="ro-RO"/>
        </w:rPr>
        <w:t>î</w:t>
      </w:r>
      <w:r w:rsidR="005205D1" w:rsidRPr="00834B27">
        <w:rPr>
          <w:rFonts w:ascii="Calibri" w:hAnsi="Calibri" w:cs="Calibri"/>
          <w:lang w:val="ro-RO"/>
        </w:rPr>
        <w:t xml:space="preserve">n bani sau </w:t>
      </w:r>
      <w:r w:rsidR="00C90E84" w:rsidRPr="00834B27">
        <w:rPr>
          <w:rFonts w:ascii="Calibri" w:hAnsi="Calibri" w:cs="Calibri"/>
          <w:lang w:val="ro-RO"/>
        </w:rPr>
        <w:t>î</w:t>
      </w:r>
      <w:r w:rsidR="005205D1" w:rsidRPr="00834B27">
        <w:rPr>
          <w:rFonts w:ascii="Calibri" w:hAnsi="Calibri" w:cs="Calibri"/>
          <w:lang w:val="ro-RO"/>
        </w:rPr>
        <w:t>n natur</w:t>
      </w:r>
      <w:r w:rsidR="00C90E84" w:rsidRPr="00834B27">
        <w:rPr>
          <w:rFonts w:ascii="Calibri" w:hAnsi="Calibri" w:cs="Calibri"/>
          <w:lang w:val="ro-RO"/>
        </w:rPr>
        <w:t>ă</w:t>
      </w:r>
      <w:r w:rsidR="005205D1" w:rsidRPr="00834B27">
        <w:rPr>
          <w:rFonts w:ascii="Calibri" w:hAnsi="Calibri" w:cs="Calibri"/>
          <w:lang w:val="ro-RO"/>
        </w:rPr>
        <w:t xml:space="preserve"> </w:t>
      </w:r>
      <w:r w:rsidR="005C54CB" w:rsidRPr="00834B27">
        <w:rPr>
          <w:rFonts w:ascii="Calibri" w:hAnsi="Calibri" w:cs="Calibri"/>
          <w:lang w:val="ro-RO"/>
        </w:rPr>
        <w:t>ob</w:t>
      </w:r>
      <w:r w:rsidR="00D77C4B" w:rsidRPr="00834B27">
        <w:rPr>
          <w:rFonts w:ascii="Calibri" w:hAnsi="Calibri" w:cs="Calibri"/>
          <w:lang w:val="ro-RO"/>
        </w:rPr>
        <w:t>ț</w:t>
      </w:r>
      <w:r w:rsidR="005C54CB" w:rsidRPr="00834B27">
        <w:rPr>
          <w:rFonts w:ascii="Calibri" w:hAnsi="Calibri" w:cs="Calibri"/>
          <w:lang w:val="ro-RO"/>
        </w:rPr>
        <w:t xml:space="preserve">inute </w:t>
      </w:r>
      <w:r w:rsidR="00C90E84" w:rsidRPr="00834B27">
        <w:rPr>
          <w:rFonts w:ascii="Calibri" w:hAnsi="Calibri" w:cs="Calibri"/>
          <w:lang w:val="ro-RO"/>
        </w:rPr>
        <w:t>î</w:t>
      </w:r>
      <w:r w:rsidR="005C54CB" w:rsidRPr="00834B27">
        <w:rPr>
          <w:rFonts w:ascii="Calibri" w:hAnsi="Calibri" w:cs="Calibri"/>
          <w:lang w:val="ro-RO"/>
        </w:rPr>
        <w:t>n baza unui contract individual de munc</w:t>
      </w:r>
      <w:r w:rsidR="00C90E84" w:rsidRPr="00834B27">
        <w:rPr>
          <w:rFonts w:ascii="Calibri" w:hAnsi="Calibri" w:cs="Calibri"/>
          <w:lang w:val="ro-RO"/>
        </w:rPr>
        <w:t>ă</w:t>
      </w:r>
      <w:r w:rsidR="004645A4" w:rsidRPr="00834B27">
        <w:rPr>
          <w:rFonts w:ascii="Calibri" w:hAnsi="Calibri" w:cs="Calibri"/>
          <w:lang w:val="ro-RO"/>
        </w:rPr>
        <w:t xml:space="preserve">, a unui raport de serviciu sau a unui statut special </w:t>
      </w:r>
      <w:r w:rsidR="00C90E84" w:rsidRPr="00834B27">
        <w:rPr>
          <w:rFonts w:ascii="Calibri" w:hAnsi="Calibri" w:cs="Calibri"/>
          <w:lang w:val="ro-RO"/>
        </w:rPr>
        <w:t>prevăzut</w:t>
      </w:r>
      <w:r w:rsidR="004645A4" w:rsidRPr="00834B27">
        <w:rPr>
          <w:rFonts w:ascii="Calibri" w:hAnsi="Calibri" w:cs="Calibri"/>
          <w:lang w:val="ro-RO"/>
        </w:rPr>
        <w:t xml:space="preserve"> de lege</w:t>
      </w:r>
      <w:r w:rsidR="005205D1" w:rsidRPr="00834B27">
        <w:rPr>
          <w:rFonts w:ascii="Calibri" w:hAnsi="Calibri" w:cs="Calibri"/>
          <w:lang w:val="ro-RO"/>
        </w:rPr>
        <w:t>.</w:t>
      </w:r>
    </w:p>
    <w:p w14:paraId="3A7EE9F8" w14:textId="77777777" w:rsidR="00B91E74" w:rsidRPr="00834B27" w:rsidRDefault="00B91E74" w:rsidP="00B91E74">
      <w:pPr>
        <w:spacing w:line="276" w:lineRule="auto"/>
        <w:jc w:val="both"/>
        <w:rPr>
          <w:rFonts w:ascii="Calibri" w:hAnsi="Calibri" w:cs="Calibri"/>
          <w:lang w:val="ro-RO"/>
        </w:rPr>
      </w:pPr>
    </w:p>
    <w:p w14:paraId="41617F7E" w14:textId="330F5644" w:rsidR="005205D1" w:rsidRPr="00834B27" w:rsidRDefault="005205D1" w:rsidP="00B91E74">
      <w:pPr>
        <w:pStyle w:val="Listparagraf"/>
        <w:numPr>
          <w:ilvl w:val="2"/>
          <w:numId w:val="5"/>
        </w:numPr>
        <w:spacing w:line="276" w:lineRule="auto"/>
        <w:contextualSpacing w:val="0"/>
        <w:jc w:val="both"/>
        <w:rPr>
          <w:rFonts w:ascii="Calibri" w:hAnsi="Calibri" w:cs="Calibri"/>
          <w:b/>
          <w:bCs/>
          <w:lang w:val="ro-RO"/>
        </w:rPr>
      </w:pPr>
      <w:r w:rsidRPr="00834B27">
        <w:rPr>
          <w:rFonts w:ascii="Calibri" w:hAnsi="Calibri" w:cs="Calibri"/>
          <w:b/>
          <w:bCs/>
          <w:lang w:val="ro-RO"/>
        </w:rPr>
        <w:t>I</w:t>
      </w:r>
      <w:r w:rsidR="00196E0E" w:rsidRPr="00834B27">
        <w:rPr>
          <w:rFonts w:ascii="Calibri" w:hAnsi="Calibri" w:cs="Calibri"/>
          <w:b/>
          <w:bCs/>
          <w:lang w:val="ro-RO"/>
        </w:rPr>
        <w:t>V</w:t>
      </w:r>
    </w:p>
    <w:p w14:paraId="0B08E58E" w14:textId="3CEF8275" w:rsidR="00F45006" w:rsidRPr="00834B27" w:rsidRDefault="005205D1" w:rsidP="00294B62">
      <w:pPr>
        <w:spacing w:line="276" w:lineRule="auto"/>
        <w:jc w:val="both"/>
        <w:rPr>
          <w:rFonts w:ascii="Calibri" w:hAnsi="Calibri" w:cs="Calibri"/>
          <w:lang w:val="ro-RO"/>
        </w:rPr>
      </w:pPr>
      <w:r w:rsidRPr="00834B27">
        <w:rPr>
          <w:rFonts w:ascii="Calibri" w:hAnsi="Calibri" w:cs="Calibri"/>
          <w:b/>
          <w:bCs/>
          <w:u w:val="single"/>
          <w:lang w:val="ro-RO"/>
        </w:rPr>
        <w:t xml:space="preserve">Cota de </w:t>
      </w:r>
      <w:r w:rsidR="00C822A7" w:rsidRPr="00834B27">
        <w:rPr>
          <w:rFonts w:ascii="Calibri" w:hAnsi="Calibri" w:cs="Calibri"/>
          <w:b/>
          <w:bCs/>
          <w:u w:val="single"/>
          <w:lang w:val="ro-RO"/>
        </w:rPr>
        <w:t>IV</w:t>
      </w:r>
      <w:r w:rsidRPr="00834B27">
        <w:rPr>
          <w:rFonts w:ascii="Calibri" w:hAnsi="Calibri" w:cs="Calibri"/>
          <w:b/>
          <w:bCs/>
          <w:u w:val="single"/>
          <w:lang w:val="ro-RO"/>
        </w:rPr>
        <w:t>:</w:t>
      </w:r>
      <w:r w:rsidRPr="00834B27">
        <w:rPr>
          <w:rFonts w:ascii="Calibri" w:hAnsi="Calibri" w:cs="Calibri"/>
          <w:lang w:val="ro-RO"/>
        </w:rPr>
        <w:t xml:space="preserve"> 10% din venitul </w:t>
      </w:r>
      <w:r w:rsidR="003F2518" w:rsidRPr="00834B27">
        <w:rPr>
          <w:rFonts w:ascii="Calibri" w:hAnsi="Calibri" w:cs="Calibri"/>
          <w:lang w:val="ro-RO"/>
        </w:rPr>
        <w:t>impozabil</w:t>
      </w:r>
      <w:r w:rsidRPr="00834B27">
        <w:rPr>
          <w:rFonts w:ascii="Calibri" w:hAnsi="Calibri" w:cs="Calibri"/>
          <w:lang w:val="ro-RO"/>
        </w:rPr>
        <w:t>.</w:t>
      </w:r>
      <w:r w:rsidR="00294B62" w:rsidRPr="00834B27">
        <w:rPr>
          <w:rStyle w:val="Referinnotdesubsol"/>
          <w:rFonts w:ascii="Calibri" w:hAnsi="Calibri" w:cs="Calibri"/>
          <w:lang w:val="ro-RO"/>
        </w:rPr>
        <w:footnoteReference w:id="3"/>
      </w:r>
    </w:p>
    <w:p w14:paraId="42895C59" w14:textId="01970E92" w:rsidR="005205D1" w:rsidRPr="00834B27" w:rsidRDefault="005205D1" w:rsidP="00B91E74">
      <w:pPr>
        <w:spacing w:line="276" w:lineRule="auto"/>
        <w:jc w:val="both"/>
        <w:rPr>
          <w:rFonts w:ascii="Calibri" w:hAnsi="Calibri" w:cs="Calibri"/>
          <w:lang w:val="ro-RO"/>
        </w:rPr>
      </w:pPr>
      <w:r w:rsidRPr="00834B27">
        <w:rPr>
          <w:rFonts w:ascii="Calibri" w:hAnsi="Calibri" w:cs="Calibri"/>
          <w:b/>
          <w:bCs/>
          <w:u w:val="single"/>
          <w:lang w:val="ro-RO"/>
        </w:rPr>
        <w:t>Baza de calcul:</w:t>
      </w:r>
      <w:r w:rsidRPr="00834B27">
        <w:rPr>
          <w:rFonts w:ascii="Calibri" w:hAnsi="Calibri" w:cs="Calibri"/>
          <w:lang w:val="ro-RO"/>
        </w:rPr>
        <w:t xml:space="preserve"> </w:t>
      </w:r>
      <w:r w:rsidR="00EC0C95" w:rsidRPr="00834B27">
        <w:rPr>
          <w:rFonts w:ascii="Calibri" w:hAnsi="Calibri" w:cs="Calibri"/>
          <w:lang w:val="ro-RO"/>
        </w:rPr>
        <w:t xml:space="preserve">Venitul </w:t>
      </w:r>
      <w:r w:rsidR="003F2518" w:rsidRPr="00834B27">
        <w:rPr>
          <w:rFonts w:ascii="Calibri" w:hAnsi="Calibri" w:cs="Calibri"/>
          <w:lang w:val="ro-RO"/>
        </w:rPr>
        <w:t>impozabil</w:t>
      </w:r>
      <w:r w:rsidR="00EC0C95" w:rsidRPr="00834B27">
        <w:rPr>
          <w:rFonts w:ascii="Calibri" w:hAnsi="Calibri" w:cs="Calibri"/>
          <w:lang w:val="ro-RO"/>
        </w:rPr>
        <w:t xml:space="preserve"> = </w:t>
      </w:r>
      <w:r w:rsidRPr="00834B27">
        <w:rPr>
          <w:rFonts w:ascii="Calibri" w:hAnsi="Calibri" w:cs="Calibri"/>
          <w:lang w:val="ro-RO"/>
        </w:rPr>
        <w:t xml:space="preserve">Venitul brut </w:t>
      </w:r>
      <w:r w:rsidR="00294B62" w:rsidRPr="00834B27">
        <w:rPr>
          <w:rFonts w:ascii="Calibri" w:hAnsi="Calibri" w:cs="Calibri"/>
          <w:lang w:val="ro-RO"/>
        </w:rPr>
        <w:t>-</w:t>
      </w:r>
      <w:r w:rsidRPr="00834B27">
        <w:rPr>
          <w:rFonts w:ascii="Calibri" w:hAnsi="Calibri" w:cs="Calibri"/>
          <w:lang w:val="ro-RO"/>
        </w:rPr>
        <w:t xml:space="preserve"> CAS </w:t>
      </w:r>
      <w:r w:rsidR="00294B62" w:rsidRPr="00834B27">
        <w:rPr>
          <w:rFonts w:ascii="Calibri" w:hAnsi="Calibri" w:cs="Calibri"/>
          <w:lang w:val="ro-RO"/>
        </w:rPr>
        <w:t xml:space="preserve">- </w:t>
      </w:r>
      <w:r w:rsidRPr="00834B27">
        <w:rPr>
          <w:rFonts w:ascii="Calibri" w:hAnsi="Calibri" w:cs="Calibri"/>
          <w:lang w:val="ro-RO"/>
        </w:rPr>
        <w:t xml:space="preserve">CASS </w:t>
      </w:r>
      <w:r w:rsidR="00294B62" w:rsidRPr="00834B27">
        <w:rPr>
          <w:rFonts w:ascii="Calibri" w:hAnsi="Calibri" w:cs="Calibri"/>
          <w:lang w:val="ro-RO"/>
        </w:rPr>
        <w:t>-</w:t>
      </w:r>
      <w:r w:rsidRPr="00834B27">
        <w:rPr>
          <w:rFonts w:ascii="Calibri" w:hAnsi="Calibri" w:cs="Calibri"/>
          <w:lang w:val="ro-RO"/>
        </w:rPr>
        <w:t xml:space="preserve"> DP</w:t>
      </w:r>
      <w:r w:rsidR="00C822A7" w:rsidRPr="00834B27">
        <w:rPr>
          <w:rFonts w:ascii="Calibri" w:hAnsi="Calibri" w:cs="Calibri"/>
          <w:lang w:val="ro-RO"/>
        </w:rPr>
        <w:t xml:space="preserve"> </w:t>
      </w:r>
      <w:r w:rsidR="00294B62" w:rsidRPr="00834B27">
        <w:rPr>
          <w:rFonts w:ascii="Calibri" w:hAnsi="Calibri" w:cs="Calibri"/>
          <w:lang w:val="ro-RO"/>
        </w:rPr>
        <w:t xml:space="preserve">- </w:t>
      </w:r>
      <w:r w:rsidR="00C822A7" w:rsidRPr="00834B27">
        <w:rPr>
          <w:rFonts w:ascii="Calibri" w:hAnsi="Calibri" w:cs="Calibri"/>
          <w:lang w:val="ro-RO"/>
        </w:rPr>
        <w:t>Alte deduceri</w:t>
      </w:r>
    </w:p>
    <w:p w14:paraId="764469B3" w14:textId="6983D91A" w:rsidR="005221C9" w:rsidRPr="00834B27" w:rsidRDefault="00854521" w:rsidP="00B91E74">
      <w:pPr>
        <w:spacing w:line="276" w:lineRule="auto"/>
        <w:jc w:val="both"/>
        <w:rPr>
          <w:rFonts w:ascii="Calibri" w:hAnsi="Calibri" w:cs="Calibri"/>
          <w:lang w:val="ro-RO"/>
        </w:rPr>
      </w:pPr>
      <w:r w:rsidRPr="00834B27">
        <w:rPr>
          <w:rFonts w:ascii="Calibri" w:hAnsi="Calibri" w:cs="Calibri"/>
          <w:lang w:val="ro-RO"/>
        </w:rPr>
        <w:t>„</w:t>
      </w:r>
      <w:r w:rsidR="00C822A7" w:rsidRPr="00834B27">
        <w:rPr>
          <w:rFonts w:ascii="Calibri" w:hAnsi="Calibri" w:cs="Calibri"/>
          <w:lang w:val="ro-RO"/>
        </w:rPr>
        <w:t xml:space="preserve">Alte deduceri” </w:t>
      </w:r>
      <w:r w:rsidRPr="00834B27">
        <w:rPr>
          <w:rFonts w:ascii="Calibri" w:hAnsi="Calibri" w:cs="Calibri"/>
          <w:lang w:val="ro-RO"/>
        </w:rPr>
        <w:t>reprezintă</w:t>
      </w:r>
      <w:r w:rsidR="00C822A7" w:rsidRPr="00834B27">
        <w:rPr>
          <w:rFonts w:ascii="Calibri" w:hAnsi="Calibri" w:cs="Calibri"/>
          <w:lang w:val="ro-RO"/>
        </w:rPr>
        <w:t xml:space="preserve"> diverse sume ce pot fi </w:t>
      </w:r>
      <w:r w:rsidRPr="00834B27">
        <w:rPr>
          <w:rFonts w:ascii="Calibri" w:hAnsi="Calibri" w:cs="Calibri"/>
          <w:lang w:val="ro-RO"/>
        </w:rPr>
        <w:t>scăzute</w:t>
      </w:r>
      <w:r w:rsidR="00C822A7" w:rsidRPr="00834B27">
        <w:rPr>
          <w:rFonts w:ascii="Calibri" w:hAnsi="Calibri" w:cs="Calibri"/>
          <w:lang w:val="ro-RO"/>
        </w:rPr>
        <w:t xml:space="preserve"> din baza de calcul al IV, conform reglement</w:t>
      </w:r>
      <w:r w:rsidR="00F56454" w:rsidRPr="00834B27">
        <w:rPr>
          <w:rFonts w:ascii="Calibri" w:hAnsi="Calibri" w:cs="Calibri"/>
          <w:lang w:val="ro-RO"/>
        </w:rPr>
        <w:t>ă</w:t>
      </w:r>
      <w:r w:rsidR="00C822A7" w:rsidRPr="00834B27">
        <w:rPr>
          <w:rFonts w:ascii="Calibri" w:hAnsi="Calibri" w:cs="Calibri"/>
          <w:lang w:val="ro-RO"/>
        </w:rPr>
        <w:t xml:space="preserve">rilor de la </w:t>
      </w:r>
      <w:r w:rsidR="00AD674C" w:rsidRPr="00834B27">
        <w:rPr>
          <w:rFonts w:ascii="Calibri" w:hAnsi="Calibri" w:cs="Calibri"/>
          <w:lang w:val="ro-RO"/>
        </w:rPr>
        <w:t>a</w:t>
      </w:r>
      <w:r w:rsidR="00C822A7" w:rsidRPr="00834B27">
        <w:rPr>
          <w:rFonts w:ascii="Calibri" w:hAnsi="Calibri" w:cs="Calibri"/>
          <w:lang w:val="ro-RO"/>
        </w:rPr>
        <w:t>rt. 78 din CF.</w:t>
      </w:r>
    </w:p>
    <w:p w14:paraId="6D8A65B1" w14:textId="433C9A1B" w:rsidR="00862D61" w:rsidRPr="00834B27" w:rsidRDefault="00862D61" w:rsidP="00B91E74">
      <w:pPr>
        <w:spacing w:line="276" w:lineRule="auto"/>
        <w:jc w:val="both"/>
        <w:rPr>
          <w:rFonts w:ascii="Calibri" w:hAnsi="Calibri" w:cs="Calibri"/>
          <w:lang w:val="ro-RO"/>
        </w:rPr>
      </w:pPr>
      <w:r w:rsidRPr="00834B27">
        <w:rPr>
          <w:rFonts w:ascii="Calibri" w:hAnsi="Calibri" w:cs="Calibri"/>
          <w:b/>
          <w:bCs/>
          <w:u w:val="single"/>
          <w:lang w:val="ro-RO"/>
        </w:rPr>
        <w:t>Plata:</w:t>
      </w:r>
      <w:r w:rsidRPr="00834B27">
        <w:rPr>
          <w:rFonts w:ascii="Calibri" w:hAnsi="Calibri" w:cs="Calibri"/>
          <w:lang w:val="ro-RO"/>
        </w:rPr>
        <w:t xml:space="preserve"> IV se re</w:t>
      </w:r>
      <w:r w:rsidR="00D77C4B" w:rsidRPr="00834B27">
        <w:rPr>
          <w:rFonts w:ascii="Calibri" w:hAnsi="Calibri" w:cs="Calibri"/>
          <w:lang w:val="ro-RO"/>
        </w:rPr>
        <w:t>ț</w:t>
      </w:r>
      <w:r w:rsidRPr="00834B27">
        <w:rPr>
          <w:rFonts w:ascii="Calibri" w:hAnsi="Calibri" w:cs="Calibri"/>
          <w:lang w:val="ro-RO"/>
        </w:rPr>
        <w:t>ine lunar de c</w:t>
      </w:r>
      <w:r w:rsidR="00854521" w:rsidRPr="00834B27">
        <w:rPr>
          <w:rFonts w:ascii="Calibri" w:hAnsi="Calibri" w:cs="Calibri"/>
          <w:lang w:val="ro-RO"/>
        </w:rPr>
        <w:t>ă</w:t>
      </w:r>
      <w:r w:rsidRPr="00834B27">
        <w:rPr>
          <w:rFonts w:ascii="Calibri" w:hAnsi="Calibri" w:cs="Calibri"/>
          <w:lang w:val="ro-RO"/>
        </w:rPr>
        <w:t xml:space="preserve">tre angajator </w:t>
      </w:r>
      <w:r w:rsidR="00854521" w:rsidRPr="00834B27">
        <w:rPr>
          <w:rFonts w:ascii="Calibri" w:hAnsi="Calibri" w:cs="Calibri"/>
          <w:lang w:val="ro-RO"/>
        </w:rPr>
        <w:t>ș</w:t>
      </w:r>
      <w:r w:rsidRPr="00834B27">
        <w:rPr>
          <w:rFonts w:ascii="Calibri" w:hAnsi="Calibri" w:cs="Calibri"/>
          <w:lang w:val="ro-RO"/>
        </w:rPr>
        <w:t xml:space="preserve">i se </w:t>
      </w:r>
      <w:r w:rsidR="00854521" w:rsidRPr="00834B27">
        <w:rPr>
          <w:rFonts w:ascii="Calibri" w:hAnsi="Calibri" w:cs="Calibri"/>
          <w:lang w:val="ro-RO"/>
        </w:rPr>
        <w:t>virează</w:t>
      </w:r>
      <w:r w:rsidRPr="00834B27">
        <w:rPr>
          <w:rFonts w:ascii="Calibri" w:hAnsi="Calibri" w:cs="Calibri"/>
          <w:lang w:val="ro-RO"/>
        </w:rPr>
        <w:t xml:space="preserve"> la buget p</w:t>
      </w:r>
      <w:r w:rsidR="00854521" w:rsidRPr="00834B27">
        <w:rPr>
          <w:rFonts w:ascii="Calibri" w:hAnsi="Calibri" w:cs="Calibri"/>
          <w:lang w:val="ro-RO"/>
        </w:rPr>
        <w:t>â</w:t>
      </w:r>
      <w:r w:rsidRPr="00834B27">
        <w:rPr>
          <w:rFonts w:ascii="Calibri" w:hAnsi="Calibri" w:cs="Calibri"/>
          <w:lang w:val="ro-RO"/>
        </w:rPr>
        <w:t>n</w:t>
      </w:r>
      <w:r w:rsidR="00854521" w:rsidRPr="00834B27">
        <w:rPr>
          <w:rFonts w:ascii="Calibri" w:hAnsi="Calibri" w:cs="Calibri"/>
          <w:lang w:val="ro-RO"/>
        </w:rPr>
        <w:t>ă</w:t>
      </w:r>
      <w:r w:rsidRPr="00834B27">
        <w:rPr>
          <w:rFonts w:ascii="Calibri" w:hAnsi="Calibri" w:cs="Calibri"/>
          <w:lang w:val="ro-RO"/>
        </w:rPr>
        <w:t xml:space="preserve"> pe data 25 ale lunii </w:t>
      </w:r>
      <w:r w:rsidR="00854521" w:rsidRPr="00834B27">
        <w:rPr>
          <w:rFonts w:ascii="Calibri" w:hAnsi="Calibri" w:cs="Calibri"/>
          <w:lang w:val="ro-RO"/>
        </w:rPr>
        <w:t>următoare</w:t>
      </w:r>
      <w:r w:rsidRPr="00834B27">
        <w:rPr>
          <w:rFonts w:ascii="Calibri" w:hAnsi="Calibri" w:cs="Calibri"/>
          <w:lang w:val="ro-RO"/>
        </w:rPr>
        <w:t xml:space="preserve">, </w:t>
      </w:r>
      <w:r w:rsidR="00854521" w:rsidRPr="00834B27">
        <w:rPr>
          <w:rFonts w:ascii="Calibri" w:hAnsi="Calibri" w:cs="Calibri"/>
          <w:lang w:val="ro-RO"/>
        </w:rPr>
        <w:t>împreună</w:t>
      </w:r>
      <w:r w:rsidRPr="00834B27">
        <w:rPr>
          <w:rFonts w:ascii="Calibri" w:hAnsi="Calibri" w:cs="Calibri"/>
          <w:lang w:val="ro-RO"/>
        </w:rPr>
        <w:t xml:space="preserve"> cu CAS </w:t>
      </w:r>
      <w:r w:rsidR="00854521" w:rsidRPr="00834B27">
        <w:rPr>
          <w:rFonts w:ascii="Calibri" w:hAnsi="Calibri" w:cs="Calibri"/>
          <w:lang w:val="ro-RO"/>
        </w:rPr>
        <w:t>ș</w:t>
      </w:r>
      <w:r w:rsidRPr="00834B27">
        <w:rPr>
          <w:rFonts w:ascii="Calibri" w:hAnsi="Calibri" w:cs="Calibri"/>
          <w:lang w:val="ro-RO"/>
        </w:rPr>
        <w:t xml:space="preserve">i CASS. Angajatorii au </w:t>
      </w:r>
      <w:r w:rsidR="00854521" w:rsidRPr="00834B27">
        <w:rPr>
          <w:rFonts w:ascii="Calibri" w:hAnsi="Calibri" w:cs="Calibri"/>
          <w:lang w:val="ro-RO"/>
        </w:rPr>
        <w:t>obliga</w:t>
      </w:r>
      <w:r w:rsidR="00D77C4B" w:rsidRPr="00834B27">
        <w:rPr>
          <w:rFonts w:ascii="Calibri" w:hAnsi="Calibri" w:cs="Calibri"/>
          <w:lang w:val="ro-RO"/>
        </w:rPr>
        <w:t>ț</w:t>
      </w:r>
      <w:r w:rsidR="00854521" w:rsidRPr="00834B27">
        <w:rPr>
          <w:rFonts w:ascii="Calibri" w:hAnsi="Calibri" w:cs="Calibri"/>
          <w:lang w:val="ro-RO"/>
        </w:rPr>
        <w:t>ia</w:t>
      </w:r>
      <w:r w:rsidRPr="00834B27">
        <w:rPr>
          <w:rFonts w:ascii="Calibri" w:hAnsi="Calibri" w:cs="Calibri"/>
          <w:lang w:val="ro-RO"/>
        </w:rPr>
        <w:t xml:space="preserve"> s</w:t>
      </w:r>
      <w:r w:rsidR="00854521" w:rsidRPr="00834B27">
        <w:rPr>
          <w:rFonts w:ascii="Calibri" w:hAnsi="Calibri" w:cs="Calibri"/>
          <w:lang w:val="ro-RO"/>
        </w:rPr>
        <w:t>ă</w:t>
      </w:r>
      <w:r w:rsidRPr="00834B27">
        <w:rPr>
          <w:rFonts w:ascii="Calibri" w:hAnsi="Calibri" w:cs="Calibri"/>
          <w:lang w:val="ro-RO"/>
        </w:rPr>
        <w:t xml:space="preserve"> </w:t>
      </w:r>
      <w:r w:rsidR="00854521" w:rsidRPr="00834B27">
        <w:rPr>
          <w:rFonts w:ascii="Calibri" w:hAnsi="Calibri" w:cs="Calibri"/>
          <w:lang w:val="ro-RO"/>
        </w:rPr>
        <w:t>depună</w:t>
      </w:r>
      <w:r w:rsidRPr="00834B27">
        <w:rPr>
          <w:rFonts w:ascii="Calibri" w:hAnsi="Calibri" w:cs="Calibri"/>
          <w:lang w:val="ro-RO"/>
        </w:rPr>
        <w:t xml:space="preserve"> D112</w:t>
      </w:r>
      <w:r w:rsidR="00B927AF" w:rsidRPr="00834B27">
        <w:rPr>
          <w:rFonts w:ascii="Calibri" w:hAnsi="Calibri" w:cs="Calibri"/>
          <w:lang w:val="ro-RO"/>
        </w:rPr>
        <w:t xml:space="preserve"> lunar sau trimestrial</w:t>
      </w:r>
      <w:r w:rsidRPr="00834B27">
        <w:rPr>
          <w:rFonts w:ascii="Calibri" w:hAnsi="Calibri" w:cs="Calibri"/>
          <w:lang w:val="ro-RO"/>
        </w:rPr>
        <w:t>.</w:t>
      </w:r>
    </w:p>
    <w:p w14:paraId="2CA5F42D" w14:textId="716C1D5A" w:rsidR="00EA40B7" w:rsidRPr="00834B27" w:rsidRDefault="00EA40B7" w:rsidP="00B91E74">
      <w:pPr>
        <w:spacing w:line="276" w:lineRule="auto"/>
        <w:jc w:val="both"/>
        <w:rPr>
          <w:rFonts w:ascii="Calibri" w:hAnsi="Calibri" w:cs="Calibri"/>
          <w:lang w:val="ro-RO"/>
        </w:rPr>
      </w:pPr>
    </w:p>
    <w:p w14:paraId="3CCAEB22" w14:textId="0C147EFC" w:rsidR="005C54CB" w:rsidRPr="00834B27" w:rsidRDefault="00C822A7" w:rsidP="00B91E74">
      <w:pPr>
        <w:spacing w:line="276" w:lineRule="auto"/>
        <w:jc w:val="both"/>
        <w:rPr>
          <w:rFonts w:ascii="Calibri" w:hAnsi="Calibri" w:cs="Calibri"/>
          <w:b/>
          <w:bCs/>
          <w:i/>
          <w:iCs/>
          <w:lang w:val="ro-RO"/>
        </w:rPr>
      </w:pPr>
      <w:r w:rsidRPr="00834B27">
        <w:rPr>
          <w:rFonts w:ascii="Calibri" w:hAnsi="Calibri" w:cs="Calibri"/>
          <w:b/>
          <w:bCs/>
          <w:i/>
          <w:iCs/>
          <w:lang w:val="ro-RO"/>
        </w:rPr>
        <w:t>Scurt istoric</w:t>
      </w:r>
    </w:p>
    <w:p w14:paraId="4AB9F0F1" w14:textId="2738E9B8" w:rsidR="005C54CB" w:rsidRPr="00834B27" w:rsidRDefault="0092389E" w:rsidP="00B91E74">
      <w:pPr>
        <w:spacing w:line="276" w:lineRule="auto"/>
        <w:jc w:val="both"/>
        <w:rPr>
          <w:rFonts w:ascii="Calibri" w:hAnsi="Calibri" w:cs="Calibri"/>
          <w:i/>
          <w:iCs/>
          <w:lang w:val="ro-RO"/>
        </w:rPr>
      </w:pPr>
      <w:r w:rsidRPr="00834B27">
        <w:rPr>
          <w:rFonts w:ascii="Calibri" w:hAnsi="Calibri" w:cs="Calibri"/>
          <w:i/>
          <w:iCs/>
          <w:lang w:val="ro-RO"/>
        </w:rPr>
        <w:t>P</w:t>
      </w:r>
      <w:r w:rsidR="009D30CD" w:rsidRPr="00834B27">
        <w:rPr>
          <w:rFonts w:ascii="Calibri" w:hAnsi="Calibri" w:cs="Calibri"/>
          <w:i/>
          <w:iCs/>
          <w:lang w:val="ro-RO"/>
        </w:rPr>
        <w:t>â</w:t>
      </w:r>
      <w:r w:rsidRPr="00834B27">
        <w:rPr>
          <w:rFonts w:ascii="Calibri" w:hAnsi="Calibri" w:cs="Calibri"/>
          <w:i/>
          <w:iCs/>
          <w:lang w:val="ro-RO"/>
        </w:rPr>
        <w:t>n</w:t>
      </w:r>
      <w:r w:rsidR="009D30CD" w:rsidRPr="00834B27">
        <w:rPr>
          <w:rFonts w:ascii="Calibri" w:hAnsi="Calibri" w:cs="Calibri"/>
          <w:i/>
          <w:iCs/>
          <w:lang w:val="ro-RO"/>
        </w:rPr>
        <w:t>ă</w:t>
      </w:r>
      <w:r w:rsidRPr="00834B27">
        <w:rPr>
          <w:rFonts w:ascii="Calibri" w:hAnsi="Calibri" w:cs="Calibri"/>
          <w:i/>
          <w:iCs/>
          <w:lang w:val="ro-RO"/>
        </w:rPr>
        <w:t xml:space="preserve"> </w:t>
      </w:r>
      <w:r w:rsidR="009D30CD" w:rsidRPr="00834B27">
        <w:rPr>
          <w:rFonts w:ascii="Calibri" w:hAnsi="Calibri" w:cs="Calibri"/>
          <w:i/>
          <w:iCs/>
          <w:lang w:val="ro-RO"/>
        </w:rPr>
        <w:t>î</w:t>
      </w:r>
      <w:r w:rsidRPr="00834B27">
        <w:rPr>
          <w:rFonts w:ascii="Calibri" w:hAnsi="Calibri" w:cs="Calibri"/>
          <w:i/>
          <w:iCs/>
          <w:lang w:val="ro-RO"/>
        </w:rPr>
        <w:t>n anul 2004, v</w:t>
      </w:r>
      <w:r w:rsidR="00C822A7" w:rsidRPr="00834B27">
        <w:rPr>
          <w:rFonts w:ascii="Calibri" w:hAnsi="Calibri" w:cs="Calibri"/>
          <w:i/>
          <w:iCs/>
          <w:lang w:val="ro-RO"/>
        </w:rPr>
        <w:t xml:space="preserve">eniturile din salarii </w:t>
      </w:r>
      <w:r w:rsidR="009D30CD" w:rsidRPr="00834B27">
        <w:rPr>
          <w:rFonts w:ascii="Calibri" w:hAnsi="Calibri" w:cs="Calibri"/>
          <w:i/>
          <w:iCs/>
          <w:lang w:val="ro-RO"/>
        </w:rPr>
        <w:t>ș</w:t>
      </w:r>
      <w:r w:rsidR="00C822A7" w:rsidRPr="00834B27">
        <w:rPr>
          <w:rFonts w:ascii="Calibri" w:hAnsi="Calibri" w:cs="Calibri"/>
          <w:i/>
          <w:iCs/>
          <w:lang w:val="ro-RO"/>
        </w:rPr>
        <w:t xml:space="preserve">i asimilate salariilor au fost supuse unei </w:t>
      </w:r>
      <w:r w:rsidR="009D30CD" w:rsidRPr="00834B27">
        <w:rPr>
          <w:rFonts w:ascii="Calibri" w:hAnsi="Calibri" w:cs="Calibri"/>
          <w:i/>
          <w:iCs/>
          <w:lang w:val="ro-RO"/>
        </w:rPr>
        <w:t>impozitări</w:t>
      </w:r>
      <w:r w:rsidR="00C822A7" w:rsidRPr="00834B27">
        <w:rPr>
          <w:rFonts w:ascii="Calibri" w:hAnsi="Calibri" w:cs="Calibri"/>
          <w:i/>
          <w:iCs/>
          <w:lang w:val="ro-RO"/>
        </w:rPr>
        <w:t xml:space="preserve"> progresive, cu cote de</w:t>
      </w:r>
      <w:r w:rsidR="00EB4A70" w:rsidRPr="00834B27">
        <w:rPr>
          <w:rFonts w:ascii="Calibri" w:hAnsi="Calibri" w:cs="Calibri"/>
          <w:i/>
          <w:iCs/>
          <w:lang w:val="ro-RO"/>
        </w:rPr>
        <w:t xml:space="preserve"> 18%/23%/28%/34%/40%</w:t>
      </w:r>
      <w:r w:rsidRPr="00834B27">
        <w:rPr>
          <w:rFonts w:ascii="Calibri" w:hAnsi="Calibri" w:cs="Calibri"/>
          <w:i/>
          <w:iCs/>
          <w:lang w:val="ro-RO"/>
        </w:rPr>
        <w:t>, cota maxim</w:t>
      </w:r>
      <w:r w:rsidR="009D30CD" w:rsidRPr="00834B27">
        <w:rPr>
          <w:rFonts w:ascii="Calibri" w:hAnsi="Calibri" w:cs="Calibri"/>
          <w:i/>
          <w:iCs/>
          <w:lang w:val="ro-RO"/>
        </w:rPr>
        <w:t>ă</w:t>
      </w:r>
      <w:r w:rsidRPr="00834B27">
        <w:rPr>
          <w:rFonts w:ascii="Calibri" w:hAnsi="Calibri" w:cs="Calibri"/>
          <w:i/>
          <w:iCs/>
          <w:lang w:val="ro-RO"/>
        </w:rPr>
        <w:t xml:space="preserve"> fiind aplicabil</w:t>
      </w:r>
      <w:r w:rsidR="009D30CD" w:rsidRPr="00834B27">
        <w:rPr>
          <w:rFonts w:ascii="Calibri" w:hAnsi="Calibri" w:cs="Calibri"/>
          <w:i/>
          <w:iCs/>
          <w:lang w:val="ro-RO"/>
        </w:rPr>
        <w:t>ă</w:t>
      </w:r>
      <w:r w:rsidRPr="00834B27">
        <w:rPr>
          <w:rFonts w:ascii="Calibri" w:hAnsi="Calibri" w:cs="Calibri"/>
          <w:i/>
          <w:iCs/>
          <w:lang w:val="ro-RO"/>
        </w:rPr>
        <w:t xml:space="preserve"> </w:t>
      </w:r>
      <w:r w:rsidR="009D30CD" w:rsidRPr="00834B27">
        <w:rPr>
          <w:rFonts w:ascii="Calibri" w:hAnsi="Calibri" w:cs="Calibri"/>
          <w:i/>
          <w:iCs/>
          <w:lang w:val="ro-RO"/>
        </w:rPr>
        <w:t>începând</w:t>
      </w:r>
      <w:r w:rsidRPr="00834B27">
        <w:rPr>
          <w:rFonts w:ascii="Calibri" w:hAnsi="Calibri" w:cs="Calibri"/>
          <w:i/>
          <w:iCs/>
          <w:lang w:val="ro-RO"/>
        </w:rPr>
        <w:t xml:space="preserve"> de la un prag foarte </w:t>
      </w:r>
      <w:r w:rsidR="009D30CD" w:rsidRPr="00834B27">
        <w:rPr>
          <w:rFonts w:ascii="Calibri" w:hAnsi="Calibri" w:cs="Calibri"/>
          <w:i/>
          <w:iCs/>
          <w:lang w:val="ro-RO"/>
        </w:rPr>
        <w:t>scăzut</w:t>
      </w:r>
      <w:r w:rsidRPr="00834B27">
        <w:rPr>
          <w:rFonts w:ascii="Calibri" w:hAnsi="Calibri" w:cs="Calibri"/>
          <w:i/>
          <w:iCs/>
          <w:lang w:val="ro-RO"/>
        </w:rPr>
        <w:t xml:space="preserve">, de aproximativ 350 </w:t>
      </w:r>
      <w:r w:rsidR="00294B62" w:rsidRPr="00834B27">
        <w:rPr>
          <w:rFonts w:ascii="Calibri" w:hAnsi="Calibri" w:cs="Calibri"/>
          <w:i/>
          <w:iCs/>
          <w:lang w:val="ro-RO"/>
        </w:rPr>
        <w:t>e</w:t>
      </w:r>
      <w:r w:rsidRPr="00834B27">
        <w:rPr>
          <w:rFonts w:ascii="Calibri" w:hAnsi="Calibri" w:cs="Calibri"/>
          <w:i/>
          <w:iCs/>
          <w:lang w:val="ro-RO"/>
        </w:rPr>
        <w:t>ur</w:t>
      </w:r>
      <w:r w:rsidR="009D30CD" w:rsidRPr="00834B27">
        <w:rPr>
          <w:rFonts w:ascii="Calibri" w:hAnsi="Calibri" w:cs="Calibri"/>
          <w:i/>
          <w:iCs/>
          <w:lang w:val="ro-RO"/>
        </w:rPr>
        <w:t>o</w:t>
      </w:r>
      <w:r w:rsidRPr="00834B27">
        <w:rPr>
          <w:rFonts w:ascii="Calibri" w:hAnsi="Calibri" w:cs="Calibri"/>
          <w:i/>
          <w:iCs/>
          <w:lang w:val="ro-RO"/>
        </w:rPr>
        <w:t>/lun</w:t>
      </w:r>
      <w:r w:rsidR="00294B62" w:rsidRPr="00834B27">
        <w:rPr>
          <w:rFonts w:ascii="Calibri" w:hAnsi="Calibri" w:cs="Calibri"/>
          <w:i/>
          <w:iCs/>
          <w:lang w:val="ro-RO"/>
        </w:rPr>
        <w:t>ă</w:t>
      </w:r>
      <w:r w:rsidRPr="00834B27">
        <w:rPr>
          <w:rFonts w:ascii="Calibri" w:hAnsi="Calibri" w:cs="Calibri"/>
          <w:i/>
          <w:iCs/>
          <w:lang w:val="ro-RO"/>
        </w:rPr>
        <w:t>.</w:t>
      </w:r>
    </w:p>
    <w:p w14:paraId="7572FF71" w14:textId="3E83A553" w:rsidR="0092389E" w:rsidRPr="00834B27" w:rsidRDefault="009D30CD" w:rsidP="00B91E74">
      <w:pPr>
        <w:spacing w:line="276" w:lineRule="auto"/>
        <w:jc w:val="both"/>
        <w:rPr>
          <w:rFonts w:ascii="Calibri" w:hAnsi="Calibri" w:cs="Calibri"/>
          <w:i/>
          <w:iCs/>
          <w:lang w:val="ro-RO"/>
        </w:rPr>
      </w:pPr>
      <w:r w:rsidRPr="00834B27">
        <w:rPr>
          <w:rFonts w:ascii="Calibri" w:hAnsi="Calibri" w:cs="Calibri"/>
          <w:i/>
          <w:iCs/>
          <w:lang w:val="ro-RO"/>
        </w:rPr>
        <w:t>Începând</w:t>
      </w:r>
      <w:r w:rsidR="0092389E" w:rsidRPr="00834B27">
        <w:rPr>
          <w:rFonts w:ascii="Calibri" w:hAnsi="Calibri" w:cs="Calibri"/>
          <w:i/>
          <w:iCs/>
          <w:lang w:val="ro-RO"/>
        </w:rPr>
        <w:t xml:space="preserve"> cu anul 2005, sistemul progresiv a fost </w:t>
      </w:r>
      <w:r w:rsidRPr="00834B27">
        <w:rPr>
          <w:rFonts w:ascii="Calibri" w:hAnsi="Calibri" w:cs="Calibri"/>
          <w:i/>
          <w:iCs/>
          <w:lang w:val="ro-RO"/>
        </w:rPr>
        <w:t>înlocuit</w:t>
      </w:r>
      <w:r w:rsidR="0092389E" w:rsidRPr="00834B27">
        <w:rPr>
          <w:rFonts w:ascii="Calibri" w:hAnsi="Calibri" w:cs="Calibri"/>
          <w:i/>
          <w:iCs/>
          <w:lang w:val="ro-RO"/>
        </w:rPr>
        <w:t xml:space="preserve"> cu o cot</w:t>
      </w:r>
      <w:r w:rsidRPr="00834B27">
        <w:rPr>
          <w:rFonts w:ascii="Calibri" w:hAnsi="Calibri" w:cs="Calibri"/>
          <w:i/>
          <w:iCs/>
          <w:lang w:val="ro-RO"/>
        </w:rPr>
        <w:t>ă</w:t>
      </w:r>
      <w:r w:rsidR="0092389E" w:rsidRPr="00834B27">
        <w:rPr>
          <w:rFonts w:ascii="Calibri" w:hAnsi="Calibri" w:cs="Calibri"/>
          <w:i/>
          <w:iCs/>
          <w:lang w:val="ro-RO"/>
        </w:rPr>
        <w:t xml:space="preserve"> unic</w:t>
      </w:r>
      <w:r w:rsidRPr="00834B27">
        <w:rPr>
          <w:rFonts w:ascii="Calibri" w:hAnsi="Calibri" w:cs="Calibri"/>
          <w:i/>
          <w:iCs/>
          <w:lang w:val="ro-RO"/>
        </w:rPr>
        <w:t>ă</w:t>
      </w:r>
      <w:r w:rsidR="0092389E" w:rsidRPr="00834B27">
        <w:rPr>
          <w:rFonts w:ascii="Calibri" w:hAnsi="Calibri" w:cs="Calibri"/>
          <w:i/>
          <w:iCs/>
          <w:lang w:val="ro-RO"/>
        </w:rPr>
        <w:t xml:space="preserve"> de impozit de 16%, cot</w:t>
      </w:r>
      <w:r w:rsidRPr="00834B27">
        <w:rPr>
          <w:rFonts w:ascii="Calibri" w:hAnsi="Calibri" w:cs="Calibri"/>
          <w:i/>
          <w:iCs/>
          <w:lang w:val="ro-RO"/>
        </w:rPr>
        <w:t>ă</w:t>
      </w:r>
      <w:r w:rsidR="0092389E" w:rsidRPr="00834B27">
        <w:rPr>
          <w:rFonts w:ascii="Calibri" w:hAnsi="Calibri" w:cs="Calibri"/>
          <w:i/>
          <w:iCs/>
          <w:lang w:val="ro-RO"/>
        </w:rPr>
        <w:t xml:space="preserve"> ce a fost </w:t>
      </w:r>
      <w:r w:rsidRPr="00834B27">
        <w:rPr>
          <w:rFonts w:ascii="Calibri" w:hAnsi="Calibri" w:cs="Calibri"/>
          <w:i/>
          <w:iCs/>
          <w:lang w:val="ro-RO"/>
        </w:rPr>
        <w:t>păstrată</w:t>
      </w:r>
      <w:r w:rsidR="0092389E" w:rsidRPr="00834B27">
        <w:rPr>
          <w:rFonts w:ascii="Calibri" w:hAnsi="Calibri" w:cs="Calibri"/>
          <w:i/>
          <w:iCs/>
          <w:lang w:val="ro-RO"/>
        </w:rPr>
        <w:t xml:space="preserve"> p</w:t>
      </w:r>
      <w:r w:rsidRPr="00834B27">
        <w:rPr>
          <w:rFonts w:ascii="Calibri" w:hAnsi="Calibri" w:cs="Calibri"/>
          <w:i/>
          <w:iCs/>
          <w:lang w:val="ro-RO"/>
        </w:rPr>
        <w:t>â</w:t>
      </w:r>
      <w:r w:rsidR="0092389E" w:rsidRPr="00834B27">
        <w:rPr>
          <w:rFonts w:ascii="Calibri" w:hAnsi="Calibri" w:cs="Calibri"/>
          <w:i/>
          <w:iCs/>
          <w:lang w:val="ro-RO"/>
        </w:rPr>
        <w:t>n</w:t>
      </w:r>
      <w:r w:rsidRPr="00834B27">
        <w:rPr>
          <w:rFonts w:ascii="Calibri" w:hAnsi="Calibri" w:cs="Calibri"/>
          <w:i/>
          <w:iCs/>
          <w:lang w:val="ro-RO"/>
        </w:rPr>
        <w:t>ă</w:t>
      </w:r>
      <w:r w:rsidR="0092389E" w:rsidRPr="00834B27">
        <w:rPr>
          <w:rFonts w:ascii="Calibri" w:hAnsi="Calibri" w:cs="Calibri"/>
          <w:i/>
          <w:iCs/>
          <w:lang w:val="ro-RO"/>
        </w:rPr>
        <w:t xml:space="preserve"> </w:t>
      </w:r>
      <w:r w:rsidRPr="00834B27">
        <w:rPr>
          <w:rFonts w:ascii="Calibri" w:hAnsi="Calibri" w:cs="Calibri"/>
          <w:i/>
          <w:iCs/>
          <w:lang w:val="ro-RO"/>
        </w:rPr>
        <w:t>î</w:t>
      </w:r>
      <w:r w:rsidR="0092389E" w:rsidRPr="00834B27">
        <w:rPr>
          <w:rFonts w:ascii="Calibri" w:hAnsi="Calibri" w:cs="Calibri"/>
          <w:i/>
          <w:iCs/>
          <w:lang w:val="ro-RO"/>
        </w:rPr>
        <w:t>n anul 2017 inclusiv.</w:t>
      </w:r>
    </w:p>
    <w:p w14:paraId="3069A878" w14:textId="4A9A023F" w:rsidR="0092389E" w:rsidRPr="00834B27" w:rsidRDefault="009D30CD" w:rsidP="00B91E74">
      <w:pPr>
        <w:spacing w:line="276" w:lineRule="auto"/>
        <w:jc w:val="both"/>
        <w:rPr>
          <w:rFonts w:ascii="Calibri" w:hAnsi="Calibri" w:cs="Calibri"/>
          <w:i/>
          <w:iCs/>
          <w:lang w:val="ro-RO"/>
        </w:rPr>
      </w:pPr>
      <w:r w:rsidRPr="00834B27">
        <w:rPr>
          <w:rFonts w:ascii="Calibri" w:hAnsi="Calibri" w:cs="Calibri"/>
          <w:i/>
          <w:iCs/>
          <w:lang w:val="ro-RO"/>
        </w:rPr>
        <w:t>Începând</w:t>
      </w:r>
      <w:r w:rsidR="0092389E" w:rsidRPr="00834B27">
        <w:rPr>
          <w:rFonts w:ascii="Calibri" w:hAnsi="Calibri" w:cs="Calibri"/>
          <w:i/>
          <w:iCs/>
          <w:lang w:val="ro-RO"/>
        </w:rPr>
        <w:t xml:space="preserve"> cu anul 2018, cota de impozit a fost redus</w:t>
      </w:r>
      <w:r w:rsidRPr="00834B27">
        <w:rPr>
          <w:rFonts w:ascii="Calibri" w:hAnsi="Calibri" w:cs="Calibri"/>
          <w:i/>
          <w:iCs/>
          <w:lang w:val="ro-RO"/>
        </w:rPr>
        <w:t>ă</w:t>
      </w:r>
      <w:r w:rsidR="0092389E" w:rsidRPr="00834B27">
        <w:rPr>
          <w:rFonts w:ascii="Calibri" w:hAnsi="Calibri" w:cs="Calibri"/>
          <w:i/>
          <w:iCs/>
          <w:lang w:val="ro-RO"/>
        </w:rPr>
        <w:t xml:space="preserve"> la 10%. Trebuie precizat c</w:t>
      </w:r>
      <w:r w:rsidRPr="00834B27">
        <w:rPr>
          <w:rFonts w:ascii="Calibri" w:hAnsi="Calibri" w:cs="Calibri"/>
          <w:i/>
          <w:iCs/>
          <w:lang w:val="ro-RO"/>
        </w:rPr>
        <w:t>ă</w:t>
      </w:r>
      <w:r w:rsidR="0092389E" w:rsidRPr="00834B27">
        <w:rPr>
          <w:rFonts w:ascii="Calibri" w:hAnsi="Calibri" w:cs="Calibri"/>
          <w:i/>
          <w:iCs/>
          <w:lang w:val="ro-RO"/>
        </w:rPr>
        <w:t xml:space="preserve"> reducerea la 10% nu a </w:t>
      </w:r>
      <w:r w:rsidRPr="00834B27">
        <w:rPr>
          <w:rFonts w:ascii="Calibri" w:hAnsi="Calibri" w:cs="Calibri"/>
          <w:i/>
          <w:iCs/>
          <w:lang w:val="ro-RO"/>
        </w:rPr>
        <w:t>î</w:t>
      </w:r>
      <w:r w:rsidR="0092389E" w:rsidRPr="00834B27">
        <w:rPr>
          <w:rFonts w:ascii="Calibri" w:hAnsi="Calibri" w:cs="Calibri"/>
          <w:i/>
          <w:iCs/>
          <w:lang w:val="ro-RO"/>
        </w:rPr>
        <w:t xml:space="preserve">nsemnat </w:t>
      </w:r>
      <w:r w:rsidRPr="00834B27">
        <w:rPr>
          <w:rFonts w:ascii="Calibri" w:hAnsi="Calibri" w:cs="Calibri"/>
          <w:i/>
          <w:iCs/>
          <w:lang w:val="ro-RO"/>
        </w:rPr>
        <w:t>ș</w:t>
      </w:r>
      <w:r w:rsidR="0092389E" w:rsidRPr="00834B27">
        <w:rPr>
          <w:rFonts w:ascii="Calibri" w:hAnsi="Calibri" w:cs="Calibri"/>
          <w:i/>
          <w:iCs/>
          <w:lang w:val="ro-RO"/>
        </w:rPr>
        <w:t xml:space="preserve">i o reducere a SFT pentru veniturile din salarii </w:t>
      </w:r>
      <w:r w:rsidRPr="00834B27">
        <w:rPr>
          <w:rFonts w:ascii="Calibri" w:hAnsi="Calibri" w:cs="Calibri"/>
          <w:i/>
          <w:iCs/>
          <w:lang w:val="ro-RO"/>
        </w:rPr>
        <w:t>ș</w:t>
      </w:r>
      <w:r w:rsidR="0092389E" w:rsidRPr="00834B27">
        <w:rPr>
          <w:rFonts w:ascii="Calibri" w:hAnsi="Calibri" w:cs="Calibri"/>
          <w:i/>
          <w:iCs/>
          <w:lang w:val="ro-RO"/>
        </w:rPr>
        <w:t xml:space="preserve">i asimilate salariilor, deoarece CAS </w:t>
      </w:r>
      <w:r w:rsidRPr="00834B27">
        <w:rPr>
          <w:rFonts w:ascii="Calibri" w:hAnsi="Calibri" w:cs="Calibri"/>
          <w:i/>
          <w:iCs/>
          <w:lang w:val="ro-RO"/>
        </w:rPr>
        <w:t>ș</w:t>
      </w:r>
      <w:r w:rsidR="0092389E" w:rsidRPr="00834B27">
        <w:rPr>
          <w:rFonts w:ascii="Calibri" w:hAnsi="Calibri" w:cs="Calibri"/>
          <w:i/>
          <w:iCs/>
          <w:lang w:val="ro-RO"/>
        </w:rPr>
        <w:t>i CASS au fost majorate</w:t>
      </w:r>
      <w:r w:rsidR="0072289E" w:rsidRPr="00834B27">
        <w:rPr>
          <w:rFonts w:ascii="Calibri" w:hAnsi="Calibri" w:cs="Calibri"/>
          <w:i/>
          <w:iCs/>
          <w:lang w:val="ro-RO"/>
        </w:rPr>
        <w:t xml:space="preserve"> de la 21,</w:t>
      </w:r>
      <w:r w:rsidR="00724D7F" w:rsidRPr="00834B27">
        <w:rPr>
          <w:rFonts w:ascii="Calibri" w:hAnsi="Calibri" w:cs="Calibri"/>
          <w:i/>
          <w:iCs/>
          <w:lang w:val="ro-RO"/>
        </w:rPr>
        <w:t>7</w:t>
      </w:r>
      <w:r w:rsidR="0072289E" w:rsidRPr="00834B27">
        <w:rPr>
          <w:rFonts w:ascii="Calibri" w:hAnsi="Calibri" w:cs="Calibri"/>
          <w:i/>
          <w:iCs/>
          <w:lang w:val="ro-RO"/>
        </w:rPr>
        <w:t>% la 25%</w:t>
      </w:r>
      <w:r w:rsidR="00C70E04" w:rsidRPr="00834B27">
        <w:rPr>
          <w:rFonts w:ascii="Calibri" w:hAnsi="Calibri" w:cs="Calibri"/>
          <w:i/>
          <w:iCs/>
          <w:lang w:val="ro-RO"/>
        </w:rPr>
        <w:t>, respectiv de la 8,8% la 10%</w:t>
      </w:r>
      <w:r w:rsidR="005A1FA7" w:rsidRPr="00834B27">
        <w:rPr>
          <w:rStyle w:val="Referinnotdesubsol"/>
          <w:rFonts w:ascii="Calibri" w:hAnsi="Calibri" w:cs="Calibri"/>
          <w:i/>
          <w:iCs/>
          <w:lang w:val="ro-RO"/>
        </w:rPr>
        <w:footnoteReference w:id="4"/>
      </w:r>
      <w:r w:rsidR="00C70E04" w:rsidRPr="00834B27">
        <w:rPr>
          <w:rFonts w:ascii="Calibri" w:hAnsi="Calibri" w:cs="Calibri"/>
          <w:i/>
          <w:iCs/>
          <w:lang w:val="ro-RO"/>
        </w:rPr>
        <w:t xml:space="preserve">, reducerea </w:t>
      </w:r>
      <w:r w:rsidR="00EC5AFB" w:rsidRPr="00834B27">
        <w:rPr>
          <w:rFonts w:ascii="Calibri" w:hAnsi="Calibri" w:cs="Calibri"/>
          <w:i/>
          <w:iCs/>
          <w:lang w:val="ro-RO"/>
        </w:rPr>
        <w:t xml:space="preserve">cotei de IV fiind făcută </w:t>
      </w:r>
      <w:r w:rsidR="00622F20" w:rsidRPr="00834B27">
        <w:rPr>
          <w:rFonts w:ascii="Calibri" w:hAnsi="Calibri" w:cs="Calibri"/>
          <w:i/>
          <w:iCs/>
          <w:lang w:val="ro-RO"/>
        </w:rPr>
        <w:t>pentru a compensa aceste creșteri, astfel încât salariul net să nu fie afectat.</w:t>
      </w:r>
      <w:r w:rsidR="0092389E" w:rsidRPr="00834B27">
        <w:rPr>
          <w:rFonts w:ascii="Calibri" w:hAnsi="Calibri" w:cs="Calibri"/>
          <w:i/>
          <w:iCs/>
          <w:lang w:val="ro-RO"/>
        </w:rPr>
        <w:t xml:space="preserve"> </w:t>
      </w:r>
    </w:p>
    <w:p w14:paraId="388AA593" w14:textId="685DA3D4" w:rsidR="00072B8D" w:rsidRPr="00834B27" w:rsidRDefault="00F554E6" w:rsidP="00B91E74">
      <w:pPr>
        <w:spacing w:line="276" w:lineRule="auto"/>
        <w:jc w:val="both"/>
        <w:rPr>
          <w:rFonts w:ascii="Calibri" w:hAnsi="Calibri" w:cs="Calibri"/>
          <w:i/>
          <w:iCs/>
          <w:lang w:val="ro-RO"/>
        </w:rPr>
      </w:pPr>
      <w:r w:rsidRPr="00834B27">
        <w:rPr>
          <w:rFonts w:ascii="Calibri" w:hAnsi="Calibri" w:cs="Calibri"/>
          <w:i/>
          <w:iCs/>
          <w:lang w:val="ro-RO"/>
        </w:rPr>
        <w:lastRenderedPageBreak/>
        <w:t xml:space="preserve">Salariile </w:t>
      </w:r>
      <w:r w:rsidR="009D30CD" w:rsidRPr="00834B27">
        <w:rPr>
          <w:rFonts w:ascii="Calibri" w:hAnsi="Calibri" w:cs="Calibri"/>
          <w:i/>
          <w:iCs/>
          <w:lang w:val="ro-RO"/>
        </w:rPr>
        <w:t>angaja</w:t>
      </w:r>
      <w:r w:rsidR="00D77C4B" w:rsidRPr="00834B27">
        <w:rPr>
          <w:rFonts w:ascii="Calibri" w:hAnsi="Calibri" w:cs="Calibri"/>
          <w:i/>
          <w:iCs/>
          <w:lang w:val="ro-RO"/>
        </w:rPr>
        <w:t>ț</w:t>
      </w:r>
      <w:r w:rsidR="009D30CD" w:rsidRPr="00834B27">
        <w:rPr>
          <w:rFonts w:ascii="Calibri" w:hAnsi="Calibri" w:cs="Calibri"/>
          <w:i/>
          <w:iCs/>
          <w:lang w:val="ro-RO"/>
        </w:rPr>
        <w:t>ilor</w:t>
      </w:r>
      <w:r w:rsidRPr="00834B27">
        <w:rPr>
          <w:rFonts w:ascii="Calibri" w:hAnsi="Calibri" w:cs="Calibri"/>
          <w:i/>
          <w:iCs/>
          <w:lang w:val="ro-RO"/>
        </w:rPr>
        <w:t xml:space="preserve"> din industria TIC au fost scutite de la plata IV p</w:t>
      </w:r>
      <w:r w:rsidR="009D30CD" w:rsidRPr="00834B27">
        <w:rPr>
          <w:rFonts w:ascii="Calibri" w:hAnsi="Calibri" w:cs="Calibri"/>
          <w:i/>
          <w:iCs/>
          <w:lang w:val="ro-RO"/>
        </w:rPr>
        <w:t>â</w:t>
      </w:r>
      <w:r w:rsidRPr="00834B27">
        <w:rPr>
          <w:rFonts w:ascii="Calibri" w:hAnsi="Calibri" w:cs="Calibri"/>
          <w:i/>
          <w:iCs/>
          <w:lang w:val="ro-RO"/>
        </w:rPr>
        <w:t>n</w:t>
      </w:r>
      <w:r w:rsidR="009D30CD" w:rsidRPr="00834B27">
        <w:rPr>
          <w:rFonts w:ascii="Calibri" w:hAnsi="Calibri" w:cs="Calibri"/>
          <w:i/>
          <w:iCs/>
          <w:lang w:val="ro-RO"/>
        </w:rPr>
        <w:t>ă</w:t>
      </w:r>
      <w:r w:rsidRPr="00834B27">
        <w:rPr>
          <w:rFonts w:ascii="Calibri" w:hAnsi="Calibri" w:cs="Calibri"/>
          <w:i/>
          <w:iCs/>
          <w:lang w:val="ro-RO"/>
        </w:rPr>
        <w:t xml:space="preserve"> </w:t>
      </w:r>
      <w:r w:rsidR="009D30CD" w:rsidRPr="00834B27">
        <w:rPr>
          <w:rFonts w:ascii="Calibri" w:hAnsi="Calibri" w:cs="Calibri"/>
          <w:i/>
          <w:iCs/>
          <w:lang w:val="ro-RO"/>
        </w:rPr>
        <w:t>î</w:t>
      </w:r>
      <w:r w:rsidRPr="00834B27">
        <w:rPr>
          <w:rFonts w:ascii="Calibri" w:hAnsi="Calibri" w:cs="Calibri"/>
          <w:i/>
          <w:iCs/>
          <w:lang w:val="ro-RO"/>
        </w:rPr>
        <w:t>n anul 2024</w:t>
      </w:r>
      <w:r w:rsidR="00072B8D" w:rsidRPr="00834B27">
        <w:rPr>
          <w:rFonts w:ascii="Calibri" w:hAnsi="Calibri" w:cs="Calibri"/>
          <w:i/>
          <w:iCs/>
          <w:lang w:val="ro-RO"/>
        </w:rPr>
        <w:t xml:space="preserve">, inclusiv. </w:t>
      </w:r>
      <w:r w:rsidR="009D30CD" w:rsidRPr="00834B27">
        <w:rPr>
          <w:rFonts w:ascii="Calibri" w:hAnsi="Calibri" w:cs="Calibri"/>
          <w:i/>
          <w:iCs/>
          <w:lang w:val="ro-RO"/>
        </w:rPr>
        <w:t>Î</w:t>
      </w:r>
      <w:r w:rsidR="00072B8D" w:rsidRPr="00834B27">
        <w:rPr>
          <w:rFonts w:ascii="Calibri" w:hAnsi="Calibri" w:cs="Calibri"/>
          <w:i/>
          <w:iCs/>
          <w:lang w:val="ro-RO"/>
        </w:rPr>
        <w:t xml:space="preserve">n perioada </w:t>
      </w:r>
      <w:r w:rsidR="00760E55" w:rsidRPr="00834B27">
        <w:rPr>
          <w:rFonts w:ascii="Calibri" w:hAnsi="Calibri" w:cs="Calibri"/>
          <w:i/>
          <w:iCs/>
          <w:lang w:val="ro-RO"/>
        </w:rPr>
        <w:t xml:space="preserve">ianuarie </w:t>
      </w:r>
      <w:r w:rsidR="00072B8D" w:rsidRPr="00834B27">
        <w:rPr>
          <w:rFonts w:ascii="Calibri" w:hAnsi="Calibri" w:cs="Calibri"/>
          <w:i/>
          <w:iCs/>
          <w:lang w:val="ro-RO"/>
        </w:rPr>
        <w:t>20</w:t>
      </w:r>
      <w:r w:rsidR="00021900" w:rsidRPr="00834B27">
        <w:rPr>
          <w:rFonts w:ascii="Calibri" w:hAnsi="Calibri" w:cs="Calibri"/>
          <w:i/>
          <w:iCs/>
          <w:lang w:val="ro-RO"/>
        </w:rPr>
        <w:t xml:space="preserve">18 </w:t>
      </w:r>
      <w:r w:rsidR="00E81F9A" w:rsidRPr="00834B27">
        <w:rPr>
          <w:rFonts w:ascii="Calibri" w:hAnsi="Calibri" w:cs="Calibri"/>
          <w:i/>
          <w:iCs/>
          <w:lang w:val="ro-RO"/>
        </w:rPr>
        <w:t>-</w:t>
      </w:r>
      <w:r w:rsidR="00021900" w:rsidRPr="00834B27">
        <w:rPr>
          <w:rFonts w:ascii="Calibri" w:hAnsi="Calibri" w:cs="Calibri"/>
          <w:i/>
          <w:iCs/>
          <w:lang w:val="ro-RO"/>
        </w:rPr>
        <w:t xml:space="preserve"> </w:t>
      </w:r>
      <w:r w:rsidR="00760E55" w:rsidRPr="00834B27">
        <w:rPr>
          <w:rFonts w:ascii="Calibri" w:hAnsi="Calibri" w:cs="Calibri"/>
          <w:i/>
          <w:iCs/>
          <w:lang w:val="ro-RO"/>
        </w:rPr>
        <w:t xml:space="preserve">decembrie </w:t>
      </w:r>
      <w:r w:rsidR="00021900" w:rsidRPr="00834B27">
        <w:rPr>
          <w:rFonts w:ascii="Calibri" w:hAnsi="Calibri" w:cs="Calibri"/>
          <w:i/>
          <w:iCs/>
          <w:lang w:val="ro-RO"/>
        </w:rPr>
        <w:t>2024</w:t>
      </w:r>
      <w:r w:rsidR="003C6705" w:rsidRPr="00834B27">
        <w:rPr>
          <w:rFonts w:ascii="Calibri" w:hAnsi="Calibri" w:cs="Calibri"/>
          <w:i/>
          <w:iCs/>
          <w:lang w:val="ro-RO"/>
        </w:rPr>
        <w:t xml:space="preserve"> au fost </w:t>
      </w:r>
      <w:r w:rsidR="009D30CD" w:rsidRPr="00834B27">
        <w:rPr>
          <w:rFonts w:ascii="Calibri" w:hAnsi="Calibri" w:cs="Calibri"/>
          <w:i/>
          <w:iCs/>
          <w:lang w:val="ro-RO"/>
        </w:rPr>
        <w:t>scuti</w:t>
      </w:r>
      <w:r w:rsidR="00D77C4B" w:rsidRPr="00834B27">
        <w:rPr>
          <w:rFonts w:ascii="Calibri" w:hAnsi="Calibri" w:cs="Calibri"/>
          <w:i/>
          <w:iCs/>
          <w:lang w:val="ro-RO"/>
        </w:rPr>
        <w:t>ț</w:t>
      </w:r>
      <w:r w:rsidR="009D30CD" w:rsidRPr="00834B27">
        <w:rPr>
          <w:rFonts w:ascii="Calibri" w:hAnsi="Calibri" w:cs="Calibri"/>
          <w:i/>
          <w:iCs/>
          <w:lang w:val="ro-RO"/>
        </w:rPr>
        <w:t>i</w:t>
      </w:r>
      <w:r w:rsidR="003C6705" w:rsidRPr="00834B27">
        <w:rPr>
          <w:rFonts w:ascii="Calibri" w:hAnsi="Calibri" w:cs="Calibri"/>
          <w:i/>
          <w:iCs/>
          <w:lang w:val="ro-RO"/>
        </w:rPr>
        <w:t xml:space="preserve"> de la plata</w:t>
      </w:r>
      <w:r w:rsidR="00F70B18" w:rsidRPr="00834B27">
        <w:rPr>
          <w:rFonts w:ascii="Calibri" w:hAnsi="Calibri" w:cs="Calibri"/>
          <w:i/>
          <w:iCs/>
          <w:lang w:val="ro-RO"/>
        </w:rPr>
        <w:t xml:space="preserve"> IV </w:t>
      </w:r>
      <w:r w:rsidR="009D30CD" w:rsidRPr="00834B27">
        <w:rPr>
          <w:rFonts w:ascii="Calibri" w:hAnsi="Calibri" w:cs="Calibri"/>
          <w:i/>
          <w:iCs/>
          <w:lang w:val="ro-RO"/>
        </w:rPr>
        <w:t>ș</w:t>
      </w:r>
      <w:r w:rsidR="00F70B18" w:rsidRPr="00834B27">
        <w:rPr>
          <w:rFonts w:ascii="Calibri" w:hAnsi="Calibri" w:cs="Calibri"/>
          <w:i/>
          <w:iCs/>
          <w:lang w:val="ro-RO"/>
        </w:rPr>
        <w:t xml:space="preserve">i </w:t>
      </w:r>
      <w:r w:rsidR="009D30CD" w:rsidRPr="00834B27">
        <w:rPr>
          <w:rFonts w:ascii="Calibri" w:hAnsi="Calibri" w:cs="Calibri"/>
          <w:i/>
          <w:iCs/>
          <w:lang w:val="ro-RO"/>
        </w:rPr>
        <w:t>angaja</w:t>
      </w:r>
      <w:r w:rsidR="00D77C4B" w:rsidRPr="00834B27">
        <w:rPr>
          <w:rFonts w:ascii="Calibri" w:hAnsi="Calibri" w:cs="Calibri"/>
          <w:i/>
          <w:iCs/>
          <w:lang w:val="ro-RO"/>
        </w:rPr>
        <w:t>ț</w:t>
      </w:r>
      <w:r w:rsidR="009D30CD" w:rsidRPr="00834B27">
        <w:rPr>
          <w:rFonts w:ascii="Calibri" w:hAnsi="Calibri" w:cs="Calibri"/>
          <w:i/>
          <w:iCs/>
          <w:lang w:val="ro-RO"/>
        </w:rPr>
        <w:t>ii</w:t>
      </w:r>
      <w:r w:rsidR="00F70B18" w:rsidRPr="00834B27">
        <w:rPr>
          <w:rFonts w:ascii="Calibri" w:hAnsi="Calibri" w:cs="Calibri"/>
          <w:i/>
          <w:iCs/>
          <w:lang w:val="ro-RO"/>
        </w:rPr>
        <w:t xml:space="preserve"> din sectorul </w:t>
      </w:r>
      <w:r w:rsidR="009D30CD" w:rsidRPr="00834B27">
        <w:rPr>
          <w:rFonts w:ascii="Calibri" w:hAnsi="Calibri" w:cs="Calibri"/>
          <w:i/>
          <w:iCs/>
          <w:lang w:val="ro-RO"/>
        </w:rPr>
        <w:t>construc</w:t>
      </w:r>
      <w:r w:rsidR="00D77C4B" w:rsidRPr="00834B27">
        <w:rPr>
          <w:rFonts w:ascii="Calibri" w:hAnsi="Calibri" w:cs="Calibri"/>
          <w:i/>
          <w:iCs/>
          <w:lang w:val="ro-RO"/>
        </w:rPr>
        <w:t>ț</w:t>
      </w:r>
      <w:r w:rsidR="009D30CD" w:rsidRPr="00834B27">
        <w:rPr>
          <w:rFonts w:ascii="Calibri" w:hAnsi="Calibri" w:cs="Calibri"/>
          <w:i/>
          <w:iCs/>
          <w:lang w:val="ro-RO"/>
        </w:rPr>
        <w:t>iilor</w:t>
      </w:r>
      <w:r w:rsidR="00F70B18" w:rsidRPr="00834B27">
        <w:rPr>
          <w:rFonts w:ascii="Calibri" w:hAnsi="Calibri" w:cs="Calibri"/>
          <w:i/>
          <w:iCs/>
          <w:lang w:val="ro-RO"/>
        </w:rPr>
        <w:t xml:space="preserve">, iar </w:t>
      </w:r>
      <w:r w:rsidR="00FE15AD" w:rsidRPr="00834B27">
        <w:rPr>
          <w:rFonts w:ascii="Calibri" w:hAnsi="Calibri" w:cs="Calibri"/>
          <w:i/>
          <w:iCs/>
          <w:lang w:val="ro-RO"/>
        </w:rPr>
        <w:t>î</w:t>
      </w:r>
      <w:r w:rsidR="00760E55" w:rsidRPr="00834B27">
        <w:rPr>
          <w:rFonts w:ascii="Calibri" w:hAnsi="Calibri" w:cs="Calibri"/>
          <w:i/>
          <w:iCs/>
          <w:lang w:val="ro-RO"/>
        </w:rPr>
        <w:t xml:space="preserve">n perioada </w:t>
      </w:r>
      <w:r w:rsidR="00A75698" w:rsidRPr="00834B27">
        <w:rPr>
          <w:rFonts w:ascii="Calibri" w:hAnsi="Calibri" w:cs="Calibri"/>
          <w:i/>
          <w:iCs/>
          <w:lang w:val="ro-RO"/>
        </w:rPr>
        <w:t xml:space="preserve">iunie </w:t>
      </w:r>
      <w:r w:rsidR="00760E55" w:rsidRPr="00834B27">
        <w:rPr>
          <w:rFonts w:ascii="Calibri" w:hAnsi="Calibri" w:cs="Calibri"/>
          <w:i/>
          <w:iCs/>
          <w:lang w:val="ro-RO"/>
        </w:rPr>
        <w:t xml:space="preserve">2022 </w:t>
      </w:r>
      <w:r w:rsidR="00E81F9A" w:rsidRPr="00834B27">
        <w:rPr>
          <w:rFonts w:ascii="Calibri" w:hAnsi="Calibri" w:cs="Calibri"/>
          <w:i/>
          <w:iCs/>
          <w:lang w:val="ro-RO"/>
        </w:rPr>
        <w:t>-</w:t>
      </w:r>
      <w:r w:rsidR="00760E55" w:rsidRPr="00834B27">
        <w:rPr>
          <w:rFonts w:ascii="Calibri" w:hAnsi="Calibri" w:cs="Calibri"/>
          <w:i/>
          <w:iCs/>
          <w:lang w:val="ro-RO"/>
        </w:rPr>
        <w:t xml:space="preserve"> </w:t>
      </w:r>
      <w:r w:rsidR="00A75698" w:rsidRPr="00834B27">
        <w:rPr>
          <w:rFonts w:ascii="Calibri" w:hAnsi="Calibri" w:cs="Calibri"/>
          <w:i/>
          <w:iCs/>
          <w:lang w:val="ro-RO"/>
        </w:rPr>
        <w:t xml:space="preserve">decembrie </w:t>
      </w:r>
      <w:r w:rsidR="00760E55" w:rsidRPr="00834B27">
        <w:rPr>
          <w:rFonts w:ascii="Calibri" w:hAnsi="Calibri" w:cs="Calibri"/>
          <w:i/>
          <w:iCs/>
          <w:lang w:val="ro-RO"/>
        </w:rPr>
        <w:t xml:space="preserve">2024 </w:t>
      </w:r>
      <w:r w:rsidR="009D30CD" w:rsidRPr="00834B27">
        <w:rPr>
          <w:rFonts w:ascii="Calibri" w:hAnsi="Calibri" w:cs="Calibri"/>
          <w:i/>
          <w:iCs/>
          <w:lang w:val="ro-RO"/>
        </w:rPr>
        <w:t>ș</w:t>
      </w:r>
      <w:r w:rsidR="00A75698" w:rsidRPr="00834B27">
        <w:rPr>
          <w:rFonts w:ascii="Calibri" w:hAnsi="Calibri" w:cs="Calibri"/>
          <w:i/>
          <w:iCs/>
          <w:lang w:val="ro-RO"/>
        </w:rPr>
        <w:t xml:space="preserve">i </w:t>
      </w:r>
      <w:r w:rsidR="009D30CD" w:rsidRPr="00834B27">
        <w:rPr>
          <w:rFonts w:ascii="Calibri" w:hAnsi="Calibri" w:cs="Calibri"/>
          <w:i/>
          <w:iCs/>
          <w:lang w:val="ro-RO"/>
        </w:rPr>
        <w:t>angaja</w:t>
      </w:r>
      <w:r w:rsidR="00D77C4B" w:rsidRPr="00834B27">
        <w:rPr>
          <w:rFonts w:ascii="Calibri" w:hAnsi="Calibri" w:cs="Calibri"/>
          <w:i/>
          <w:iCs/>
          <w:lang w:val="ro-RO"/>
        </w:rPr>
        <w:t>ț</w:t>
      </w:r>
      <w:r w:rsidR="009D30CD" w:rsidRPr="00834B27">
        <w:rPr>
          <w:rFonts w:ascii="Calibri" w:hAnsi="Calibri" w:cs="Calibri"/>
          <w:i/>
          <w:iCs/>
          <w:lang w:val="ro-RO"/>
        </w:rPr>
        <w:t>ii</w:t>
      </w:r>
      <w:r w:rsidR="00A75698" w:rsidRPr="00834B27">
        <w:rPr>
          <w:rFonts w:ascii="Calibri" w:hAnsi="Calibri" w:cs="Calibri"/>
          <w:i/>
          <w:iCs/>
          <w:lang w:val="ro-RO"/>
        </w:rPr>
        <w:t xml:space="preserve"> din agricultur</w:t>
      </w:r>
      <w:r w:rsidR="009D30CD" w:rsidRPr="00834B27">
        <w:rPr>
          <w:rFonts w:ascii="Calibri" w:hAnsi="Calibri" w:cs="Calibri"/>
          <w:i/>
          <w:iCs/>
          <w:lang w:val="ro-RO"/>
        </w:rPr>
        <w:t>ă</w:t>
      </w:r>
      <w:r w:rsidR="00A75698" w:rsidRPr="00834B27">
        <w:rPr>
          <w:rFonts w:ascii="Calibri" w:hAnsi="Calibri" w:cs="Calibri"/>
          <w:i/>
          <w:iCs/>
          <w:lang w:val="ro-RO"/>
        </w:rPr>
        <w:t xml:space="preserve"> </w:t>
      </w:r>
      <w:r w:rsidR="009D30CD" w:rsidRPr="00834B27">
        <w:rPr>
          <w:rFonts w:ascii="Calibri" w:hAnsi="Calibri" w:cs="Calibri"/>
          <w:i/>
          <w:iCs/>
          <w:lang w:val="ro-RO"/>
        </w:rPr>
        <w:t>ș</w:t>
      </w:r>
      <w:r w:rsidR="00A75698" w:rsidRPr="00834B27">
        <w:rPr>
          <w:rFonts w:ascii="Calibri" w:hAnsi="Calibri" w:cs="Calibri"/>
          <w:i/>
          <w:iCs/>
          <w:lang w:val="ro-RO"/>
        </w:rPr>
        <w:t>i industria alimentar</w:t>
      </w:r>
      <w:r w:rsidR="009D30CD" w:rsidRPr="00834B27">
        <w:rPr>
          <w:rFonts w:ascii="Calibri" w:hAnsi="Calibri" w:cs="Calibri"/>
          <w:i/>
          <w:iCs/>
          <w:lang w:val="ro-RO"/>
        </w:rPr>
        <w:t>ă</w:t>
      </w:r>
      <w:r w:rsidR="00A75698" w:rsidRPr="00834B27">
        <w:rPr>
          <w:rFonts w:ascii="Calibri" w:hAnsi="Calibri" w:cs="Calibri"/>
          <w:i/>
          <w:iCs/>
          <w:lang w:val="ro-RO"/>
        </w:rPr>
        <w:t xml:space="preserve">. Toate scutirile s-au aplicat </w:t>
      </w:r>
      <w:r w:rsidR="009D30CD" w:rsidRPr="00834B27">
        <w:rPr>
          <w:rFonts w:ascii="Calibri" w:hAnsi="Calibri" w:cs="Calibri"/>
          <w:i/>
          <w:iCs/>
          <w:lang w:val="ro-RO"/>
        </w:rPr>
        <w:t>î</w:t>
      </w:r>
      <w:r w:rsidR="00A75698" w:rsidRPr="00834B27">
        <w:rPr>
          <w:rFonts w:ascii="Calibri" w:hAnsi="Calibri" w:cs="Calibri"/>
          <w:i/>
          <w:iCs/>
          <w:lang w:val="ro-RO"/>
        </w:rPr>
        <w:t xml:space="preserve">n </w:t>
      </w:r>
      <w:r w:rsidR="009D30CD" w:rsidRPr="00834B27">
        <w:rPr>
          <w:rFonts w:ascii="Calibri" w:hAnsi="Calibri" w:cs="Calibri"/>
          <w:i/>
          <w:iCs/>
          <w:lang w:val="ro-RO"/>
        </w:rPr>
        <w:t>condi</w:t>
      </w:r>
      <w:r w:rsidR="00D77C4B" w:rsidRPr="00834B27">
        <w:rPr>
          <w:rFonts w:ascii="Calibri" w:hAnsi="Calibri" w:cs="Calibri"/>
          <w:i/>
          <w:iCs/>
          <w:lang w:val="ro-RO"/>
        </w:rPr>
        <w:t>ț</w:t>
      </w:r>
      <w:r w:rsidR="009D30CD" w:rsidRPr="00834B27">
        <w:rPr>
          <w:rFonts w:ascii="Calibri" w:hAnsi="Calibri" w:cs="Calibri"/>
          <w:i/>
          <w:iCs/>
          <w:lang w:val="ro-RO"/>
        </w:rPr>
        <w:t>ii</w:t>
      </w:r>
      <w:r w:rsidR="00A75698" w:rsidRPr="00834B27">
        <w:rPr>
          <w:rFonts w:ascii="Calibri" w:hAnsi="Calibri" w:cs="Calibri"/>
          <w:i/>
          <w:iCs/>
          <w:lang w:val="ro-RO"/>
        </w:rPr>
        <w:t xml:space="preserve"> specifice. </w:t>
      </w:r>
      <w:r w:rsidR="000D6F3B" w:rsidRPr="00834B27">
        <w:rPr>
          <w:rFonts w:ascii="Calibri" w:hAnsi="Calibri" w:cs="Calibri"/>
          <w:i/>
          <w:iCs/>
          <w:lang w:val="ro-RO"/>
        </w:rPr>
        <w:t>Singu</w:t>
      </w:r>
      <w:r w:rsidR="00B51B46" w:rsidRPr="00834B27">
        <w:rPr>
          <w:rFonts w:ascii="Calibri" w:hAnsi="Calibri" w:cs="Calibri"/>
          <w:i/>
          <w:iCs/>
          <w:lang w:val="ro-RO"/>
        </w:rPr>
        <w:t>rele</w:t>
      </w:r>
      <w:r w:rsidR="000D6F3B" w:rsidRPr="00834B27">
        <w:rPr>
          <w:rFonts w:ascii="Calibri" w:hAnsi="Calibri" w:cs="Calibri"/>
          <w:i/>
          <w:iCs/>
          <w:lang w:val="ro-RO"/>
        </w:rPr>
        <w:t xml:space="preserve"> scutir</w:t>
      </w:r>
      <w:r w:rsidR="00B51B46" w:rsidRPr="00834B27">
        <w:rPr>
          <w:rFonts w:ascii="Calibri" w:hAnsi="Calibri" w:cs="Calibri"/>
          <w:i/>
          <w:iCs/>
          <w:lang w:val="ro-RO"/>
        </w:rPr>
        <w:t>i</w:t>
      </w:r>
      <w:r w:rsidR="000D6F3B" w:rsidRPr="00834B27">
        <w:rPr>
          <w:rFonts w:ascii="Calibri" w:hAnsi="Calibri" w:cs="Calibri"/>
          <w:i/>
          <w:iCs/>
          <w:lang w:val="ro-RO"/>
        </w:rPr>
        <w:t xml:space="preserve"> de IV </w:t>
      </w:r>
      <w:r w:rsidR="00B51B46" w:rsidRPr="00834B27">
        <w:rPr>
          <w:rFonts w:ascii="Calibri" w:hAnsi="Calibri" w:cs="Calibri"/>
          <w:i/>
          <w:iCs/>
          <w:lang w:val="ro-RO"/>
        </w:rPr>
        <w:t>r</w:t>
      </w:r>
      <w:r w:rsidR="00AD674C" w:rsidRPr="00834B27">
        <w:rPr>
          <w:rFonts w:ascii="Calibri" w:hAnsi="Calibri" w:cs="Calibri"/>
          <w:i/>
          <w:iCs/>
          <w:lang w:val="ro-RO"/>
        </w:rPr>
        <w:t>ă</w:t>
      </w:r>
      <w:r w:rsidR="00B51B46" w:rsidRPr="00834B27">
        <w:rPr>
          <w:rFonts w:ascii="Calibri" w:hAnsi="Calibri" w:cs="Calibri"/>
          <w:i/>
          <w:iCs/>
          <w:lang w:val="ro-RO"/>
        </w:rPr>
        <w:t>mase fiind cele</w:t>
      </w:r>
      <w:r w:rsidR="000D6F3B" w:rsidRPr="00834B27">
        <w:rPr>
          <w:rFonts w:ascii="Calibri" w:hAnsi="Calibri" w:cs="Calibri"/>
          <w:i/>
          <w:iCs/>
          <w:lang w:val="ro-RO"/>
        </w:rPr>
        <w:t xml:space="preserve"> </w:t>
      </w:r>
      <w:r w:rsidR="00181E7C" w:rsidRPr="00834B27">
        <w:rPr>
          <w:rFonts w:ascii="Calibri" w:hAnsi="Calibri" w:cs="Calibri"/>
          <w:i/>
          <w:iCs/>
          <w:lang w:val="ro-RO"/>
        </w:rPr>
        <w:t>acordat</w:t>
      </w:r>
      <w:r w:rsidR="00B51B46" w:rsidRPr="00834B27">
        <w:rPr>
          <w:rFonts w:ascii="Calibri" w:hAnsi="Calibri" w:cs="Calibri"/>
          <w:i/>
          <w:iCs/>
          <w:lang w:val="ro-RO"/>
        </w:rPr>
        <w:t>e</w:t>
      </w:r>
      <w:r w:rsidR="00181E7C" w:rsidRPr="00834B27">
        <w:rPr>
          <w:rFonts w:ascii="Calibri" w:hAnsi="Calibri" w:cs="Calibri"/>
          <w:i/>
          <w:iCs/>
          <w:lang w:val="ro-RO"/>
        </w:rPr>
        <w:t xml:space="preserve"> pentru salariile din sectorul cercetare-dezvoltare</w:t>
      </w:r>
      <w:r w:rsidR="00B51B46" w:rsidRPr="00834B27">
        <w:rPr>
          <w:rFonts w:ascii="Calibri" w:hAnsi="Calibri" w:cs="Calibri"/>
          <w:i/>
          <w:iCs/>
          <w:lang w:val="ro-RO"/>
        </w:rPr>
        <w:t xml:space="preserve"> </w:t>
      </w:r>
      <w:r w:rsidR="009D30CD" w:rsidRPr="00834B27">
        <w:rPr>
          <w:rFonts w:ascii="Calibri" w:hAnsi="Calibri" w:cs="Calibri"/>
          <w:i/>
          <w:iCs/>
          <w:lang w:val="ro-RO"/>
        </w:rPr>
        <w:t>ș</w:t>
      </w:r>
      <w:r w:rsidR="00B51B46" w:rsidRPr="00834B27">
        <w:rPr>
          <w:rFonts w:ascii="Calibri" w:hAnsi="Calibri" w:cs="Calibri"/>
          <w:i/>
          <w:iCs/>
          <w:lang w:val="ro-RO"/>
        </w:rPr>
        <w:t>i pe</w:t>
      </w:r>
      <w:r w:rsidR="004862E9" w:rsidRPr="00834B27">
        <w:rPr>
          <w:rFonts w:ascii="Calibri" w:hAnsi="Calibri" w:cs="Calibri"/>
          <w:i/>
          <w:iCs/>
          <w:lang w:val="ro-RO"/>
        </w:rPr>
        <w:t xml:space="preserve">ntru veniturile din </w:t>
      </w:r>
      <w:r w:rsidR="00861BEA" w:rsidRPr="00834B27">
        <w:rPr>
          <w:rFonts w:ascii="Calibri" w:hAnsi="Calibri" w:cs="Calibri"/>
          <w:i/>
          <w:iCs/>
          <w:lang w:val="ro-RO"/>
        </w:rPr>
        <w:t>activită</w:t>
      </w:r>
      <w:r w:rsidR="00D77C4B" w:rsidRPr="00834B27">
        <w:rPr>
          <w:rFonts w:ascii="Calibri" w:hAnsi="Calibri" w:cs="Calibri"/>
          <w:i/>
          <w:iCs/>
          <w:lang w:val="ro-RO"/>
        </w:rPr>
        <w:t>ț</w:t>
      </w:r>
      <w:r w:rsidR="00861BEA" w:rsidRPr="00834B27">
        <w:rPr>
          <w:rFonts w:ascii="Calibri" w:hAnsi="Calibri" w:cs="Calibri"/>
          <w:i/>
          <w:iCs/>
          <w:lang w:val="ro-RO"/>
        </w:rPr>
        <w:t>i</w:t>
      </w:r>
      <w:r w:rsidR="004862E9" w:rsidRPr="00834B27">
        <w:rPr>
          <w:rFonts w:ascii="Calibri" w:hAnsi="Calibri" w:cs="Calibri"/>
          <w:i/>
          <w:iCs/>
          <w:lang w:val="ro-RO"/>
        </w:rPr>
        <w:t xml:space="preserve"> independente, salarii, drepturi de proprietate intelectual</w:t>
      </w:r>
      <w:r w:rsidR="00861BEA" w:rsidRPr="00834B27">
        <w:rPr>
          <w:rFonts w:ascii="Calibri" w:hAnsi="Calibri" w:cs="Calibri"/>
          <w:i/>
          <w:iCs/>
          <w:lang w:val="ro-RO"/>
        </w:rPr>
        <w:t>ă</w:t>
      </w:r>
      <w:r w:rsidR="00DC56D2" w:rsidRPr="00834B27">
        <w:rPr>
          <w:rFonts w:ascii="Calibri" w:hAnsi="Calibri" w:cs="Calibri"/>
          <w:i/>
          <w:iCs/>
          <w:lang w:val="ro-RO"/>
        </w:rPr>
        <w:t xml:space="preserve">, pensii </w:t>
      </w:r>
      <w:r w:rsidR="009D30CD" w:rsidRPr="00834B27">
        <w:rPr>
          <w:rFonts w:ascii="Calibri" w:hAnsi="Calibri" w:cs="Calibri"/>
          <w:i/>
          <w:iCs/>
          <w:lang w:val="ro-RO"/>
        </w:rPr>
        <w:t>ob</w:t>
      </w:r>
      <w:r w:rsidR="00D77C4B" w:rsidRPr="00834B27">
        <w:rPr>
          <w:rFonts w:ascii="Calibri" w:hAnsi="Calibri" w:cs="Calibri"/>
          <w:i/>
          <w:iCs/>
          <w:lang w:val="ro-RO"/>
        </w:rPr>
        <w:t>ț</w:t>
      </w:r>
      <w:r w:rsidR="009D30CD" w:rsidRPr="00834B27">
        <w:rPr>
          <w:rFonts w:ascii="Calibri" w:hAnsi="Calibri" w:cs="Calibri"/>
          <w:i/>
          <w:iCs/>
          <w:lang w:val="ro-RO"/>
        </w:rPr>
        <w:t>inute</w:t>
      </w:r>
      <w:r w:rsidR="00B51B46" w:rsidRPr="00834B27">
        <w:rPr>
          <w:rFonts w:ascii="Calibri" w:hAnsi="Calibri" w:cs="Calibri"/>
          <w:i/>
          <w:iCs/>
          <w:lang w:val="ro-RO"/>
        </w:rPr>
        <w:t xml:space="preserve"> de persoanele cu handicap</w:t>
      </w:r>
      <w:r w:rsidR="00DC56D2" w:rsidRPr="00834B27">
        <w:rPr>
          <w:rFonts w:ascii="Calibri" w:hAnsi="Calibri" w:cs="Calibri"/>
          <w:i/>
          <w:iCs/>
          <w:lang w:val="ro-RO"/>
        </w:rPr>
        <w:t xml:space="preserve"> grav sau accentuat</w:t>
      </w:r>
      <w:r w:rsidR="00B51B46" w:rsidRPr="00834B27">
        <w:rPr>
          <w:rFonts w:ascii="Calibri" w:hAnsi="Calibri" w:cs="Calibri"/>
          <w:i/>
          <w:iCs/>
          <w:lang w:val="ro-RO"/>
        </w:rPr>
        <w:t>.</w:t>
      </w:r>
    </w:p>
    <w:p w14:paraId="7180A0A5" w14:textId="77777777" w:rsidR="00072B8D" w:rsidRPr="00834B27" w:rsidRDefault="00072B8D" w:rsidP="00B91E74">
      <w:pPr>
        <w:spacing w:line="276" w:lineRule="auto"/>
        <w:jc w:val="both"/>
        <w:rPr>
          <w:rFonts w:ascii="Calibri" w:hAnsi="Calibri" w:cs="Calibri"/>
          <w:i/>
          <w:iCs/>
          <w:lang w:val="ro-RO"/>
        </w:rPr>
      </w:pPr>
    </w:p>
    <w:p w14:paraId="3A5DA75E" w14:textId="3EFD2107" w:rsidR="00AA7914" w:rsidRPr="00834B27" w:rsidRDefault="00D35927" w:rsidP="00B91E74">
      <w:pPr>
        <w:pStyle w:val="Listparagraf"/>
        <w:numPr>
          <w:ilvl w:val="2"/>
          <w:numId w:val="5"/>
        </w:numPr>
        <w:spacing w:line="276" w:lineRule="auto"/>
        <w:contextualSpacing w:val="0"/>
        <w:jc w:val="both"/>
        <w:rPr>
          <w:rFonts w:ascii="Calibri" w:hAnsi="Calibri" w:cs="Calibri"/>
          <w:b/>
          <w:bCs/>
          <w:lang w:val="ro-RO"/>
        </w:rPr>
      </w:pPr>
      <w:r w:rsidRPr="00834B27">
        <w:rPr>
          <w:rFonts w:ascii="Calibri" w:hAnsi="Calibri" w:cs="Calibri"/>
          <w:b/>
          <w:bCs/>
          <w:lang w:val="ro-RO"/>
        </w:rPr>
        <w:t>CAS</w:t>
      </w:r>
    </w:p>
    <w:p w14:paraId="497C3635" w14:textId="77777777" w:rsidR="00E7183F" w:rsidRPr="00834B27" w:rsidRDefault="00D35927" w:rsidP="00B91E74">
      <w:pPr>
        <w:spacing w:line="276" w:lineRule="auto"/>
        <w:jc w:val="both"/>
        <w:rPr>
          <w:rFonts w:ascii="Calibri" w:hAnsi="Calibri" w:cs="Calibri"/>
          <w:b/>
          <w:bCs/>
          <w:u w:val="single"/>
          <w:lang w:val="ro-RO"/>
        </w:rPr>
      </w:pPr>
      <w:r w:rsidRPr="00834B27">
        <w:rPr>
          <w:rFonts w:ascii="Calibri" w:hAnsi="Calibri" w:cs="Calibri"/>
          <w:b/>
          <w:bCs/>
          <w:u w:val="single"/>
          <w:lang w:val="ro-RO"/>
        </w:rPr>
        <w:t>C</w:t>
      </w:r>
      <w:r w:rsidR="00EC0C95" w:rsidRPr="00834B27">
        <w:rPr>
          <w:rFonts w:ascii="Calibri" w:hAnsi="Calibri" w:cs="Calibri"/>
          <w:b/>
          <w:bCs/>
          <w:u w:val="single"/>
          <w:lang w:val="ro-RO"/>
        </w:rPr>
        <w:t>ota de CAS:</w:t>
      </w:r>
      <w:r w:rsidR="00EC4D78" w:rsidRPr="00834B27">
        <w:rPr>
          <w:rFonts w:ascii="Calibri" w:hAnsi="Calibri" w:cs="Calibri"/>
          <w:b/>
          <w:bCs/>
          <w:u w:val="single"/>
          <w:lang w:val="ro-RO"/>
        </w:rPr>
        <w:t xml:space="preserve"> </w:t>
      </w:r>
    </w:p>
    <w:p w14:paraId="1F2BED58" w14:textId="45D02DD6" w:rsidR="00D35927" w:rsidRPr="00834B27" w:rsidRDefault="00E7183F" w:rsidP="00B91E74">
      <w:pPr>
        <w:pStyle w:val="Listparagraf"/>
        <w:numPr>
          <w:ilvl w:val="0"/>
          <w:numId w:val="1"/>
        </w:numPr>
        <w:spacing w:line="276" w:lineRule="auto"/>
        <w:contextualSpacing w:val="0"/>
        <w:jc w:val="both"/>
        <w:rPr>
          <w:rFonts w:ascii="Calibri" w:hAnsi="Calibri" w:cs="Calibri"/>
          <w:lang w:val="ro-RO"/>
        </w:rPr>
      </w:pPr>
      <w:r w:rsidRPr="00834B27">
        <w:rPr>
          <w:rFonts w:ascii="Calibri" w:hAnsi="Calibri" w:cs="Calibri"/>
          <w:lang w:val="ro-RO"/>
        </w:rPr>
        <w:t xml:space="preserve">25% din venitul brut, </w:t>
      </w:r>
      <w:r w:rsidR="00763459" w:rsidRPr="00834B27">
        <w:rPr>
          <w:rFonts w:ascii="Calibri" w:hAnsi="Calibri" w:cs="Calibri"/>
          <w:lang w:val="ro-RO"/>
        </w:rPr>
        <w:t>datorat</w:t>
      </w:r>
      <w:r w:rsidR="009D30CD" w:rsidRPr="00834B27">
        <w:rPr>
          <w:rFonts w:ascii="Calibri" w:hAnsi="Calibri" w:cs="Calibri"/>
          <w:lang w:val="ro-RO"/>
        </w:rPr>
        <w:t>ă</w:t>
      </w:r>
      <w:r w:rsidR="00763459" w:rsidRPr="00834B27">
        <w:rPr>
          <w:rFonts w:ascii="Calibri" w:hAnsi="Calibri" w:cs="Calibri"/>
          <w:lang w:val="ro-RO"/>
        </w:rPr>
        <w:t xml:space="preserve"> de </w:t>
      </w:r>
      <w:r w:rsidR="009D30CD" w:rsidRPr="00834B27">
        <w:rPr>
          <w:rFonts w:ascii="Calibri" w:hAnsi="Calibri" w:cs="Calibri"/>
          <w:lang w:val="ro-RO"/>
        </w:rPr>
        <w:t>către</w:t>
      </w:r>
      <w:r w:rsidR="00763459" w:rsidRPr="00834B27">
        <w:rPr>
          <w:rFonts w:ascii="Calibri" w:hAnsi="Calibri" w:cs="Calibri"/>
          <w:lang w:val="ro-RO"/>
        </w:rPr>
        <w:t xml:space="preserve"> angajat</w:t>
      </w:r>
      <w:r w:rsidR="009D3C30" w:rsidRPr="00834B27">
        <w:rPr>
          <w:rFonts w:ascii="Calibri" w:hAnsi="Calibri" w:cs="Calibri"/>
          <w:lang w:val="ro-RO"/>
        </w:rPr>
        <w:t>;</w:t>
      </w:r>
    </w:p>
    <w:p w14:paraId="60589AA5" w14:textId="1BD5A882" w:rsidR="009D3C30" w:rsidRPr="00834B27" w:rsidRDefault="001136C4" w:rsidP="00B91E74">
      <w:pPr>
        <w:pStyle w:val="Listparagraf"/>
        <w:numPr>
          <w:ilvl w:val="0"/>
          <w:numId w:val="1"/>
        </w:numPr>
        <w:spacing w:line="276" w:lineRule="auto"/>
        <w:contextualSpacing w:val="0"/>
        <w:jc w:val="both"/>
        <w:rPr>
          <w:rFonts w:ascii="Calibri" w:hAnsi="Calibri" w:cs="Calibri"/>
          <w:lang w:val="ro-RO"/>
        </w:rPr>
      </w:pPr>
      <w:r w:rsidRPr="00834B27">
        <w:rPr>
          <w:rFonts w:ascii="Calibri" w:hAnsi="Calibri" w:cs="Calibri"/>
          <w:lang w:val="ro-RO"/>
        </w:rPr>
        <w:t>4%</w:t>
      </w:r>
      <w:r w:rsidR="00B31B4A" w:rsidRPr="00834B27">
        <w:rPr>
          <w:rFonts w:ascii="Calibri" w:hAnsi="Calibri" w:cs="Calibri"/>
          <w:lang w:val="ro-RO"/>
        </w:rPr>
        <w:t xml:space="preserve"> din venitul brut, datorat</w:t>
      </w:r>
      <w:r w:rsidR="009D30CD" w:rsidRPr="00834B27">
        <w:rPr>
          <w:rFonts w:ascii="Calibri" w:hAnsi="Calibri" w:cs="Calibri"/>
          <w:lang w:val="ro-RO"/>
        </w:rPr>
        <w:t>ă</w:t>
      </w:r>
      <w:r w:rsidR="00B31B4A" w:rsidRPr="00834B27">
        <w:rPr>
          <w:rFonts w:ascii="Calibri" w:hAnsi="Calibri" w:cs="Calibri"/>
          <w:lang w:val="ro-RO"/>
        </w:rPr>
        <w:t xml:space="preserve"> de angajator pentru </w:t>
      </w:r>
      <w:r w:rsidR="009D30CD" w:rsidRPr="00834B27">
        <w:rPr>
          <w:rFonts w:ascii="Calibri" w:hAnsi="Calibri" w:cs="Calibri"/>
          <w:lang w:val="ro-RO"/>
        </w:rPr>
        <w:t>condi</w:t>
      </w:r>
      <w:r w:rsidR="00D77C4B" w:rsidRPr="00834B27">
        <w:rPr>
          <w:rFonts w:ascii="Calibri" w:hAnsi="Calibri" w:cs="Calibri"/>
          <w:lang w:val="ro-RO"/>
        </w:rPr>
        <w:t>ț</w:t>
      </w:r>
      <w:r w:rsidR="009D30CD" w:rsidRPr="00834B27">
        <w:rPr>
          <w:rFonts w:ascii="Calibri" w:hAnsi="Calibri" w:cs="Calibri"/>
          <w:lang w:val="ro-RO"/>
        </w:rPr>
        <w:t>ii</w:t>
      </w:r>
      <w:r w:rsidR="00B31B4A" w:rsidRPr="00834B27">
        <w:rPr>
          <w:rFonts w:ascii="Calibri" w:hAnsi="Calibri" w:cs="Calibri"/>
          <w:lang w:val="ro-RO"/>
        </w:rPr>
        <w:t xml:space="preserve"> deosebite de munc</w:t>
      </w:r>
      <w:r w:rsidR="009D30CD" w:rsidRPr="00834B27">
        <w:rPr>
          <w:rFonts w:ascii="Calibri" w:hAnsi="Calibri" w:cs="Calibri"/>
          <w:lang w:val="ro-RO"/>
        </w:rPr>
        <w:t>ă</w:t>
      </w:r>
      <w:r w:rsidR="00E81F9A" w:rsidRPr="00834B27">
        <w:rPr>
          <w:rStyle w:val="Referinnotdesubsol"/>
          <w:rFonts w:ascii="Calibri" w:hAnsi="Calibri" w:cs="Calibri"/>
          <w:lang w:val="ro-RO"/>
        </w:rPr>
        <w:footnoteReference w:id="5"/>
      </w:r>
      <w:r w:rsidR="00AB00BF" w:rsidRPr="00834B27">
        <w:rPr>
          <w:rFonts w:ascii="Calibri" w:hAnsi="Calibri" w:cs="Calibri"/>
          <w:lang w:val="ro-RO"/>
        </w:rPr>
        <w:t>;</w:t>
      </w:r>
    </w:p>
    <w:p w14:paraId="3FA3793D" w14:textId="31241323" w:rsidR="00AB00BF" w:rsidRPr="00834B27" w:rsidRDefault="00AB00BF" w:rsidP="00B91E74">
      <w:pPr>
        <w:pStyle w:val="Listparagraf"/>
        <w:numPr>
          <w:ilvl w:val="0"/>
          <w:numId w:val="1"/>
        </w:numPr>
        <w:spacing w:line="276" w:lineRule="auto"/>
        <w:contextualSpacing w:val="0"/>
        <w:jc w:val="both"/>
        <w:rPr>
          <w:rFonts w:ascii="Calibri" w:hAnsi="Calibri" w:cs="Calibri"/>
          <w:lang w:val="ro-RO"/>
        </w:rPr>
      </w:pPr>
      <w:r w:rsidRPr="00834B27">
        <w:rPr>
          <w:rFonts w:ascii="Calibri" w:hAnsi="Calibri" w:cs="Calibri"/>
          <w:lang w:val="ro-RO"/>
        </w:rPr>
        <w:t>8% din venitul brut, datorat</w:t>
      </w:r>
      <w:r w:rsidR="009D30CD" w:rsidRPr="00834B27">
        <w:rPr>
          <w:rFonts w:ascii="Calibri" w:hAnsi="Calibri" w:cs="Calibri"/>
          <w:lang w:val="ro-RO"/>
        </w:rPr>
        <w:t>ă</w:t>
      </w:r>
      <w:r w:rsidRPr="00834B27">
        <w:rPr>
          <w:rFonts w:ascii="Calibri" w:hAnsi="Calibri" w:cs="Calibri"/>
          <w:lang w:val="ro-RO"/>
        </w:rPr>
        <w:t xml:space="preserve"> de angajator pentru </w:t>
      </w:r>
      <w:r w:rsidR="009D30CD" w:rsidRPr="00834B27">
        <w:rPr>
          <w:rFonts w:ascii="Calibri" w:hAnsi="Calibri" w:cs="Calibri"/>
          <w:lang w:val="ro-RO"/>
        </w:rPr>
        <w:t>condi</w:t>
      </w:r>
      <w:r w:rsidR="00D77C4B" w:rsidRPr="00834B27">
        <w:rPr>
          <w:rFonts w:ascii="Calibri" w:hAnsi="Calibri" w:cs="Calibri"/>
          <w:lang w:val="ro-RO"/>
        </w:rPr>
        <w:t>ț</w:t>
      </w:r>
      <w:r w:rsidR="009D30CD" w:rsidRPr="00834B27">
        <w:rPr>
          <w:rFonts w:ascii="Calibri" w:hAnsi="Calibri" w:cs="Calibri"/>
          <w:lang w:val="ro-RO"/>
        </w:rPr>
        <w:t>ii</w:t>
      </w:r>
      <w:r w:rsidRPr="00834B27">
        <w:rPr>
          <w:rFonts w:ascii="Calibri" w:hAnsi="Calibri" w:cs="Calibri"/>
          <w:lang w:val="ro-RO"/>
        </w:rPr>
        <w:t xml:space="preserve"> speciale de munc</w:t>
      </w:r>
      <w:r w:rsidR="009D30CD" w:rsidRPr="00834B27">
        <w:rPr>
          <w:rFonts w:ascii="Calibri" w:hAnsi="Calibri" w:cs="Calibri"/>
          <w:lang w:val="ro-RO"/>
        </w:rPr>
        <w:t>ă</w:t>
      </w:r>
      <w:r w:rsidR="00E81F9A" w:rsidRPr="00834B27">
        <w:rPr>
          <w:rStyle w:val="Referinnotdesubsol"/>
          <w:rFonts w:ascii="Calibri" w:hAnsi="Calibri" w:cs="Calibri"/>
          <w:lang w:val="ro-RO"/>
        </w:rPr>
        <w:footnoteReference w:id="6"/>
      </w:r>
      <w:r w:rsidRPr="00834B27">
        <w:rPr>
          <w:rFonts w:ascii="Calibri" w:hAnsi="Calibri" w:cs="Calibri"/>
          <w:lang w:val="ro-RO"/>
        </w:rPr>
        <w:t>;</w:t>
      </w:r>
    </w:p>
    <w:p w14:paraId="39A13392" w14:textId="050E9572" w:rsidR="00FF1A42" w:rsidRPr="00834B27" w:rsidRDefault="00FF1A42" w:rsidP="00B91E74">
      <w:pPr>
        <w:spacing w:line="276" w:lineRule="auto"/>
        <w:jc w:val="both"/>
        <w:rPr>
          <w:rFonts w:ascii="Calibri" w:hAnsi="Calibri" w:cs="Calibri"/>
          <w:lang w:val="ro-RO"/>
        </w:rPr>
      </w:pPr>
      <w:r w:rsidRPr="00834B27">
        <w:rPr>
          <w:rFonts w:ascii="Calibri" w:hAnsi="Calibri" w:cs="Calibri"/>
          <w:b/>
          <w:bCs/>
          <w:u w:val="single"/>
          <w:lang w:val="ro-RO"/>
        </w:rPr>
        <w:t>Baza de calcul:</w:t>
      </w:r>
      <w:r w:rsidRPr="00834B27">
        <w:rPr>
          <w:rFonts w:ascii="Calibri" w:hAnsi="Calibri" w:cs="Calibri"/>
          <w:lang w:val="ro-RO"/>
        </w:rPr>
        <w:t xml:space="preserve"> </w:t>
      </w:r>
      <w:r w:rsidR="00285F1A" w:rsidRPr="00834B27">
        <w:rPr>
          <w:rFonts w:ascii="Calibri" w:hAnsi="Calibri" w:cs="Calibri"/>
          <w:lang w:val="ro-RO"/>
        </w:rPr>
        <w:t>v</w:t>
      </w:r>
      <w:r w:rsidRPr="00834B27">
        <w:rPr>
          <w:rFonts w:ascii="Calibri" w:hAnsi="Calibri" w:cs="Calibri"/>
          <w:lang w:val="ro-RO"/>
        </w:rPr>
        <w:t>enitul brut</w:t>
      </w:r>
      <w:r w:rsidR="00EF0CF5" w:rsidRPr="00834B27">
        <w:rPr>
          <w:rFonts w:ascii="Calibri" w:hAnsi="Calibri" w:cs="Calibri"/>
          <w:lang w:val="ro-RO"/>
        </w:rPr>
        <w:t>.</w:t>
      </w:r>
    </w:p>
    <w:p w14:paraId="4C02CFC8" w14:textId="2CE552B4" w:rsidR="00664E36" w:rsidRPr="00834B27" w:rsidRDefault="00862D61" w:rsidP="00B91E74">
      <w:pPr>
        <w:spacing w:line="276" w:lineRule="auto"/>
        <w:jc w:val="both"/>
        <w:rPr>
          <w:rFonts w:ascii="Calibri" w:hAnsi="Calibri" w:cs="Calibri"/>
          <w:lang w:val="ro-RO"/>
        </w:rPr>
      </w:pPr>
      <w:r w:rsidRPr="00834B27">
        <w:rPr>
          <w:rFonts w:ascii="Calibri" w:hAnsi="Calibri" w:cs="Calibri"/>
          <w:b/>
          <w:bCs/>
          <w:u w:val="single"/>
          <w:lang w:val="ro-RO"/>
        </w:rPr>
        <w:t>Plata:</w:t>
      </w:r>
      <w:r w:rsidRPr="00834B27">
        <w:rPr>
          <w:rFonts w:ascii="Calibri" w:hAnsi="Calibri" w:cs="Calibri"/>
          <w:lang w:val="ro-RO"/>
        </w:rPr>
        <w:t xml:space="preserve"> </w:t>
      </w:r>
      <w:r w:rsidR="00A522DA" w:rsidRPr="00834B27">
        <w:rPr>
          <w:rFonts w:ascii="Calibri" w:hAnsi="Calibri" w:cs="Calibri"/>
          <w:lang w:val="ro-RO"/>
        </w:rPr>
        <w:t>CAS se re</w:t>
      </w:r>
      <w:r w:rsidR="00D77C4B" w:rsidRPr="00834B27">
        <w:rPr>
          <w:rFonts w:ascii="Calibri" w:hAnsi="Calibri" w:cs="Calibri"/>
          <w:lang w:val="ro-RO"/>
        </w:rPr>
        <w:t>ț</w:t>
      </w:r>
      <w:r w:rsidR="00A522DA" w:rsidRPr="00834B27">
        <w:rPr>
          <w:rFonts w:ascii="Calibri" w:hAnsi="Calibri" w:cs="Calibri"/>
          <w:lang w:val="ro-RO"/>
        </w:rPr>
        <w:t>ine lunar de c</w:t>
      </w:r>
      <w:r w:rsidR="009D30CD" w:rsidRPr="00834B27">
        <w:rPr>
          <w:rFonts w:ascii="Calibri" w:hAnsi="Calibri" w:cs="Calibri"/>
          <w:lang w:val="ro-RO"/>
        </w:rPr>
        <w:t>ă</w:t>
      </w:r>
      <w:r w:rsidR="00A522DA" w:rsidRPr="00834B27">
        <w:rPr>
          <w:rFonts w:ascii="Calibri" w:hAnsi="Calibri" w:cs="Calibri"/>
          <w:lang w:val="ro-RO"/>
        </w:rPr>
        <w:t xml:space="preserve">tre angajator </w:t>
      </w:r>
      <w:r w:rsidR="009D30CD" w:rsidRPr="00834B27">
        <w:rPr>
          <w:rFonts w:ascii="Calibri" w:hAnsi="Calibri" w:cs="Calibri"/>
          <w:lang w:val="ro-RO"/>
        </w:rPr>
        <w:t>ș</w:t>
      </w:r>
      <w:r w:rsidR="00A522DA" w:rsidRPr="00834B27">
        <w:rPr>
          <w:rFonts w:ascii="Calibri" w:hAnsi="Calibri" w:cs="Calibri"/>
          <w:lang w:val="ro-RO"/>
        </w:rPr>
        <w:t>i se vireaz</w:t>
      </w:r>
      <w:r w:rsidR="009D30CD" w:rsidRPr="00834B27">
        <w:rPr>
          <w:rFonts w:ascii="Calibri" w:hAnsi="Calibri" w:cs="Calibri"/>
          <w:lang w:val="ro-RO"/>
        </w:rPr>
        <w:t>ă</w:t>
      </w:r>
      <w:r w:rsidR="00A522DA" w:rsidRPr="00834B27">
        <w:rPr>
          <w:rFonts w:ascii="Calibri" w:hAnsi="Calibri" w:cs="Calibri"/>
          <w:lang w:val="ro-RO"/>
        </w:rPr>
        <w:t xml:space="preserve"> la buget p</w:t>
      </w:r>
      <w:r w:rsidR="009D30CD" w:rsidRPr="00834B27">
        <w:rPr>
          <w:rFonts w:ascii="Calibri" w:hAnsi="Calibri" w:cs="Calibri"/>
          <w:lang w:val="ro-RO"/>
        </w:rPr>
        <w:t>â</w:t>
      </w:r>
      <w:r w:rsidR="00A522DA" w:rsidRPr="00834B27">
        <w:rPr>
          <w:rFonts w:ascii="Calibri" w:hAnsi="Calibri" w:cs="Calibri"/>
          <w:lang w:val="ro-RO"/>
        </w:rPr>
        <w:t>n</w:t>
      </w:r>
      <w:r w:rsidR="009D30CD" w:rsidRPr="00834B27">
        <w:rPr>
          <w:rFonts w:ascii="Calibri" w:hAnsi="Calibri" w:cs="Calibri"/>
          <w:lang w:val="ro-RO"/>
        </w:rPr>
        <w:t>ă</w:t>
      </w:r>
      <w:r w:rsidR="00A522DA" w:rsidRPr="00834B27">
        <w:rPr>
          <w:rFonts w:ascii="Calibri" w:hAnsi="Calibri" w:cs="Calibri"/>
          <w:lang w:val="ro-RO"/>
        </w:rPr>
        <w:t xml:space="preserve"> pe data </w:t>
      </w:r>
      <w:r w:rsidR="00285F1A" w:rsidRPr="00834B27">
        <w:rPr>
          <w:rFonts w:ascii="Calibri" w:hAnsi="Calibri" w:cs="Calibri"/>
          <w:lang w:val="ro-RO"/>
        </w:rPr>
        <w:t xml:space="preserve">de </w:t>
      </w:r>
      <w:r w:rsidR="00A522DA" w:rsidRPr="00834B27">
        <w:rPr>
          <w:rFonts w:ascii="Calibri" w:hAnsi="Calibri" w:cs="Calibri"/>
          <w:lang w:val="ro-RO"/>
        </w:rPr>
        <w:t xml:space="preserve">25 a lunii </w:t>
      </w:r>
      <w:r w:rsidR="009D30CD" w:rsidRPr="00834B27">
        <w:rPr>
          <w:rFonts w:ascii="Calibri" w:hAnsi="Calibri" w:cs="Calibri"/>
          <w:lang w:val="ro-RO"/>
        </w:rPr>
        <w:t>următoare</w:t>
      </w:r>
      <w:r w:rsidR="00A522DA" w:rsidRPr="00834B27">
        <w:rPr>
          <w:rFonts w:ascii="Calibri" w:hAnsi="Calibri" w:cs="Calibri"/>
          <w:lang w:val="ro-RO"/>
        </w:rPr>
        <w:t xml:space="preserve">, </w:t>
      </w:r>
      <w:r w:rsidR="009D30CD" w:rsidRPr="00834B27">
        <w:rPr>
          <w:rFonts w:ascii="Calibri" w:hAnsi="Calibri" w:cs="Calibri"/>
          <w:lang w:val="ro-RO"/>
        </w:rPr>
        <w:t>împreună</w:t>
      </w:r>
      <w:r w:rsidR="00A522DA" w:rsidRPr="00834B27">
        <w:rPr>
          <w:rFonts w:ascii="Calibri" w:hAnsi="Calibri" w:cs="Calibri"/>
          <w:lang w:val="ro-RO"/>
        </w:rPr>
        <w:t xml:space="preserve"> cu CASS </w:t>
      </w:r>
      <w:r w:rsidR="009D30CD" w:rsidRPr="00834B27">
        <w:rPr>
          <w:rFonts w:ascii="Calibri" w:hAnsi="Calibri" w:cs="Calibri"/>
          <w:lang w:val="ro-RO"/>
        </w:rPr>
        <w:t>ș</w:t>
      </w:r>
      <w:r w:rsidR="00A522DA" w:rsidRPr="00834B27">
        <w:rPr>
          <w:rFonts w:ascii="Calibri" w:hAnsi="Calibri" w:cs="Calibri"/>
          <w:lang w:val="ro-RO"/>
        </w:rPr>
        <w:t>i impozitul pe venit</w:t>
      </w:r>
      <w:r w:rsidR="00204DA2" w:rsidRPr="00834B27">
        <w:rPr>
          <w:rFonts w:ascii="Calibri" w:hAnsi="Calibri" w:cs="Calibri"/>
          <w:lang w:val="ro-RO"/>
        </w:rPr>
        <w:t xml:space="preserve">. Angajatorii au </w:t>
      </w:r>
      <w:r w:rsidR="009D30CD" w:rsidRPr="00834B27">
        <w:rPr>
          <w:rFonts w:ascii="Calibri" w:hAnsi="Calibri" w:cs="Calibri"/>
          <w:lang w:val="ro-RO"/>
        </w:rPr>
        <w:t>obliga</w:t>
      </w:r>
      <w:r w:rsidR="00D77C4B" w:rsidRPr="00834B27">
        <w:rPr>
          <w:rFonts w:ascii="Calibri" w:hAnsi="Calibri" w:cs="Calibri"/>
          <w:lang w:val="ro-RO"/>
        </w:rPr>
        <w:t>ț</w:t>
      </w:r>
      <w:r w:rsidR="009D30CD" w:rsidRPr="00834B27">
        <w:rPr>
          <w:rFonts w:ascii="Calibri" w:hAnsi="Calibri" w:cs="Calibri"/>
          <w:lang w:val="ro-RO"/>
        </w:rPr>
        <w:t>ia</w:t>
      </w:r>
      <w:r w:rsidR="00204DA2" w:rsidRPr="00834B27">
        <w:rPr>
          <w:rFonts w:ascii="Calibri" w:hAnsi="Calibri" w:cs="Calibri"/>
          <w:lang w:val="ro-RO"/>
        </w:rPr>
        <w:t xml:space="preserve"> s</w:t>
      </w:r>
      <w:r w:rsidR="009D30CD" w:rsidRPr="00834B27">
        <w:rPr>
          <w:rFonts w:ascii="Calibri" w:hAnsi="Calibri" w:cs="Calibri"/>
          <w:lang w:val="ro-RO"/>
        </w:rPr>
        <w:t>ă</w:t>
      </w:r>
      <w:r w:rsidR="00204DA2" w:rsidRPr="00834B27">
        <w:rPr>
          <w:rFonts w:ascii="Calibri" w:hAnsi="Calibri" w:cs="Calibri"/>
          <w:lang w:val="ro-RO"/>
        </w:rPr>
        <w:t xml:space="preserve"> depun</w:t>
      </w:r>
      <w:r w:rsidR="009D30CD" w:rsidRPr="00834B27">
        <w:rPr>
          <w:rFonts w:ascii="Calibri" w:hAnsi="Calibri" w:cs="Calibri"/>
          <w:lang w:val="ro-RO"/>
        </w:rPr>
        <w:t>ă</w:t>
      </w:r>
      <w:r w:rsidR="00204DA2" w:rsidRPr="00834B27">
        <w:rPr>
          <w:rFonts w:ascii="Calibri" w:hAnsi="Calibri" w:cs="Calibri"/>
          <w:lang w:val="ro-RO"/>
        </w:rPr>
        <w:t xml:space="preserve"> D112</w:t>
      </w:r>
      <w:r w:rsidR="0052348B" w:rsidRPr="00834B27">
        <w:rPr>
          <w:rFonts w:ascii="Calibri" w:hAnsi="Calibri" w:cs="Calibri"/>
          <w:lang w:val="ro-RO"/>
        </w:rPr>
        <w:t xml:space="preserve"> lunar sau trimestrial</w:t>
      </w:r>
      <w:r w:rsidR="00E8619B" w:rsidRPr="00834B27">
        <w:rPr>
          <w:rFonts w:ascii="Calibri" w:hAnsi="Calibri" w:cs="Calibri"/>
          <w:lang w:val="ro-RO"/>
        </w:rPr>
        <w:t>.</w:t>
      </w:r>
    </w:p>
    <w:p w14:paraId="4D43FD5C" w14:textId="77777777" w:rsidR="00E81F9A" w:rsidRPr="00834B27" w:rsidRDefault="00E81F9A" w:rsidP="00B91E74">
      <w:pPr>
        <w:spacing w:line="276" w:lineRule="auto"/>
        <w:jc w:val="both"/>
        <w:rPr>
          <w:rFonts w:ascii="Calibri" w:hAnsi="Calibri" w:cs="Calibri"/>
          <w:lang w:val="ro-RO"/>
        </w:rPr>
      </w:pPr>
    </w:p>
    <w:p w14:paraId="194CBED7" w14:textId="5EB64002" w:rsidR="00315830" w:rsidRPr="00834B27" w:rsidRDefault="00315830" w:rsidP="00B91E74">
      <w:pPr>
        <w:spacing w:line="276" w:lineRule="auto"/>
        <w:jc w:val="both"/>
        <w:rPr>
          <w:rFonts w:ascii="Calibri" w:hAnsi="Calibri" w:cs="Calibri"/>
          <w:b/>
          <w:bCs/>
          <w:i/>
          <w:iCs/>
          <w:lang w:val="ro-RO"/>
        </w:rPr>
      </w:pPr>
      <w:r w:rsidRPr="00834B27">
        <w:rPr>
          <w:rFonts w:ascii="Calibri" w:hAnsi="Calibri" w:cs="Calibri"/>
          <w:b/>
          <w:bCs/>
          <w:i/>
          <w:iCs/>
          <w:lang w:val="ro-RO"/>
        </w:rPr>
        <w:t>Scurt istoric</w:t>
      </w:r>
    </w:p>
    <w:p w14:paraId="3C5669EA" w14:textId="44A5F6FC" w:rsidR="00D6707D" w:rsidRPr="00834B27" w:rsidRDefault="00F539EA" w:rsidP="00B91E74">
      <w:pPr>
        <w:spacing w:line="276" w:lineRule="auto"/>
        <w:jc w:val="both"/>
        <w:rPr>
          <w:rFonts w:ascii="Calibri" w:hAnsi="Calibri" w:cs="Calibri"/>
          <w:i/>
          <w:iCs/>
          <w:lang w:val="ro-RO"/>
        </w:rPr>
      </w:pPr>
      <w:r w:rsidRPr="00834B27">
        <w:rPr>
          <w:rFonts w:ascii="Calibri" w:hAnsi="Calibri" w:cs="Calibri"/>
          <w:i/>
          <w:iCs/>
          <w:lang w:val="ro-RO"/>
        </w:rPr>
        <w:t>P</w:t>
      </w:r>
      <w:r w:rsidR="009D30CD" w:rsidRPr="00834B27">
        <w:rPr>
          <w:rFonts w:ascii="Calibri" w:hAnsi="Calibri" w:cs="Calibri"/>
          <w:i/>
          <w:iCs/>
          <w:lang w:val="ro-RO"/>
        </w:rPr>
        <w:t>â</w:t>
      </w:r>
      <w:r w:rsidRPr="00834B27">
        <w:rPr>
          <w:rFonts w:ascii="Calibri" w:hAnsi="Calibri" w:cs="Calibri"/>
          <w:i/>
          <w:iCs/>
          <w:lang w:val="ro-RO"/>
        </w:rPr>
        <w:t>n</w:t>
      </w:r>
      <w:r w:rsidR="009D30CD" w:rsidRPr="00834B27">
        <w:rPr>
          <w:rFonts w:ascii="Calibri" w:hAnsi="Calibri" w:cs="Calibri"/>
          <w:i/>
          <w:iCs/>
          <w:lang w:val="ro-RO"/>
        </w:rPr>
        <w:t>ă</w:t>
      </w:r>
      <w:r w:rsidRPr="00834B27">
        <w:rPr>
          <w:rFonts w:ascii="Calibri" w:hAnsi="Calibri" w:cs="Calibri"/>
          <w:i/>
          <w:iCs/>
          <w:lang w:val="ro-RO"/>
        </w:rPr>
        <w:t xml:space="preserve"> </w:t>
      </w:r>
      <w:r w:rsidR="009D30CD" w:rsidRPr="00834B27">
        <w:rPr>
          <w:rFonts w:ascii="Calibri" w:hAnsi="Calibri" w:cs="Calibri"/>
          <w:i/>
          <w:iCs/>
          <w:lang w:val="ro-RO"/>
        </w:rPr>
        <w:t>î</w:t>
      </w:r>
      <w:r w:rsidRPr="00834B27">
        <w:rPr>
          <w:rFonts w:ascii="Calibri" w:hAnsi="Calibri" w:cs="Calibri"/>
          <w:i/>
          <w:iCs/>
          <w:lang w:val="ro-RO"/>
        </w:rPr>
        <w:t>n anul 2017</w:t>
      </w:r>
      <w:r w:rsidR="00862D61" w:rsidRPr="00834B27">
        <w:rPr>
          <w:rFonts w:ascii="Calibri" w:hAnsi="Calibri" w:cs="Calibri"/>
          <w:i/>
          <w:iCs/>
          <w:lang w:val="ro-RO"/>
        </w:rPr>
        <w:t xml:space="preserve"> inclusiv</w:t>
      </w:r>
      <w:r w:rsidRPr="00834B27">
        <w:rPr>
          <w:rFonts w:ascii="Calibri" w:hAnsi="Calibri" w:cs="Calibri"/>
          <w:i/>
          <w:iCs/>
          <w:lang w:val="ro-RO"/>
        </w:rPr>
        <w:t xml:space="preserve">, </w:t>
      </w:r>
      <w:r w:rsidR="00C201BE" w:rsidRPr="00834B27">
        <w:rPr>
          <w:rFonts w:ascii="Calibri" w:hAnsi="Calibri" w:cs="Calibri"/>
          <w:i/>
          <w:iCs/>
          <w:lang w:val="ro-RO"/>
        </w:rPr>
        <w:t xml:space="preserve">cotele de </w:t>
      </w:r>
      <w:r w:rsidR="00627478" w:rsidRPr="00834B27">
        <w:rPr>
          <w:rFonts w:ascii="Calibri" w:hAnsi="Calibri" w:cs="Calibri"/>
          <w:i/>
          <w:iCs/>
          <w:lang w:val="ro-RO"/>
        </w:rPr>
        <w:t xml:space="preserve">CAS </w:t>
      </w:r>
      <w:r w:rsidR="001B0EB8" w:rsidRPr="00834B27">
        <w:rPr>
          <w:rFonts w:ascii="Calibri" w:hAnsi="Calibri" w:cs="Calibri"/>
          <w:i/>
          <w:iCs/>
          <w:lang w:val="ro-RO"/>
        </w:rPr>
        <w:t>era</w:t>
      </w:r>
      <w:r w:rsidR="00C201BE" w:rsidRPr="00834B27">
        <w:rPr>
          <w:rFonts w:ascii="Calibri" w:hAnsi="Calibri" w:cs="Calibri"/>
          <w:i/>
          <w:iCs/>
          <w:lang w:val="ro-RO"/>
        </w:rPr>
        <w:t>u:</w:t>
      </w:r>
    </w:p>
    <w:p w14:paraId="5F01CBFA" w14:textId="482903E9" w:rsidR="00D6707D" w:rsidRPr="00834B27" w:rsidRDefault="00E8619B" w:rsidP="005602C1">
      <w:pPr>
        <w:pStyle w:val="Listparagraf"/>
        <w:numPr>
          <w:ilvl w:val="0"/>
          <w:numId w:val="1"/>
        </w:numPr>
        <w:spacing w:line="276" w:lineRule="auto"/>
        <w:ind w:left="360"/>
        <w:contextualSpacing w:val="0"/>
        <w:jc w:val="both"/>
        <w:rPr>
          <w:rFonts w:ascii="Calibri" w:hAnsi="Calibri" w:cs="Calibri"/>
          <w:i/>
          <w:iCs/>
          <w:lang w:val="ro-RO"/>
        </w:rPr>
      </w:pPr>
      <w:r w:rsidRPr="00834B27">
        <w:rPr>
          <w:rFonts w:ascii="Calibri" w:hAnsi="Calibri" w:cs="Calibri"/>
          <w:i/>
          <w:iCs/>
          <w:lang w:val="ro-RO"/>
        </w:rPr>
        <w:t xml:space="preserve">26,3% pentru </w:t>
      </w:r>
      <w:r w:rsidR="009D30CD" w:rsidRPr="00834B27">
        <w:rPr>
          <w:rFonts w:ascii="Calibri" w:hAnsi="Calibri" w:cs="Calibri"/>
          <w:i/>
          <w:iCs/>
          <w:lang w:val="ro-RO"/>
        </w:rPr>
        <w:t>condi</w:t>
      </w:r>
      <w:r w:rsidR="00D77C4B" w:rsidRPr="00834B27">
        <w:rPr>
          <w:rFonts w:ascii="Calibri" w:hAnsi="Calibri" w:cs="Calibri"/>
          <w:i/>
          <w:iCs/>
          <w:lang w:val="ro-RO"/>
        </w:rPr>
        <w:t>ț</w:t>
      </w:r>
      <w:r w:rsidR="009D30CD" w:rsidRPr="00834B27">
        <w:rPr>
          <w:rFonts w:ascii="Calibri" w:hAnsi="Calibri" w:cs="Calibri"/>
          <w:i/>
          <w:iCs/>
          <w:lang w:val="ro-RO"/>
        </w:rPr>
        <w:t>ii</w:t>
      </w:r>
      <w:r w:rsidRPr="00834B27">
        <w:rPr>
          <w:rFonts w:ascii="Calibri" w:hAnsi="Calibri" w:cs="Calibri"/>
          <w:i/>
          <w:iCs/>
          <w:lang w:val="ro-RO"/>
        </w:rPr>
        <w:t xml:space="preserve"> normale de muncă, din care 10,5% pentru </w:t>
      </w:r>
      <w:r w:rsidR="009D30CD" w:rsidRPr="00834B27">
        <w:rPr>
          <w:rFonts w:ascii="Calibri" w:hAnsi="Calibri" w:cs="Calibri"/>
          <w:i/>
          <w:iCs/>
          <w:lang w:val="ro-RO"/>
        </w:rPr>
        <w:t>contribu</w:t>
      </w:r>
      <w:r w:rsidR="00D77C4B" w:rsidRPr="00834B27">
        <w:rPr>
          <w:rFonts w:ascii="Calibri" w:hAnsi="Calibri" w:cs="Calibri"/>
          <w:i/>
          <w:iCs/>
          <w:lang w:val="ro-RO"/>
        </w:rPr>
        <w:t>ț</w:t>
      </w:r>
      <w:r w:rsidR="009D30CD" w:rsidRPr="00834B27">
        <w:rPr>
          <w:rFonts w:ascii="Calibri" w:hAnsi="Calibri" w:cs="Calibri"/>
          <w:i/>
          <w:iCs/>
          <w:lang w:val="ro-RO"/>
        </w:rPr>
        <w:t>ia</w:t>
      </w:r>
      <w:r w:rsidRPr="00834B27">
        <w:rPr>
          <w:rFonts w:ascii="Calibri" w:hAnsi="Calibri" w:cs="Calibri"/>
          <w:i/>
          <w:iCs/>
          <w:lang w:val="ro-RO"/>
        </w:rPr>
        <w:t xml:space="preserve"> individuală </w:t>
      </w:r>
      <w:r w:rsidR="009019B7" w:rsidRPr="00834B27">
        <w:rPr>
          <w:rFonts w:ascii="Calibri" w:hAnsi="Calibri" w:cs="Calibri"/>
          <w:i/>
          <w:iCs/>
          <w:lang w:val="ro-RO"/>
        </w:rPr>
        <w:t>și</w:t>
      </w:r>
      <w:r w:rsidRPr="00834B27">
        <w:rPr>
          <w:rFonts w:ascii="Calibri" w:hAnsi="Calibri" w:cs="Calibri"/>
          <w:i/>
          <w:iCs/>
          <w:lang w:val="ro-RO"/>
        </w:rPr>
        <w:t xml:space="preserve"> 15,8% pentru </w:t>
      </w:r>
      <w:r w:rsidR="009D30CD" w:rsidRPr="00834B27">
        <w:rPr>
          <w:rFonts w:ascii="Calibri" w:hAnsi="Calibri" w:cs="Calibri"/>
          <w:i/>
          <w:iCs/>
          <w:lang w:val="ro-RO"/>
        </w:rPr>
        <w:t>contribu</w:t>
      </w:r>
      <w:r w:rsidR="00D77C4B" w:rsidRPr="00834B27">
        <w:rPr>
          <w:rFonts w:ascii="Calibri" w:hAnsi="Calibri" w:cs="Calibri"/>
          <w:i/>
          <w:iCs/>
          <w:lang w:val="ro-RO"/>
        </w:rPr>
        <w:t>ț</w:t>
      </w:r>
      <w:r w:rsidR="009D30CD" w:rsidRPr="00834B27">
        <w:rPr>
          <w:rFonts w:ascii="Calibri" w:hAnsi="Calibri" w:cs="Calibri"/>
          <w:i/>
          <w:iCs/>
          <w:lang w:val="ro-RO"/>
        </w:rPr>
        <w:t>ia</w:t>
      </w:r>
      <w:r w:rsidRPr="00834B27">
        <w:rPr>
          <w:rFonts w:ascii="Calibri" w:hAnsi="Calibri" w:cs="Calibri"/>
          <w:i/>
          <w:iCs/>
          <w:lang w:val="ro-RO"/>
        </w:rPr>
        <w:t xml:space="preserve"> datorată de angajator;  </w:t>
      </w:r>
    </w:p>
    <w:p w14:paraId="26391D1D" w14:textId="41A25733" w:rsidR="0051198E" w:rsidRPr="00834B27" w:rsidRDefault="00E8619B" w:rsidP="005602C1">
      <w:pPr>
        <w:pStyle w:val="Listparagraf"/>
        <w:numPr>
          <w:ilvl w:val="0"/>
          <w:numId w:val="1"/>
        </w:numPr>
        <w:spacing w:line="276" w:lineRule="auto"/>
        <w:ind w:left="360"/>
        <w:contextualSpacing w:val="0"/>
        <w:jc w:val="both"/>
        <w:rPr>
          <w:rFonts w:ascii="Calibri" w:hAnsi="Calibri" w:cs="Calibri"/>
          <w:i/>
          <w:iCs/>
          <w:lang w:val="ro-RO"/>
        </w:rPr>
      </w:pPr>
      <w:r w:rsidRPr="00834B27">
        <w:rPr>
          <w:rFonts w:ascii="Calibri" w:hAnsi="Calibri" w:cs="Calibri"/>
          <w:i/>
          <w:iCs/>
          <w:lang w:val="ro-RO"/>
        </w:rPr>
        <w:t xml:space="preserve">31,3% pentru </w:t>
      </w:r>
      <w:r w:rsidR="009D30CD" w:rsidRPr="00834B27">
        <w:rPr>
          <w:rFonts w:ascii="Calibri" w:hAnsi="Calibri" w:cs="Calibri"/>
          <w:i/>
          <w:iCs/>
          <w:lang w:val="ro-RO"/>
        </w:rPr>
        <w:t>condi</w:t>
      </w:r>
      <w:r w:rsidR="00D77C4B" w:rsidRPr="00834B27">
        <w:rPr>
          <w:rFonts w:ascii="Calibri" w:hAnsi="Calibri" w:cs="Calibri"/>
          <w:i/>
          <w:iCs/>
          <w:lang w:val="ro-RO"/>
        </w:rPr>
        <w:t>ț</w:t>
      </w:r>
      <w:r w:rsidR="009D30CD" w:rsidRPr="00834B27">
        <w:rPr>
          <w:rFonts w:ascii="Calibri" w:hAnsi="Calibri" w:cs="Calibri"/>
          <w:i/>
          <w:iCs/>
          <w:lang w:val="ro-RO"/>
        </w:rPr>
        <w:t>ii</w:t>
      </w:r>
      <w:r w:rsidRPr="00834B27">
        <w:rPr>
          <w:rFonts w:ascii="Calibri" w:hAnsi="Calibri" w:cs="Calibri"/>
          <w:i/>
          <w:iCs/>
          <w:lang w:val="ro-RO"/>
        </w:rPr>
        <w:t xml:space="preserve"> deosebite de muncă, din care 10,5% pentru </w:t>
      </w:r>
      <w:r w:rsidR="009D30CD" w:rsidRPr="00834B27">
        <w:rPr>
          <w:rFonts w:ascii="Calibri" w:hAnsi="Calibri" w:cs="Calibri"/>
          <w:i/>
          <w:iCs/>
          <w:lang w:val="ro-RO"/>
        </w:rPr>
        <w:t>contribu</w:t>
      </w:r>
      <w:r w:rsidR="00D77C4B" w:rsidRPr="00834B27">
        <w:rPr>
          <w:rFonts w:ascii="Calibri" w:hAnsi="Calibri" w:cs="Calibri"/>
          <w:i/>
          <w:iCs/>
          <w:lang w:val="ro-RO"/>
        </w:rPr>
        <w:t>ț</w:t>
      </w:r>
      <w:r w:rsidR="009D30CD" w:rsidRPr="00834B27">
        <w:rPr>
          <w:rFonts w:ascii="Calibri" w:hAnsi="Calibri" w:cs="Calibri"/>
          <w:i/>
          <w:iCs/>
          <w:lang w:val="ro-RO"/>
        </w:rPr>
        <w:t>ia</w:t>
      </w:r>
      <w:r w:rsidRPr="00834B27">
        <w:rPr>
          <w:rFonts w:ascii="Calibri" w:hAnsi="Calibri" w:cs="Calibri"/>
          <w:i/>
          <w:iCs/>
          <w:lang w:val="ro-RO"/>
        </w:rPr>
        <w:t xml:space="preserve"> individuală </w:t>
      </w:r>
      <w:r w:rsidR="009019B7" w:rsidRPr="00834B27">
        <w:rPr>
          <w:rFonts w:ascii="Calibri" w:hAnsi="Calibri" w:cs="Calibri"/>
          <w:i/>
          <w:iCs/>
          <w:lang w:val="ro-RO"/>
        </w:rPr>
        <w:t>și</w:t>
      </w:r>
      <w:r w:rsidRPr="00834B27">
        <w:rPr>
          <w:rFonts w:ascii="Calibri" w:hAnsi="Calibri" w:cs="Calibri"/>
          <w:i/>
          <w:iCs/>
          <w:lang w:val="ro-RO"/>
        </w:rPr>
        <w:t xml:space="preserve"> 20,8% pentru </w:t>
      </w:r>
      <w:r w:rsidR="009D30CD" w:rsidRPr="00834B27">
        <w:rPr>
          <w:rFonts w:ascii="Calibri" w:hAnsi="Calibri" w:cs="Calibri"/>
          <w:i/>
          <w:iCs/>
          <w:lang w:val="ro-RO"/>
        </w:rPr>
        <w:t>contribu</w:t>
      </w:r>
      <w:r w:rsidR="00D77C4B" w:rsidRPr="00834B27">
        <w:rPr>
          <w:rFonts w:ascii="Calibri" w:hAnsi="Calibri" w:cs="Calibri"/>
          <w:i/>
          <w:iCs/>
          <w:lang w:val="ro-RO"/>
        </w:rPr>
        <w:t>ț</w:t>
      </w:r>
      <w:r w:rsidR="009D30CD" w:rsidRPr="00834B27">
        <w:rPr>
          <w:rFonts w:ascii="Calibri" w:hAnsi="Calibri" w:cs="Calibri"/>
          <w:i/>
          <w:iCs/>
          <w:lang w:val="ro-RO"/>
        </w:rPr>
        <w:t>ia</w:t>
      </w:r>
      <w:r w:rsidRPr="00834B27">
        <w:rPr>
          <w:rFonts w:ascii="Calibri" w:hAnsi="Calibri" w:cs="Calibri"/>
          <w:i/>
          <w:iCs/>
          <w:lang w:val="ro-RO"/>
        </w:rPr>
        <w:t xml:space="preserve"> datorată de angajator;  </w:t>
      </w:r>
    </w:p>
    <w:p w14:paraId="641FF2FB" w14:textId="45DB54E0" w:rsidR="0051198E" w:rsidRPr="00834B27" w:rsidRDefault="00E8619B" w:rsidP="005602C1">
      <w:pPr>
        <w:pStyle w:val="Listparagraf"/>
        <w:numPr>
          <w:ilvl w:val="0"/>
          <w:numId w:val="1"/>
        </w:numPr>
        <w:spacing w:line="276" w:lineRule="auto"/>
        <w:ind w:left="360"/>
        <w:contextualSpacing w:val="0"/>
        <w:jc w:val="both"/>
        <w:rPr>
          <w:rFonts w:ascii="Calibri" w:hAnsi="Calibri" w:cs="Calibri"/>
          <w:i/>
          <w:iCs/>
          <w:lang w:val="ro-RO"/>
        </w:rPr>
      </w:pPr>
      <w:r w:rsidRPr="00834B27">
        <w:rPr>
          <w:rFonts w:ascii="Calibri" w:hAnsi="Calibri" w:cs="Calibri"/>
          <w:i/>
          <w:iCs/>
          <w:lang w:val="ro-RO"/>
        </w:rPr>
        <w:t xml:space="preserve">36,3% pentru </w:t>
      </w:r>
      <w:r w:rsidR="009D30CD" w:rsidRPr="00834B27">
        <w:rPr>
          <w:rFonts w:ascii="Calibri" w:hAnsi="Calibri" w:cs="Calibri"/>
          <w:i/>
          <w:iCs/>
          <w:lang w:val="ro-RO"/>
        </w:rPr>
        <w:t>condi</w:t>
      </w:r>
      <w:r w:rsidR="00D77C4B" w:rsidRPr="00834B27">
        <w:rPr>
          <w:rFonts w:ascii="Calibri" w:hAnsi="Calibri" w:cs="Calibri"/>
          <w:i/>
          <w:iCs/>
          <w:lang w:val="ro-RO"/>
        </w:rPr>
        <w:t>ț</w:t>
      </w:r>
      <w:r w:rsidR="009D30CD" w:rsidRPr="00834B27">
        <w:rPr>
          <w:rFonts w:ascii="Calibri" w:hAnsi="Calibri" w:cs="Calibri"/>
          <w:i/>
          <w:iCs/>
          <w:lang w:val="ro-RO"/>
        </w:rPr>
        <w:t>ii</w:t>
      </w:r>
      <w:r w:rsidRPr="00834B27">
        <w:rPr>
          <w:rFonts w:ascii="Calibri" w:hAnsi="Calibri" w:cs="Calibri"/>
          <w:i/>
          <w:iCs/>
          <w:lang w:val="ro-RO"/>
        </w:rPr>
        <w:t xml:space="preserve"> speciale de muncă, din care 10,5% pentru </w:t>
      </w:r>
      <w:r w:rsidR="009D30CD" w:rsidRPr="00834B27">
        <w:rPr>
          <w:rFonts w:ascii="Calibri" w:hAnsi="Calibri" w:cs="Calibri"/>
          <w:i/>
          <w:iCs/>
          <w:lang w:val="ro-RO"/>
        </w:rPr>
        <w:t>contribu</w:t>
      </w:r>
      <w:r w:rsidR="00D77C4B" w:rsidRPr="00834B27">
        <w:rPr>
          <w:rFonts w:ascii="Calibri" w:hAnsi="Calibri" w:cs="Calibri"/>
          <w:i/>
          <w:iCs/>
          <w:lang w:val="ro-RO"/>
        </w:rPr>
        <w:t>ț</w:t>
      </w:r>
      <w:r w:rsidR="009D30CD" w:rsidRPr="00834B27">
        <w:rPr>
          <w:rFonts w:ascii="Calibri" w:hAnsi="Calibri" w:cs="Calibri"/>
          <w:i/>
          <w:iCs/>
          <w:lang w:val="ro-RO"/>
        </w:rPr>
        <w:t>ia</w:t>
      </w:r>
      <w:r w:rsidRPr="00834B27">
        <w:rPr>
          <w:rFonts w:ascii="Calibri" w:hAnsi="Calibri" w:cs="Calibri"/>
          <w:i/>
          <w:iCs/>
          <w:lang w:val="ro-RO"/>
        </w:rPr>
        <w:t xml:space="preserve"> individuală </w:t>
      </w:r>
      <w:r w:rsidR="009019B7" w:rsidRPr="00834B27">
        <w:rPr>
          <w:rFonts w:ascii="Calibri" w:hAnsi="Calibri" w:cs="Calibri"/>
          <w:i/>
          <w:iCs/>
          <w:lang w:val="ro-RO"/>
        </w:rPr>
        <w:t>și</w:t>
      </w:r>
      <w:r w:rsidRPr="00834B27">
        <w:rPr>
          <w:rFonts w:ascii="Calibri" w:hAnsi="Calibri" w:cs="Calibri"/>
          <w:i/>
          <w:iCs/>
          <w:lang w:val="ro-RO"/>
        </w:rPr>
        <w:t xml:space="preserve"> 25,8% pentru </w:t>
      </w:r>
      <w:r w:rsidR="009D30CD" w:rsidRPr="00834B27">
        <w:rPr>
          <w:rFonts w:ascii="Calibri" w:hAnsi="Calibri" w:cs="Calibri"/>
          <w:i/>
          <w:iCs/>
          <w:lang w:val="ro-RO"/>
        </w:rPr>
        <w:t>contribu</w:t>
      </w:r>
      <w:r w:rsidR="00D77C4B" w:rsidRPr="00834B27">
        <w:rPr>
          <w:rFonts w:ascii="Calibri" w:hAnsi="Calibri" w:cs="Calibri"/>
          <w:i/>
          <w:iCs/>
          <w:lang w:val="ro-RO"/>
        </w:rPr>
        <w:t>ț</w:t>
      </w:r>
      <w:r w:rsidR="009D30CD" w:rsidRPr="00834B27">
        <w:rPr>
          <w:rFonts w:ascii="Calibri" w:hAnsi="Calibri" w:cs="Calibri"/>
          <w:i/>
          <w:iCs/>
          <w:lang w:val="ro-RO"/>
        </w:rPr>
        <w:t>ia</w:t>
      </w:r>
      <w:r w:rsidRPr="00834B27">
        <w:rPr>
          <w:rFonts w:ascii="Calibri" w:hAnsi="Calibri" w:cs="Calibri"/>
          <w:i/>
          <w:iCs/>
          <w:lang w:val="ro-RO"/>
        </w:rPr>
        <w:t xml:space="preserve"> datorată de angajator.</w:t>
      </w:r>
    </w:p>
    <w:p w14:paraId="27936028" w14:textId="5E48184A" w:rsidR="003A201D" w:rsidRPr="00834B27" w:rsidRDefault="0051198E" w:rsidP="00B91E74">
      <w:pPr>
        <w:spacing w:line="276" w:lineRule="auto"/>
        <w:jc w:val="both"/>
        <w:rPr>
          <w:rFonts w:ascii="Calibri" w:hAnsi="Calibri" w:cs="Calibri"/>
          <w:i/>
          <w:iCs/>
          <w:lang w:val="ro-RO"/>
        </w:rPr>
      </w:pPr>
      <w:r w:rsidRPr="00834B27">
        <w:rPr>
          <w:rFonts w:ascii="Calibri" w:hAnsi="Calibri" w:cs="Calibri"/>
          <w:i/>
          <w:iCs/>
          <w:lang w:val="ro-RO"/>
        </w:rPr>
        <w:t>De remarcat c</w:t>
      </w:r>
      <w:r w:rsidR="009D30CD" w:rsidRPr="00834B27">
        <w:rPr>
          <w:rFonts w:ascii="Calibri" w:hAnsi="Calibri" w:cs="Calibri"/>
          <w:i/>
          <w:iCs/>
          <w:lang w:val="ro-RO"/>
        </w:rPr>
        <w:t>ă</w:t>
      </w:r>
      <w:r w:rsidR="00285F1A" w:rsidRPr="00834B27">
        <w:rPr>
          <w:rFonts w:ascii="Calibri" w:hAnsi="Calibri" w:cs="Calibri"/>
          <w:i/>
          <w:iCs/>
          <w:lang w:val="ro-RO"/>
        </w:rPr>
        <w:t>, ulterior,</w:t>
      </w:r>
      <w:r w:rsidRPr="00834B27">
        <w:rPr>
          <w:rFonts w:ascii="Calibri" w:hAnsi="Calibri" w:cs="Calibri"/>
          <w:i/>
          <w:iCs/>
          <w:lang w:val="ro-RO"/>
        </w:rPr>
        <w:t xml:space="preserve"> </w:t>
      </w:r>
      <w:r w:rsidR="00B94FD9" w:rsidRPr="00834B27">
        <w:rPr>
          <w:rFonts w:ascii="Calibri" w:hAnsi="Calibri" w:cs="Calibri"/>
          <w:i/>
          <w:iCs/>
          <w:lang w:val="ro-RO"/>
        </w:rPr>
        <w:t xml:space="preserve">nu am avut o </w:t>
      </w:r>
      <w:r w:rsidR="009D30CD" w:rsidRPr="00834B27">
        <w:rPr>
          <w:rFonts w:ascii="Calibri" w:hAnsi="Calibri" w:cs="Calibri"/>
          <w:i/>
          <w:iCs/>
          <w:lang w:val="ro-RO"/>
        </w:rPr>
        <w:t>scădere</w:t>
      </w:r>
      <w:r w:rsidR="00B94FD9" w:rsidRPr="00834B27">
        <w:rPr>
          <w:rFonts w:ascii="Calibri" w:hAnsi="Calibri" w:cs="Calibri"/>
          <w:i/>
          <w:iCs/>
          <w:lang w:val="ro-RO"/>
        </w:rPr>
        <w:t xml:space="preserve"> a cotelor</w:t>
      </w:r>
      <w:r w:rsidR="009813C2" w:rsidRPr="00834B27">
        <w:rPr>
          <w:rFonts w:ascii="Calibri" w:hAnsi="Calibri" w:cs="Calibri"/>
          <w:i/>
          <w:iCs/>
          <w:lang w:val="ro-RO"/>
        </w:rPr>
        <w:t xml:space="preserve"> de CAS</w:t>
      </w:r>
      <w:r w:rsidR="00B94FD9" w:rsidRPr="00834B27">
        <w:rPr>
          <w:rFonts w:ascii="Calibri" w:hAnsi="Calibri" w:cs="Calibri"/>
          <w:i/>
          <w:iCs/>
          <w:lang w:val="ro-RO"/>
        </w:rPr>
        <w:t xml:space="preserve">, </w:t>
      </w:r>
      <w:r w:rsidR="009D30CD" w:rsidRPr="00834B27">
        <w:rPr>
          <w:rFonts w:ascii="Calibri" w:hAnsi="Calibri" w:cs="Calibri"/>
          <w:i/>
          <w:iCs/>
          <w:lang w:val="ro-RO"/>
        </w:rPr>
        <w:t>dimpotrivă</w:t>
      </w:r>
      <w:r w:rsidR="00B94FD9" w:rsidRPr="00834B27">
        <w:rPr>
          <w:rFonts w:ascii="Calibri" w:hAnsi="Calibri" w:cs="Calibri"/>
          <w:i/>
          <w:iCs/>
          <w:lang w:val="ro-RO"/>
        </w:rPr>
        <w:t>. Mutarea de</w:t>
      </w:r>
      <w:r w:rsidR="00A76417" w:rsidRPr="00834B27">
        <w:rPr>
          <w:rFonts w:ascii="Calibri" w:hAnsi="Calibri" w:cs="Calibri"/>
          <w:i/>
          <w:iCs/>
          <w:lang w:val="ro-RO"/>
        </w:rPr>
        <w:t xml:space="preserve"> </w:t>
      </w:r>
      <w:r w:rsidR="00B94FD9" w:rsidRPr="00834B27">
        <w:rPr>
          <w:rFonts w:ascii="Calibri" w:hAnsi="Calibri" w:cs="Calibri"/>
          <w:i/>
          <w:iCs/>
          <w:lang w:val="ro-RO"/>
        </w:rPr>
        <w:t xml:space="preserve">la angajator la angajat a </w:t>
      </w:r>
      <w:r w:rsidR="00A76417" w:rsidRPr="00834B27">
        <w:rPr>
          <w:rFonts w:ascii="Calibri" w:hAnsi="Calibri" w:cs="Calibri"/>
          <w:i/>
          <w:iCs/>
          <w:lang w:val="ro-RO"/>
        </w:rPr>
        <w:t xml:space="preserve">CAS </w:t>
      </w:r>
      <w:r w:rsidR="009D30CD" w:rsidRPr="00834B27">
        <w:rPr>
          <w:rFonts w:ascii="Calibri" w:hAnsi="Calibri" w:cs="Calibri"/>
          <w:i/>
          <w:iCs/>
          <w:lang w:val="ro-RO"/>
        </w:rPr>
        <w:t>și</w:t>
      </w:r>
      <w:r w:rsidR="00A76417" w:rsidRPr="00834B27">
        <w:rPr>
          <w:rFonts w:ascii="Calibri" w:hAnsi="Calibri" w:cs="Calibri"/>
          <w:i/>
          <w:iCs/>
          <w:lang w:val="ro-RO"/>
        </w:rPr>
        <w:t xml:space="preserve"> CASS </w:t>
      </w:r>
      <w:r w:rsidR="0087431B" w:rsidRPr="00834B27">
        <w:rPr>
          <w:rFonts w:ascii="Calibri" w:hAnsi="Calibri" w:cs="Calibri"/>
          <w:i/>
          <w:iCs/>
          <w:lang w:val="ro-RO"/>
        </w:rPr>
        <w:t>datorate de angajator</w:t>
      </w:r>
      <w:r w:rsidR="00285F1A" w:rsidRPr="00834B27">
        <w:rPr>
          <w:rFonts w:ascii="Calibri" w:hAnsi="Calibri" w:cs="Calibri"/>
          <w:i/>
          <w:iCs/>
          <w:lang w:val="ro-RO"/>
        </w:rPr>
        <w:t>, începând cu 2018,</w:t>
      </w:r>
      <w:r w:rsidR="0087431B" w:rsidRPr="00834B27">
        <w:rPr>
          <w:rFonts w:ascii="Calibri" w:hAnsi="Calibri" w:cs="Calibri"/>
          <w:i/>
          <w:iCs/>
          <w:lang w:val="ro-RO"/>
        </w:rPr>
        <w:t xml:space="preserve"> a determinat </w:t>
      </w:r>
      <w:r w:rsidR="00927B1F" w:rsidRPr="00834B27">
        <w:rPr>
          <w:rFonts w:ascii="Calibri" w:hAnsi="Calibri" w:cs="Calibri"/>
          <w:i/>
          <w:iCs/>
          <w:lang w:val="ro-RO"/>
        </w:rPr>
        <w:t>creșterea</w:t>
      </w:r>
      <w:r w:rsidR="0087431B" w:rsidRPr="00834B27">
        <w:rPr>
          <w:rFonts w:ascii="Calibri" w:hAnsi="Calibri" w:cs="Calibri"/>
          <w:i/>
          <w:iCs/>
          <w:lang w:val="ro-RO"/>
        </w:rPr>
        <w:t xml:space="preserve"> salariilor brute cu cel </w:t>
      </w:r>
      <w:r w:rsidR="00927B1F" w:rsidRPr="00834B27">
        <w:rPr>
          <w:rFonts w:ascii="Calibri" w:hAnsi="Calibri" w:cs="Calibri"/>
          <w:i/>
          <w:iCs/>
          <w:lang w:val="ro-RO"/>
        </w:rPr>
        <w:t>pu</w:t>
      </w:r>
      <w:r w:rsidR="00D77C4B" w:rsidRPr="00834B27">
        <w:rPr>
          <w:rFonts w:ascii="Calibri" w:hAnsi="Calibri" w:cs="Calibri"/>
          <w:i/>
          <w:iCs/>
          <w:lang w:val="ro-RO"/>
        </w:rPr>
        <w:t>ț</w:t>
      </w:r>
      <w:r w:rsidR="00927B1F" w:rsidRPr="00834B27">
        <w:rPr>
          <w:rFonts w:ascii="Calibri" w:hAnsi="Calibri" w:cs="Calibri"/>
          <w:i/>
          <w:iCs/>
          <w:lang w:val="ro-RO"/>
        </w:rPr>
        <w:t>in</w:t>
      </w:r>
      <w:r w:rsidR="0087431B" w:rsidRPr="00834B27">
        <w:rPr>
          <w:rFonts w:ascii="Calibri" w:hAnsi="Calibri" w:cs="Calibri"/>
          <w:i/>
          <w:iCs/>
          <w:lang w:val="ro-RO"/>
        </w:rPr>
        <w:t xml:space="preserve"> 21% (15,8</w:t>
      </w:r>
      <w:r w:rsidR="00542E8A" w:rsidRPr="00834B27">
        <w:rPr>
          <w:rFonts w:ascii="Calibri" w:hAnsi="Calibri" w:cs="Calibri"/>
          <w:i/>
          <w:iCs/>
          <w:lang w:val="ro-RO"/>
        </w:rPr>
        <w:t xml:space="preserve">% CAS </w:t>
      </w:r>
      <w:r w:rsidR="00CE30AD" w:rsidRPr="00834B27">
        <w:rPr>
          <w:rFonts w:ascii="Calibri" w:hAnsi="Calibri" w:cs="Calibri"/>
          <w:i/>
          <w:iCs/>
          <w:lang w:val="ro-RO"/>
        </w:rPr>
        <w:t>angajator +</w:t>
      </w:r>
      <w:r w:rsidR="00542E8A" w:rsidRPr="00834B27">
        <w:rPr>
          <w:rFonts w:ascii="Calibri" w:hAnsi="Calibri" w:cs="Calibri"/>
          <w:i/>
          <w:iCs/>
          <w:lang w:val="ro-RO"/>
        </w:rPr>
        <w:t xml:space="preserve"> 5,2%</w:t>
      </w:r>
      <w:r w:rsidR="009813C2" w:rsidRPr="00834B27">
        <w:rPr>
          <w:rFonts w:ascii="Calibri" w:hAnsi="Calibri" w:cs="Calibri"/>
          <w:i/>
          <w:iCs/>
          <w:lang w:val="ro-RO"/>
        </w:rPr>
        <w:t xml:space="preserve"> </w:t>
      </w:r>
      <w:r w:rsidR="00542E8A" w:rsidRPr="00834B27">
        <w:rPr>
          <w:rFonts w:ascii="Calibri" w:hAnsi="Calibri" w:cs="Calibri"/>
          <w:i/>
          <w:iCs/>
          <w:lang w:val="ro-RO"/>
        </w:rPr>
        <w:t>CASS</w:t>
      </w:r>
      <w:r w:rsidR="00CE30AD" w:rsidRPr="00834B27">
        <w:rPr>
          <w:rFonts w:ascii="Calibri" w:hAnsi="Calibri" w:cs="Calibri"/>
          <w:i/>
          <w:iCs/>
          <w:lang w:val="ro-RO"/>
        </w:rPr>
        <w:t xml:space="preserve"> angajator</w:t>
      </w:r>
      <w:r w:rsidR="00542E8A" w:rsidRPr="00834B27">
        <w:rPr>
          <w:rFonts w:ascii="Calibri" w:hAnsi="Calibri" w:cs="Calibri"/>
          <w:i/>
          <w:iCs/>
          <w:lang w:val="ro-RO"/>
        </w:rPr>
        <w:t xml:space="preserve">), ceea ce </w:t>
      </w:r>
      <w:r w:rsidR="00542E8A" w:rsidRPr="00834B27">
        <w:rPr>
          <w:rFonts w:ascii="Calibri" w:hAnsi="Calibri" w:cs="Calibri"/>
          <w:i/>
          <w:iCs/>
          <w:lang w:val="ro-RO"/>
        </w:rPr>
        <w:lastRenderedPageBreak/>
        <w:t>a</w:t>
      </w:r>
      <w:r w:rsidR="00D86EC5" w:rsidRPr="00834B27">
        <w:rPr>
          <w:rFonts w:ascii="Calibri" w:hAnsi="Calibri" w:cs="Calibri"/>
          <w:i/>
          <w:iCs/>
          <w:lang w:val="ro-RO"/>
        </w:rPr>
        <w:t xml:space="preserve">r fi </w:t>
      </w:r>
      <w:r w:rsidR="00927B1F" w:rsidRPr="00834B27">
        <w:rPr>
          <w:rFonts w:ascii="Calibri" w:hAnsi="Calibri" w:cs="Calibri"/>
          <w:i/>
          <w:iCs/>
          <w:lang w:val="ro-RO"/>
        </w:rPr>
        <w:t>însemnat</w:t>
      </w:r>
      <w:r w:rsidR="00D86EC5" w:rsidRPr="00834B27">
        <w:rPr>
          <w:rFonts w:ascii="Calibri" w:hAnsi="Calibri" w:cs="Calibri"/>
          <w:i/>
          <w:iCs/>
          <w:lang w:val="ro-RO"/>
        </w:rPr>
        <w:t xml:space="preserve"> o cot</w:t>
      </w:r>
      <w:r w:rsidR="00927B1F" w:rsidRPr="00834B27">
        <w:rPr>
          <w:rFonts w:ascii="Calibri" w:hAnsi="Calibri" w:cs="Calibri"/>
          <w:i/>
          <w:iCs/>
          <w:lang w:val="ro-RO"/>
        </w:rPr>
        <w:t>ă</w:t>
      </w:r>
      <w:r w:rsidR="00D86EC5" w:rsidRPr="00834B27">
        <w:rPr>
          <w:rFonts w:ascii="Calibri" w:hAnsi="Calibri" w:cs="Calibri"/>
          <w:i/>
          <w:iCs/>
          <w:lang w:val="ro-RO"/>
        </w:rPr>
        <w:t xml:space="preserve"> de CAS de 21,</w:t>
      </w:r>
      <w:r w:rsidR="00676767" w:rsidRPr="00834B27">
        <w:rPr>
          <w:rFonts w:ascii="Calibri" w:hAnsi="Calibri" w:cs="Calibri"/>
          <w:i/>
          <w:iCs/>
          <w:lang w:val="ro-RO"/>
        </w:rPr>
        <w:t>7</w:t>
      </w:r>
      <w:r w:rsidR="00D86EC5" w:rsidRPr="00834B27">
        <w:rPr>
          <w:rFonts w:ascii="Calibri" w:hAnsi="Calibri" w:cs="Calibri"/>
          <w:i/>
          <w:iCs/>
          <w:lang w:val="ro-RO"/>
        </w:rPr>
        <w:t>% datorat</w:t>
      </w:r>
      <w:r w:rsidR="00927B1F" w:rsidRPr="00834B27">
        <w:rPr>
          <w:rFonts w:ascii="Calibri" w:hAnsi="Calibri" w:cs="Calibri"/>
          <w:i/>
          <w:iCs/>
          <w:lang w:val="ro-RO"/>
        </w:rPr>
        <w:t>ă</w:t>
      </w:r>
      <w:r w:rsidR="00D86EC5" w:rsidRPr="00834B27">
        <w:rPr>
          <w:rFonts w:ascii="Calibri" w:hAnsi="Calibri" w:cs="Calibri"/>
          <w:i/>
          <w:iCs/>
          <w:lang w:val="ro-RO"/>
        </w:rPr>
        <w:t xml:space="preserve"> de angajat, pentru a asigura neutralitatea transferului</w:t>
      </w:r>
      <w:r w:rsidR="00D506F8" w:rsidRPr="00834B27">
        <w:rPr>
          <w:rFonts w:ascii="Calibri" w:hAnsi="Calibri" w:cs="Calibri"/>
          <w:i/>
          <w:iCs/>
          <w:lang w:val="ro-RO"/>
        </w:rPr>
        <w:t xml:space="preserve">. </w:t>
      </w:r>
      <w:r w:rsidR="00A513F3" w:rsidRPr="00834B27">
        <w:rPr>
          <w:rFonts w:ascii="Calibri" w:hAnsi="Calibri" w:cs="Calibri"/>
          <w:i/>
          <w:iCs/>
          <w:lang w:val="ro-RO"/>
        </w:rPr>
        <w:t>Noul procent</w:t>
      </w:r>
      <w:r w:rsidR="00D506F8" w:rsidRPr="00834B27">
        <w:rPr>
          <w:rFonts w:ascii="Calibri" w:hAnsi="Calibri" w:cs="Calibri"/>
          <w:i/>
          <w:iCs/>
          <w:lang w:val="ro-RO"/>
        </w:rPr>
        <w:t xml:space="preserve"> de 25% a reprezentat</w:t>
      </w:r>
      <w:r w:rsidR="002F2777" w:rsidRPr="00834B27">
        <w:rPr>
          <w:rFonts w:ascii="Calibri" w:hAnsi="Calibri" w:cs="Calibri"/>
          <w:i/>
          <w:iCs/>
          <w:lang w:val="ro-RO"/>
        </w:rPr>
        <w:t>,</w:t>
      </w:r>
      <w:r w:rsidR="00D506F8" w:rsidRPr="00834B27">
        <w:rPr>
          <w:rFonts w:ascii="Calibri" w:hAnsi="Calibri" w:cs="Calibri"/>
          <w:i/>
          <w:iCs/>
          <w:lang w:val="ro-RO"/>
        </w:rPr>
        <w:t xml:space="preserve"> </w:t>
      </w:r>
      <w:r w:rsidR="00285F1A" w:rsidRPr="00834B27">
        <w:rPr>
          <w:rFonts w:ascii="Calibri" w:hAnsi="Calibri" w:cs="Calibri"/>
          <w:i/>
          <w:iCs/>
          <w:lang w:val="ro-RO"/>
        </w:rPr>
        <w:t>așadar</w:t>
      </w:r>
      <w:r w:rsidR="002F2777" w:rsidRPr="00834B27">
        <w:rPr>
          <w:rFonts w:ascii="Calibri" w:hAnsi="Calibri" w:cs="Calibri"/>
          <w:i/>
          <w:iCs/>
          <w:lang w:val="ro-RO"/>
        </w:rPr>
        <w:t>,</w:t>
      </w:r>
      <w:r w:rsidR="00285F1A" w:rsidRPr="00834B27">
        <w:rPr>
          <w:rFonts w:ascii="Calibri" w:hAnsi="Calibri" w:cs="Calibri"/>
          <w:i/>
          <w:iCs/>
          <w:lang w:val="ro-RO"/>
        </w:rPr>
        <w:t xml:space="preserve"> </w:t>
      </w:r>
      <w:r w:rsidR="003F2518" w:rsidRPr="00834B27">
        <w:rPr>
          <w:rFonts w:ascii="Calibri" w:hAnsi="Calibri" w:cs="Calibri"/>
          <w:i/>
          <w:iCs/>
          <w:lang w:val="ro-RO"/>
        </w:rPr>
        <w:t>o majorare semnificativ</w:t>
      </w:r>
      <w:r w:rsidR="00927B1F" w:rsidRPr="00834B27">
        <w:rPr>
          <w:rFonts w:ascii="Calibri" w:hAnsi="Calibri" w:cs="Calibri"/>
          <w:i/>
          <w:iCs/>
          <w:lang w:val="ro-RO"/>
        </w:rPr>
        <w:t>ă</w:t>
      </w:r>
      <w:r w:rsidR="003F2518" w:rsidRPr="00834B27">
        <w:rPr>
          <w:rFonts w:ascii="Calibri" w:hAnsi="Calibri" w:cs="Calibri"/>
          <w:i/>
          <w:iCs/>
          <w:lang w:val="ro-RO"/>
        </w:rPr>
        <w:t xml:space="preserve"> a cotei, majorare ce nu a </w:t>
      </w:r>
      <w:r w:rsidR="00927B1F" w:rsidRPr="00834B27">
        <w:rPr>
          <w:rFonts w:ascii="Calibri" w:hAnsi="Calibri" w:cs="Calibri"/>
          <w:i/>
          <w:iCs/>
          <w:lang w:val="ro-RO"/>
        </w:rPr>
        <w:t>î</w:t>
      </w:r>
      <w:r w:rsidR="003F2518" w:rsidRPr="00834B27">
        <w:rPr>
          <w:rFonts w:ascii="Calibri" w:hAnsi="Calibri" w:cs="Calibri"/>
          <w:i/>
          <w:iCs/>
          <w:lang w:val="ro-RO"/>
        </w:rPr>
        <w:t xml:space="preserve">nsemnat </w:t>
      </w:r>
      <w:r w:rsidR="00927B1F" w:rsidRPr="00834B27">
        <w:rPr>
          <w:rFonts w:ascii="Calibri" w:hAnsi="Calibri" w:cs="Calibri"/>
          <w:i/>
          <w:iCs/>
          <w:lang w:val="ro-RO"/>
        </w:rPr>
        <w:t>însă</w:t>
      </w:r>
      <w:r w:rsidR="003F2518" w:rsidRPr="00834B27">
        <w:rPr>
          <w:rFonts w:ascii="Calibri" w:hAnsi="Calibri" w:cs="Calibri"/>
          <w:i/>
          <w:iCs/>
          <w:lang w:val="ro-RO"/>
        </w:rPr>
        <w:t xml:space="preserve"> </w:t>
      </w:r>
      <w:r w:rsidR="00927B1F" w:rsidRPr="00834B27">
        <w:rPr>
          <w:rFonts w:ascii="Calibri" w:hAnsi="Calibri" w:cs="Calibri"/>
          <w:i/>
          <w:iCs/>
          <w:lang w:val="ro-RO"/>
        </w:rPr>
        <w:t>ș</w:t>
      </w:r>
      <w:r w:rsidR="003F2518" w:rsidRPr="00834B27">
        <w:rPr>
          <w:rFonts w:ascii="Calibri" w:hAnsi="Calibri" w:cs="Calibri"/>
          <w:i/>
          <w:iCs/>
          <w:lang w:val="ro-RO"/>
        </w:rPr>
        <w:t xml:space="preserve">i o </w:t>
      </w:r>
      <w:r w:rsidR="00927B1F" w:rsidRPr="00834B27">
        <w:rPr>
          <w:rFonts w:ascii="Calibri" w:hAnsi="Calibri" w:cs="Calibri"/>
          <w:i/>
          <w:iCs/>
          <w:lang w:val="ro-RO"/>
        </w:rPr>
        <w:t>creștere</w:t>
      </w:r>
      <w:r w:rsidR="003F2518" w:rsidRPr="00834B27">
        <w:rPr>
          <w:rFonts w:ascii="Calibri" w:hAnsi="Calibri" w:cs="Calibri"/>
          <w:i/>
          <w:iCs/>
          <w:lang w:val="ro-RO"/>
        </w:rPr>
        <w:t xml:space="preserve"> a SFT pentru salarii, urmare a reducer</w:t>
      </w:r>
      <w:r w:rsidR="00F272D0" w:rsidRPr="00834B27">
        <w:rPr>
          <w:rFonts w:ascii="Calibri" w:hAnsi="Calibri" w:cs="Calibri"/>
          <w:i/>
          <w:iCs/>
          <w:lang w:val="ro-RO"/>
        </w:rPr>
        <w:t>ii impozitului pe venit de la 16% la 10%.</w:t>
      </w:r>
    </w:p>
    <w:p w14:paraId="0C329B9A" w14:textId="5DCE5BA6" w:rsidR="006B54EA" w:rsidRPr="00834B27" w:rsidRDefault="0093339F" w:rsidP="00B91E74">
      <w:pPr>
        <w:spacing w:line="276" w:lineRule="auto"/>
        <w:jc w:val="both"/>
        <w:rPr>
          <w:rFonts w:ascii="Calibri" w:hAnsi="Calibri" w:cs="Calibri"/>
          <w:i/>
          <w:iCs/>
          <w:lang w:val="ro-RO"/>
        </w:rPr>
      </w:pPr>
      <w:r w:rsidRPr="00834B27">
        <w:rPr>
          <w:rFonts w:ascii="Calibri" w:hAnsi="Calibri" w:cs="Calibri"/>
          <w:i/>
          <w:iCs/>
          <w:lang w:val="ro-RO"/>
        </w:rPr>
        <w:t>Baza de calcul a CAS individual</w:t>
      </w:r>
      <w:r w:rsidR="00927B1F" w:rsidRPr="00834B27">
        <w:rPr>
          <w:rFonts w:ascii="Calibri" w:hAnsi="Calibri" w:cs="Calibri"/>
          <w:i/>
          <w:iCs/>
          <w:lang w:val="ro-RO"/>
        </w:rPr>
        <w:t>ă</w:t>
      </w:r>
      <w:r w:rsidRPr="00834B27">
        <w:rPr>
          <w:rFonts w:ascii="Calibri" w:hAnsi="Calibri" w:cs="Calibri"/>
          <w:i/>
          <w:iCs/>
          <w:lang w:val="ro-RO"/>
        </w:rPr>
        <w:t xml:space="preserve"> a </w:t>
      </w:r>
      <w:r w:rsidR="00742FD9" w:rsidRPr="00834B27">
        <w:rPr>
          <w:rFonts w:ascii="Calibri" w:hAnsi="Calibri" w:cs="Calibri"/>
          <w:i/>
          <w:iCs/>
          <w:lang w:val="ro-RO"/>
        </w:rPr>
        <w:t>fost plafonat</w:t>
      </w:r>
      <w:r w:rsidR="00927B1F" w:rsidRPr="00834B27">
        <w:rPr>
          <w:rFonts w:ascii="Calibri" w:hAnsi="Calibri" w:cs="Calibri"/>
          <w:i/>
          <w:iCs/>
          <w:lang w:val="ro-RO"/>
        </w:rPr>
        <w:t>ă</w:t>
      </w:r>
      <w:r w:rsidR="00742FD9" w:rsidRPr="00834B27">
        <w:rPr>
          <w:rFonts w:ascii="Calibri" w:hAnsi="Calibri" w:cs="Calibri"/>
          <w:i/>
          <w:iCs/>
          <w:lang w:val="ro-RO"/>
        </w:rPr>
        <w:t xml:space="preserve"> la 5 salarii medii/lun</w:t>
      </w:r>
      <w:r w:rsidR="00927B1F" w:rsidRPr="00834B27">
        <w:rPr>
          <w:rFonts w:ascii="Calibri" w:hAnsi="Calibri" w:cs="Calibri"/>
          <w:i/>
          <w:iCs/>
          <w:lang w:val="ro-RO"/>
        </w:rPr>
        <w:t>ă</w:t>
      </w:r>
      <w:r w:rsidR="00742FD9" w:rsidRPr="00834B27">
        <w:rPr>
          <w:rFonts w:ascii="Calibri" w:hAnsi="Calibri" w:cs="Calibri"/>
          <w:i/>
          <w:iCs/>
          <w:lang w:val="ro-RO"/>
        </w:rPr>
        <w:t>, p</w:t>
      </w:r>
      <w:r w:rsidR="00927B1F" w:rsidRPr="00834B27">
        <w:rPr>
          <w:rFonts w:ascii="Calibri" w:hAnsi="Calibri" w:cs="Calibri"/>
          <w:i/>
          <w:iCs/>
          <w:lang w:val="ro-RO"/>
        </w:rPr>
        <w:t>â</w:t>
      </w:r>
      <w:r w:rsidR="00742FD9" w:rsidRPr="00834B27">
        <w:rPr>
          <w:rFonts w:ascii="Calibri" w:hAnsi="Calibri" w:cs="Calibri"/>
          <w:i/>
          <w:iCs/>
          <w:lang w:val="ro-RO"/>
        </w:rPr>
        <w:t>n</w:t>
      </w:r>
      <w:r w:rsidR="00927B1F" w:rsidRPr="00834B27">
        <w:rPr>
          <w:rFonts w:ascii="Calibri" w:hAnsi="Calibri" w:cs="Calibri"/>
          <w:i/>
          <w:iCs/>
          <w:lang w:val="ro-RO"/>
        </w:rPr>
        <w:t>ă</w:t>
      </w:r>
      <w:r w:rsidR="00742FD9" w:rsidRPr="00834B27">
        <w:rPr>
          <w:rFonts w:ascii="Calibri" w:hAnsi="Calibri" w:cs="Calibri"/>
          <w:i/>
          <w:iCs/>
          <w:lang w:val="ro-RO"/>
        </w:rPr>
        <w:t xml:space="preserve"> </w:t>
      </w:r>
      <w:r w:rsidR="00927B1F" w:rsidRPr="00834B27">
        <w:rPr>
          <w:rFonts w:ascii="Calibri" w:hAnsi="Calibri" w:cs="Calibri"/>
          <w:i/>
          <w:iCs/>
          <w:lang w:val="ro-RO"/>
        </w:rPr>
        <w:t>î</w:t>
      </w:r>
      <w:r w:rsidR="00742FD9" w:rsidRPr="00834B27">
        <w:rPr>
          <w:rFonts w:ascii="Calibri" w:hAnsi="Calibri" w:cs="Calibri"/>
          <w:i/>
          <w:iCs/>
          <w:lang w:val="ro-RO"/>
        </w:rPr>
        <w:t>n ianuarie 2017</w:t>
      </w:r>
      <w:r w:rsidR="00E262F0" w:rsidRPr="00834B27">
        <w:rPr>
          <w:rFonts w:ascii="Calibri" w:hAnsi="Calibri" w:cs="Calibri"/>
          <w:i/>
          <w:iCs/>
          <w:lang w:val="ro-RO"/>
        </w:rPr>
        <w:t xml:space="preserve">, inclusiv. </w:t>
      </w:r>
      <w:r w:rsidR="00927B1F" w:rsidRPr="00834B27">
        <w:rPr>
          <w:rFonts w:ascii="Calibri" w:hAnsi="Calibri" w:cs="Calibri"/>
          <w:i/>
          <w:iCs/>
          <w:lang w:val="ro-RO"/>
        </w:rPr>
        <w:t>Î</w:t>
      </w:r>
      <w:r w:rsidR="00E262F0" w:rsidRPr="00834B27">
        <w:rPr>
          <w:rFonts w:ascii="Calibri" w:hAnsi="Calibri" w:cs="Calibri"/>
          <w:i/>
          <w:iCs/>
          <w:lang w:val="ro-RO"/>
        </w:rPr>
        <w:t xml:space="preserve">n mod </w:t>
      </w:r>
      <w:r w:rsidR="00927B1F" w:rsidRPr="00834B27">
        <w:rPr>
          <w:rFonts w:ascii="Calibri" w:hAnsi="Calibri" w:cs="Calibri"/>
          <w:i/>
          <w:iCs/>
          <w:lang w:val="ro-RO"/>
        </w:rPr>
        <w:t>corespunzător</w:t>
      </w:r>
      <w:r w:rsidR="00E262F0" w:rsidRPr="00834B27">
        <w:rPr>
          <w:rFonts w:ascii="Calibri" w:hAnsi="Calibri" w:cs="Calibri"/>
          <w:i/>
          <w:iCs/>
          <w:lang w:val="ro-RO"/>
        </w:rPr>
        <w:t xml:space="preserve">, </w:t>
      </w:r>
      <w:r w:rsidR="00927B1F" w:rsidRPr="00834B27">
        <w:rPr>
          <w:rFonts w:ascii="Calibri" w:hAnsi="Calibri" w:cs="Calibri"/>
          <w:i/>
          <w:iCs/>
          <w:lang w:val="ro-RO"/>
        </w:rPr>
        <w:t>numărul</w:t>
      </w:r>
      <w:r w:rsidR="00E262F0" w:rsidRPr="00834B27">
        <w:rPr>
          <w:rFonts w:ascii="Calibri" w:hAnsi="Calibri" w:cs="Calibri"/>
          <w:i/>
          <w:iCs/>
          <w:lang w:val="ro-RO"/>
        </w:rPr>
        <w:t xml:space="preserve"> de puncte de pensie era </w:t>
      </w:r>
      <w:r w:rsidR="003E7A00" w:rsidRPr="00834B27">
        <w:rPr>
          <w:rFonts w:ascii="Calibri" w:hAnsi="Calibri" w:cs="Calibri"/>
          <w:i/>
          <w:iCs/>
          <w:lang w:val="ro-RO"/>
        </w:rPr>
        <w:t>plafona</w:t>
      </w:r>
      <w:r w:rsidR="003E7AAC" w:rsidRPr="00834B27">
        <w:rPr>
          <w:rFonts w:ascii="Calibri" w:hAnsi="Calibri" w:cs="Calibri"/>
          <w:i/>
          <w:iCs/>
          <w:lang w:val="ro-RO"/>
        </w:rPr>
        <w:t>t</w:t>
      </w:r>
      <w:r w:rsidR="003E7A00" w:rsidRPr="00834B27">
        <w:rPr>
          <w:rFonts w:ascii="Calibri" w:hAnsi="Calibri" w:cs="Calibri"/>
          <w:i/>
          <w:iCs/>
          <w:lang w:val="ro-RO"/>
        </w:rPr>
        <w:t xml:space="preserve"> la 5, ceea ce limita </w:t>
      </w:r>
      <w:r w:rsidR="00C44596" w:rsidRPr="00834B27">
        <w:rPr>
          <w:rFonts w:ascii="Calibri" w:hAnsi="Calibri" w:cs="Calibri"/>
          <w:i/>
          <w:iCs/>
          <w:lang w:val="ro-RO"/>
        </w:rPr>
        <w:t xml:space="preserve">valoarea pensiilor asumate prin Pilonul I. </w:t>
      </w:r>
      <w:r w:rsidR="00927B1F" w:rsidRPr="00834B27">
        <w:rPr>
          <w:rFonts w:ascii="Calibri" w:hAnsi="Calibri" w:cs="Calibri"/>
          <w:i/>
          <w:iCs/>
          <w:lang w:val="ro-RO"/>
        </w:rPr>
        <w:t>Odată</w:t>
      </w:r>
      <w:r w:rsidR="00923371" w:rsidRPr="00834B27">
        <w:rPr>
          <w:rFonts w:ascii="Calibri" w:hAnsi="Calibri" w:cs="Calibri"/>
          <w:i/>
          <w:iCs/>
          <w:lang w:val="ro-RO"/>
        </w:rPr>
        <w:t xml:space="preserve"> cu eliminarea </w:t>
      </w:r>
      <w:r w:rsidR="00927B1F" w:rsidRPr="00834B27">
        <w:rPr>
          <w:rFonts w:ascii="Calibri" w:hAnsi="Calibri" w:cs="Calibri"/>
          <w:i/>
          <w:iCs/>
          <w:lang w:val="ro-RO"/>
        </w:rPr>
        <w:t>plafonării</w:t>
      </w:r>
      <w:r w:rsidR="00923371" w:rsidRPr="00834B27">
        <w:rPr>
          <w:rFonts w:ascii="Calibri" w:hAnsi="Calibri" w:cs="Calibri"/>
          <w:i/>
          <w:iCs/>
          <w:lang w:val="ro-RO"/>
        </w:rPr>
        <w:t xml:space="preserve"> bazei de calcul al CAS</w:t>
      </w:r>
      <w:r w:rsidR="00842FE7" w:rsidRPr="00834B27">
        <w:rPr>
          <w:rFonts w:ascii="Calibri" w:hAnsi="Calibri" w:cs="Calibri"/>
          <w:i/>
          <w:iCs/>
          <w:lang w:val="ro-RO"/>
        </w:rPr>
        <w:t xml:space="preserve"> individuale din februarie 2017, a fost eliminat</w:t>
      </w:r>
      <w:r w:rsidR="00927B1F" w:rsidRPr="00834B27">
        <w:rPr>
          <w:rFonts w:ascii="Calibri" w:hAnsi="Calibri" w:cs="Calibri"/>
          <w:i/>
          <w:iCs/>
          <w:lang w:val="ro-RO"/>
        </w:rPr>
        <w:t>ă</w:t>
      </w:r>
      <w:r w:rsidR="00842FE7" w:rsidRPr="00834B27">
        <w:rPr>
          <w:rFonts w:ascii="Calibri" w:hAnsi="Calibri" w:cs="Calibri"/>
          <w:i/>
          <w:iCs/>
          <w:lang w:val="ro-RO"/>
        </w:rPr>
        <w:t xml:space="preserve"> </w:t>
      </w:r>
      <w:r w:rsidR="00927B1F" w:rsidRPr="00834B27">
        <w:rPr>
          <w:rFonts w:ascii="Calibri" w:hAnsi="Calibri" w:cs="Calibri"/>
          <w:i/>
          <w:iCs/>
          <w:lang w:val="ro-RO"/>
        </w:rPr>
        <w:t>ș</w:t>
      </w:r>
      <w:r w:rsidR="00842FE7" w:rsidRPr="00834B27">
        <w:rPr>
          <w:rFonts w:ascii="Calibri" w:hAnsi="Calibri" w:cs="Calibri"/>
          <w:i/>
          <w:iCs/>
          <w:lang w:val="ro-RO"/>
        </w:rPr>
        <w:t xml:space="preserve">i limitarea </w:t>
      </w:r>
      <w:r w:rsidR="00927B1F" w:rsidRPr="00834B27">
        <w:rPr>
          <w:rFonts w:ascii="Calibri" w:hAnsi="Calibri" w:cs="Calibri"/>
          <w:i/>
          <w:iCs/>
          <w:lang w:val="ro-RO"/>
        </w:rPr>
        <w:t>numărului</w:t>
      </w:r>
      <w:r w:rsidR="00842FE7" w:rsidRPr="00834B27">
        <w:rPr>
          <w:rFonts w:ascii="Calibri" w:hAnsi="Calibri" w:cs="Calibri"/>
          <w:i/>
          <w:iCs/>
          <w:lang w:val="ro-RO"/>
        </w:rPr>
        <w:t xml:space="preserve"> de puncte de pensie, </w:t>
      </w:r>
      <w:r w:rsidR="00927B1F" w:rsidRPr="00834B27">
        <w:rPr>
          <w:rFonts w:ascii="Calibri" w:hAnsi="Calibri" w:cs="Calibri"/>
          <w:i/>
          <w:iCs/>
          <w:lang w:val="ro-RO"/>
        </w:rPr>
        <w:t>crescând</w:t>
      </w:r>
      <w:r w:rsidR="00842FE7" w:rsidRPr="00834B27">
        <w:rPr>
          <w:rFonts w:ascii="Calibri" w:hAnsi="Calibri" w:cs="Calibri"/>
          <w:i/>
          <w:iCs/>
          <w:lang w:val="ro-RO"/>
        </w:rPr>
        <w:t xml:space="preserve"> astfel </w:t>
      </w:r>
      <w:r w:rsidR="00927B1F" w:rsidRPr="00834B27">
        <w:rPr>
          <w:rFonts w:ascii="Calibri" w:hAnsi="Calibri" w:cs="Calibri"/>
          <w:i/>
          <w:iCs/>
          <w:lang w:val="ro-RO"/>
        </w:rPr>
        <w:t>obliga</w:t>
      </w:r>
      <w:r w:rsidR="00D77C4B" w:rsidRPr="00834B27">
        <w:rPr>
          <w:rFonts w:ascii="Calibri" w:hAnsi="Calibri" w:cs="Calibri"/>
          <w:i/>
          <w:iCs/>
          <w:lang w:val="ro-RO"/>
        </w:rPr>
        <w:t>ț</w:t>
      </w:r>
      <w:r w:rsidR="00927B1F" w:rsidRPr="00834B27">
        <w:rPr>
          <w:rFonts w:ascii="Calibri" w:hAnsi="Calibri" w:cs="Calibri"/>
          <w:i/>
          <w:iCs/>
          <w:lang w:val="ro-RO"/>
        </w:rPr>
        <w:t>iile</w:t>
      </w:r>
      <w:r w:rsidR="00CE30AD" w:rsidRPr="00834B27">
        <w:rPr>
          <w:rFonts w:ascii="Calibri" w:hAnsi="Calibri" w:cs="Calibri"/>
          <w:i/>
          <w:iCs/>
          <w:lang w:val="ro-RO"/>
        </w:rPr>
        <w:t xml:space="preserve"> viitoare </w:t>
      </w:r>
      <w:r w:rsidR="006B54EA" w:rsidRPr="00834B27">
        <w:rPr>
          <w:rFonts w:ascii="Calibri" w:hAnsi="Calibri" w:cs="Calibri"/>
          <w:i/>
          <w:iCs/>
          <w:lang w:val="ro-RO"/>
        </w:rPr>
        <w:t>asumate la plata pensiilor din Pilonul I</w:t>
      </w:r>
      <w:r w:rsidR="00CE78BA" w:rsidRPr="00834B27">
        <w:rPr>
          <w:rFonts w:ascii="Calibri" w:hAnsi="Calibri" w:cs="Calibri"/>
          <w:i/>
          <w:iCs/>
          <w:lang w:val="ro-RO"/>
        </w:rPr>
        <w:t xml:space="preserve">. </w:t>
      </w:r>
    </w:p>
    <w:p w14:paraId="79E20F9C" w14:textId="5DA483CE" w:rsidR="007C23EB" w:rsidRPr="00834B27" w:rsidRDefault="006B54EA" w:rsidP="00B91E74">
      <w:pPr>
        <w:spacing w:line="276" w:lineRule="auto"/>
        <w:jc w:val="both"/>
        <w:rPr>
          <w:rFonts w:ascii="Calibri" w:hAnsi="Calibri" w:cs="Calibri"/>
          <w:i/>
          <w:iCs/>
          <w:lang w:val="ro-RO"/>
        </w:rPr>
      </w:pPr>
      <w:r w:rsidRPr="00834B27">
        <w:rPr>
          <w:rFonts w:ascii="Calibri" w:hAnsi="Calibri" w:cs="Calibri"/>
          <w:i/>
          <w:iCs/>
          <w:lang w:val="ro-RO"/>
        </w:rPr>
        <w:t xml:space="preserve">De </w:t>
      </w:r>
      <w:r w:rsidR="00927B1F" w:rsidRPr="00834B27">
        <w:rPr>
          <w:rFonts w:ascii="Calibri" w:hAnsi="Calibri" w:cs="Calibri"/>
          <w:i/>
          <w:iCs/>
          <w:lang w:val="ro-RO"/>
        </w:rPr>
        <w:t>men</w:t>
      </w:r>
      <w:r w:rsidR="00D77C4B" w:rsidRPr="00834B27">
        <w:rPr>
          <w:rFonts w:ascii="Calibri" w:hAnsi="Calibri" w:cs="Calibri"/>
          <w:i/>
          <w:iCs/>
          <w:lang w:val="ro-RO"/>
        </w:rPr>
        <w:t>ț</w:t>
      </w:r>
      <w:r w:rsidR="00927B1F" w:rsidRPr="00834B27">
        <w:rPr>
          <w:rFonts w:ascii="Calibri" w:hAnsi="Calibri" w:cs="Calibri"/>
          <w:i/>
          <w:iCs/>
          <w:lang w:val="ro-RO"/>
        </w:rPr>
        <w:t>ionat</w:t>
      </w:r>
      <w:r w:rsidRPr="00834B27">
        <w:rPr>
          <w:rFonts w:ascii="Calibri" w:hAnsi="Calibri" w:cs="Calibri"/>
          <w:i/>
          <w:iCs/>
          <w:lang w:val="ro-RO"/>
        </w:rPr>
        <w:t xml:space="preserve"> </w:t>
      </w:r>
      <w:r w:rsidR="00927B1F" w:rsidRPr="00834B27">
        <w:rPr>
          <w:rFonts w:ascii="Calibri" w:hAnsi="Calibri" w:cs="Calibri"/>
          <w:i/>
          <w:iCs/>
          <w:lang w:val="ro-RO"/>
        </w:rPr>
        <w:t>ș</w:t>
      </w:r>
      <w:r w:rsidRPr="00834B27">
        <w:rPr>
          <w:rFonts w:ascii="Calibri" w:hAnsi="Calibri" w:cs="Calibri"/>
          <w:i/>
          <w:iCs/>
          <w:lang w:val="ro-RO"/>
        </w:rPr>
        <w:t>i c</w:t>
      </w:r>
      <w:r w:rsidR="00927B1F" w:rsidRPr="00834B27">
        <w:rPr>
          <w:rFonts w:ascii="Calibri" w:hAnsi="Calibri" w:cs="Calibri"/>
          <w:i/>
          <w:iCs/>
          <w:lang w:val="ro-RO"/>
        </w:rPr>
        <w:t>ă</w:t>
      </w:r>
      <w:r w:rsidRPr="00834B27">
        <w:rPr>
          <w:rFonts w:ascii="Calibri" w:hAnsi="Calibri" w:cs="Calibri"/>
          <w:i/>
          <w:iCs/>
          <w:lang w:val="ro-RO"/>
        </w:rPr>
        <w:t xml:space="preserve"> </w:t>
      </w:r>
      <w:r w:rsidR="00604AAC" w:rsidRPr="00834B27">
        <w:rPr>
          <w:rFonts w:ascii="Calibri" w:hAnsi="Calibri" w:cs="Calibri"/>
          <w:i/>
          <w:iCs/>
          <w:lang w:val="ro-RO"/>
        </w:rPr>
        <w:t>baza de calcul a CAS datorat</w:t>
      </w:r>
      <w:r w:rsidR="00927B1F" w:rsidRPr="00834B27">
        <w:rPr>
          <w:rFonts w:ascii="Calibri" w:hAnsi="Calibri" w:cs="Calibri"/>
          <w:i/>
          <w:iCs/>
          <w:lang w:val="ro-RO"/>
        </w:rPr>
        <w:t>ă</w:t>
      </w:r>
      <w:r w:rsidR="00604AAC" w:rsidRPr="00834B27">
        <w:rPr>
          <w:rFonts w:ascii="Calibri" w:hAnsi="Calibri" w:cs="Calibri"/>
          <w:i/>
          <w:iCs/>
          <w:lang w:val="ro-RO"/>
        </w:rPr>
        <w:t xml:space="preserve"> de angajator era </w:t>
      </w:r>
      <w:r w:rsidR="00927B1F" w:rsidRPr="00834B27">
        <w:rPr>
          <w:rFonts w:ascii="Calibri" w:hAnsi="Calibri" w:cs="Calibri"/>
          <w:i/>
          <w:iCs/>
          <w:lang w:val="ro-RO"/>
        </w:rPr>
        <w:t>ș</w:t>
      </w:r>
      <w:r w:rsidR="00604AAC" w:rsidRPr="00834B27">
        <w:rPr>
          <w:rFonts w:ascii="Calibri" w:hAnsi="Calibri" w:cs="Calibri"/>
          <w:i/>
          <w:iCs/>
          <w:lang w:val="ro-RO"/>
        </w:rPr>
        <w:t>i ea plafonat</w:t>
      </w:r>
      <w:r w:rsidR="00927B1F" w:rsidRPr="00834B27">
        <w:rPr>
          <w:rFonts w:ascii="Calibri" w:hAnsi="Calibri" w:cs="Calibri"/>
          <w:i/>
          <w:iCs/>
          <w:lang w:val="ro-RO"/>
        </w:rPr>
        <w:t>ă</w:t>
      </w:r>
      <w:r w:rsidR="00604AAC" w:rsidRPr="00834B27">
        <w:rPr>
          <w:rFonts w:ascii="Calibri" w:hAnsi="Calibri" w:cs="Calibri"/>
          <w:i/>
          <w:iCs/>
          <w:lang w:val="ro-RO"/>
        </w:rPr>
        <w:t xml:space="preserve">, </w:t>
      </w:r>
      <w:r w:rsidR="00927B1F" w:rsidRPr="00834B27">
        <w:rPr>
          <w:rFonts w:ascii="Calibri" w:hAnsi="Calibri" w:cs="Calibri"/>
          <w:i/>
          <w:iCs/>
          <w:lang w:val="ro-RO"/>
        </w:rPr>
        <w:t>î</w:t>
      </w:r>
      <w:r w:rsidR="00604AAC" w:rsidRPr="00834B27">
        <w:rPr>
          <w:rFonts w:ascii="Calibri" w:hAnsi="Calibri" w:cs="Calibri"/>
          <w:i/>
          <w:iCs/>
          <w:lang w:val="ro-RO"/>
        </w:rPr>
        <w:t>ns</w:t>
      </w:r>
      <w:r w:rsidR="00927B1F" w:rsidRPr="00834B27">
        <w:rPr>
          <w:rFonts w:ascii="Calibri" w:hAnsi="Calibri" w:cs="Calibri"/>
          <w:i/>
          <w:iCs/>
          <w:lang w:val="ro-RO"/>
        </w:rPr>
        <w:t>ă</w:t>
      </w:r>
      <w:r w:rsidR="00604AAC" w:rsidRPr="00834B27">
        <w:rPr>
          <w:rFonts w:ascii="Calibri" w:hAnsi="Calibri" w:cs="Calibri"/>
          <w:i/>
          <w:iCs/>
          <w:lang w:val="ro-RO"/>
        </w:rPr>
        <w:t xml:space="preserve"> plafonul era calculat</w:t>
      </w:r>
      <w:r w:rsidR="001B52AE" w:rsidRPr="00834B27">
        <w:rPr>
          <w:rFonts w:ascii="Calibri" w:hAnsi="Calibri" w:cs="Calibri"/>
          <w:i/>
          <w:iCs/>
          <w:lang w:val="ro-RO"/>
        </w:rPr>
        <w:t xml:space="preserve"> prin </w:t>
      </w:r>
      <w:r w:rsidR="00927B1F" w:rsidRPr="00834B27">
        <w:rPr>
          <w:rFonts w:ascii="Calibri" w:hAnsi="Calibri" w:cs="Calibri"/>
          <w:i/>
          <w:iCs/>
          <w:lang w:val="ro-RO"/>
        </w:rPr>
        <w:t>înmul</w:t>
      </w:r>
      <w:r w:rsidR="00D77C4B" w:rsidRPr="00834B27">
        <w:rPr>
          <w:rFonts w:ascii="Calibri" w:hAnsi="Calibri" w:cs="Calibri"/>
          <w:i/>
          <w:iCs/>
          <w:lang w:val="ro-RO"/>
        </w:rPr>
        <w:t>ț</w:t>
      </w:r>
      <w:r w:rsidR="00927B1F" w:rsidRPr="00834B27">
        <w:rPr>
          <w:rFonts w:ascii="Calibri" w:hAnsi="Calibri" w:cs="Calibri"/>
          <w:i/>
          <w:iCs/>
          <w:lang w:val="ro-RO"/>
        </w:rPr>
        <w:t>irea</w:t>
      </w:r>
      <w:r w:rsidR="001B52AE" w:rsidRPr="00834B27">
        <w:rPr>
          <w:rFonts w:ascii="Calibri" w:hAnsi="Calibri" w:cs="Calibri"/>
          <w:i/>
          <w:iCs/>
          <w:lang w:val="ro-RO"/>
        </w:rPr>
        <w:t xml:space="preserve"> </w:t>
      </w:r>
      <w:r w:rsidR="00927B1F" w:rsidRPr="00834B27">
        <w:rPr>
          <w:rFonts w:ascii="Calibri" w:hAnsi="Calibri" w:cs="Calibri"/>
          <w:i/>
          <w:iCs/>
          <w:lang w:val="ro-RO"/>
        </w:rPr>
        <w:t>numărului</w:t>
      </w:r>
      <w:r w:rsidR="001B52AE" w:rsidRPr="00834B27">
        <w:rPr>
          <w:rFonts w:ascii="Calibri" w:hAnsi="Calibri" w:cs="Calibri"/>
          <w:i/>
          <w:iCs/>
          <w:lang w:val="ro-RO"/>
        </w:rPr>
        <w:t xml:space="preserve"> mediu de </w:t>
      </w:r>
      <w:r w:rsidR="00927B1F" w:rsidRPr="00834B27">
        <w:rPr>
          <w:rFonts w:ascii="Calibri" w:hAnsi="Calibri" w:cs="Calibri"/>
          <w:i/>
          <w:iCs/>
          <w:lang w:val="ro-RO"/>
        </w:rPr>
        <w:t>angaja</w:t>
      </w:r>
      <w:r w:rsidR="00D77C4B" w:rsidRPr="00834B27">
        <w:rPr>
          <w:rFonts w:ascii="Calibri" w:hAnsi="Calibri" w:cs="Calibri"/>
          <w:i/>
          <w:iCs/>
          <w:lang w:val="ro-RO"/>
        </w:rPr>
        <w:t>ț</w:t>
      </w:r>
      <w:r w:rsidR="00927B1F" w:rsidRPr="00834B27">
        <w:rPr>
          <w:rFonts w:ascii="Calibri" w:hAnsi="Calibri" w:cs="Calibri"/>
          <w:i/>
          <w:iCs/>
          <w:lang w:val="ro-RO"/>
        </w:rPr>
        <w:t>i</w:t>
      </w:r>
      <w:r w:rsidR="001B52AE" w:rsidRPr="00834B27">
        <w:rPr>
          <w:rFonts w:ascii="Calibri" w:hAnsi="Calibri" w:cs="Calibri"/>
          <w:i/>
          <w:iCs/>
          <w:lang w:val="ro-RO"/>
        </w:rPr>
        <w:t xml:space="preserve"> cu contravaloarea a 5 salarii medii, plafonarea </w:t>
      </w:r>
      <w:r w:rsidR="00394F68" w:rsidRPr="00834B27">
        <w:rPr>
          <w:rFonts w:ascii="Calibri" w:hAnsi="Calibri" w:cs="Calibri"/>
          <w:i/>
          <w:iCs/>
          <w:lang w:val="ro-RO"/>
        </w:rPr>
        <w:t>bazei de calcul fiind doar teoretic</w:t>
      </w:r>
      <w:r w:rsidR="00927B1F" w:rsidRPr="00834B27">
        <w:rPr>
          <w:rFonts w:ascii="Calibri" w:hAnsi="Calibri" w:cs="Calibri"/>
          <w:i/>
          <w:iCs/>
          <w:lang w:val="ro-RO"/>
        </w:rPr>
        <w:t>ă</w:t>
      </w:r>
      <w:r w:rsidR="00394F68" w:rsidRPr="00834B27">
        <w:rPr>
          <w:rFonts w:ascii="Calibri" w:hAnsi="Calibri" w:cs="Calibri"/>
          <w:i/>
          <w:iCs/>
          <w:lang w:val="ro-RO"/>
        </w:rPr>
        <w:t xml:space="preserve"> (</w:t>
      </w:r>
      <w:r w:rsidR="00927B1F" w:rsidRPr="00834B27">
        <w:rPr>
          <w:rFonts w:ascii="Calibri" w:hAnsi="Calibri" w:cs="Calibri"/>
          <w:i/>
          <w:iCs/>
          <w:lang w:val="ro-RO"/>
        </w:rPr>
        <w:t>numărul</w:t>
      </w:r>
      <w:r w:rsidR="00394F68" w:rsidRPr="00834B27">
        <w:rPr>
          <w:rFonts w:ascii="Calibri" w:hAnsi="Calibri" w:cs="Calibri"/>
          <w:i/>
          <w:iCs/>
          <w:lang w:val="ro-RO"/>
        </w:rPr>
        <w:t xml:space="preserve"> companiilo</w:t>
      </w:r>
      <w:r w:rsidR="0035044C" w:rsidRPr="00834B27">
        <w:rPr>
          <w:rFonts w:ascii="Calibri" w:hAnsi="Calibri" w:cs="Calibri"/>
          <w:i/>
          <w:iCs/>
          <w:lang w:val="ro-RO"/>
        </w:rPr>
        <w:t xml:space="preserve">r </w:t>
      </w:r>
      <w:r w:rsidR="00927B1F" w:rsidRPr="00834B27">
        <w:rPr>
          <w:rFonts w:ascii="Calibri" w:hAnsi="Calibri" w:cs="Calibri"/>
          <w:i/>
          <w:iCs/>
          <w:lang w:val="ro-RO"/>
        </w:rPr>
        <w:t>î</w:t>
      </w:r>
      <w:r w:rsidR="00394F68" w:rsidRPr="00834B27">
        <w:rPr>
          <w:rFonts w:ascii="Calibri" w:hAnsi="Calibri" w:cs="Calibri"/>
          <w:i/>
          <w:iCs/>
          <w:lang w:val="ro-RO"/>
        </w:rPr>
        <w:t xml:space="preserve">n care salariul mediu </w:t>
      </w:r>
      <w:r w:rsidR="00927B1F" w:rsidRPr="00834B27">
        <w:rPr>
          <w:rFonts w:ascii="Calibri" w:hAnsi="Calibri" w:cs="Calibri"/>
          <w:i/>
          <w:iCs/>
          <w:lang w:val="ro-RO"/>
        </w:rPr>
        <w:t>depășea</w:t>
      </w:r>
      <w:r w:rsidR="00394F68" w:rsidRPr="00834B27">
        <w:rPr>
          <w:rFonts w:ascii="Calibri" w:hAnsi="Calibri" w:cs="Calibri"/>
          <w:i/>
          <w:iCs/>
          <w:lang w:val="ro-RO"/>
        </w:rPr>
        <w:t xml:space="preserve"> </w:t>
      </w:r>
      <w:r w:rsidR="00810045" w:rsidRPr="00834B27">
        <w:rPr>
          <w:rFonts w:ascii="Calibri" w:hAnsi="Calibri" w:cs="Calibri"/>
          <w:i/>
          <w:iCs/>
          <w:lang w:val="ro-RO"/>
        </w:rPr>
        <w:t xml:space="preserve">5 salarii medii </w:t>
      </w:r>
      <w:r w:rsidR="00C037A0" w:rsidRPr="00834B27">
        <w:rPr>
          <w:rFonts w:ascii="Calibri" w:hAnsi="Calibri" w:cs="Calibri"/>
          <w:i/>
          <w:iCs/>
          <w:lang w:val="ro-RO"/>
        </w:rPr>
        <w:t>fiind neglijabil</w:t>
      </w:r>
      <w:r w:rsidR="0035044C" w:rsidRPr="00834B27">
        <w:rPr>
          <w:rFonts w:ascii="Calibri" w:hAnsi="Calibri" w:cs="Calibri"/>
          <w:i/>
          <w:iCs/>
          <w:lang w:val="ro-RO"/>
        </w:rPr>
        <w:t>). Rezultatul acestei metode de plafonare era c</w:t>
      </w:r>
      <w:r w:rsidR="00927B1F" w:rsidRPr="00834B27">
        <w:rPr>
          <w:rFonts w:ascii="Calibri" w:hAnsi="Calibri" w:cs="Calibri"/>
          <w:i/>
          <w:iCs/>
          <w:lang w:val="ro-RO"/>
        </w:rPr>
        <w:t>ă,</w:t>
      </w:r>
      <w:r w:rsidR="0035044C" w:rsidRPr="00834B27">
        <w:rPr>
          <w:rFonts w:ascii="Calibri" w:hAnsi="Calibri" w:cs="Calibri"/>
          <w:i/>
          <w:iCs/>
          <w:lang w:val="ro-RO"/>
        </w:rPr>
        <w:t xml:space="preserve"> pentru CAS </w:t>
      </w:r>
      <w:r w:rsidR="00927B1F" w:rsidRPr="00834B27">
        <w:rPr>
          <w:rFonts w:ascii="Calibri" w:hAnsi="Calibri" w:cs="Calibri"/>
          <w:i/>
          <w:iCs/>
          <w:lang w:val="ro-RO"/>
        </w:rPr>
        <w:t>plătit</w:t>
      </w:r>
      <w:r w:rsidR="0035044C" w:rsidRPr="00834B27">
        <w:rPr>
          <w:rFonts w:ascii="Calibri" w:hAnsi="Calibri" w:cs="Calibri"/>
          <w:i/>
          <w:iCs/>
          <w:lang w:val="ro-RO"/>
        </w:rPr>
        <w:t xml:space="preserve"> de angajator </w:t>
      </w:r>
      <w:r w:rsidR="00927B1F" w:rsidRPr="00834B27">
        <w:rPr>
          <w:rFonts w:ascii="Calibri" w:hAnsi="Calibri" w:cs="Calibri"/>
          <w:i/>
          <w:iCs/>
          <w:lang w:val="ro-RO"/>
        </w:rPr>
        <w:t>corespunzător</w:t>
      </w:r>
      <w:r w:rsidR="00A65DE3" w:rsidRPr="00834B27">
        <w:rPr>
          <w:rFonts w:ascii="Calibri" w:hAnsi="Calibri" w:cs="Calibri"/>
          <w:i/>
          <w:iCs/>
          <w:lang w:val="ro-RO"/>
        </w:rPr>
        <w:t xml:space="preserve"> salariilor ce </w:t>
      </w:r>
      <w:r w:rsidR="00927B1F" w:rsidRPr="00834B27">
        <w:rPr>
          <w:rFonts w:ascii="Calibri" w:hAnsi="Calibri" w:cs="Calibri"/>
          <w:i/>
          <w:iCs/>
          <w:lang w:val="ro-RO"/>
        </w:rPr>
        <w:t>depășeau</w:t>
      </w:r>
      <w:r w:rsidR="00A65DE3" w:rsidRPr="00834B27">
        <w:rPr>
          <w:rFonts w:ascii="Calibri" w:hAnsi="Calibri" w:cs="Calibri"/>
          <w:i/>
          <w:iCs/>
          <w:lang w:val="ro-RO"/>
        </w:rPr>
        <w:t xml:space="preserve"> plafonul</w:t>
      </w:r>
      <w:r w:rsidR="00927B1F" w:rsidRPr="00834B27">
        <w:rPr>
          <w:rFonts w:ascii="Calibri" w:hAnsi="Calibri" w:cs="Calibri"/>
          <w:i/>
          <w:iCs/>
          <w:lang w:val="ro-RO"/>
        </w:rPr>
        <w:t>,</w:t>
      </w:r>
      <w:r w:rsidR="00A65DE3" w:rsidRPr="00834B27">
        <w:rPr>
          <w:rFonts w:ascii="Calibri" w:hAnsi="Calibri" w:cs="Calibri"/>
          <w:i/>
          <w:iCs/>
          <w:lang w:val="ro-RO"/>
        </w:rPr>
        <w:t xml:space="preserve"> nu exista </w:t>
      </w:r>
      <w:r w:rsidR="00927B1F" w:rsidRPr="00834B27">
        <w:rPr>
          <w:rFonts w:ascii="Calibri" w:hAnsi="Calibri" w:cs="Calibri"/>
          <w:i/>
          <w:iCs/>
          <w:lang w:val="ro-RO"/>
        </w:rPr>
        <w:t>contrapresta</w:t>
      </w:r>
      <w:r w:rsidR="00D77C4B" w:rsidRPr="00834B27">
        <w:rPr>
          <w:rFonts w:ascii="Calibri" w:hAnsi="Calibri" w:cs="Calibri"/>
          <w:i/>
          <w:iCs/>
          <w:lang w:val="ro-RO"/>
        </w:rPr>
        <w:t>ț</w:t>
      </w:r>
      <w:r w:rsidR="00927B1F" w:rsidRPr="00834B27">
        <w:rPr>
          <w:rFonts w:ascii="Calibri" w:hAnsi="Calibri" w:cs="Calibri"/>
          <w:i/>
          <w:iCs/>
          <w:lang w:val="ro-RO"/>
        </w:rPr>
        <w:t>ie</w:t>
      </w:r>
      <w:r w:rsidR="00F01176" w:rsidRPr="00834B27">
        <w:rPr>
          <w:rFonts w:ascii="Calibri" w:hAnsi="Calibri" w:cs="Calibri"/>
          <w:i/>
          <w:iCs/>
          <w:lang w:val="ro-RO"/>
        </w:rPr>
        <w:t xml:space="preserve"> </w:t>
      </w:r>
      <w:r w:rsidR="00927B1F" w:rsidRPr="00834B27">
        <w:rPr>
          <w:rFonts w:ascii="Calibri" w:hAnsi="Calibri" w:cs="Calibri"/>
          <w:i/>
          <w:iCs/>
          <w:lang w:val="ro-RO"/>
        </w:rPr>
        <w:t>î</w:t>
      </w:r>
      <w:r w:rsidR="00F01176" w:rsidRPr="00834B27">
        <w:rPr>
          <w:rFonts w:ascii="Calibri" w:hAnsi="Calibri" w:cs="Calibri"/>
          <w:i/>
          <w:iCs/>
          <w:lang w:val="ro-RO"/>
        </w:rPr>
        <w:t xml:space="preserve">n puncte de pensie pentru </w:t>
      </w:r>
      <w:r w:rsidR="00927B1F" w:rsidRPr="00834B27">
        <w:rPr>
          <w:rFonts w:ascii="Calibri" w:hAnsi="Calibri" w:cs="Calibri"/>
          <w:i/>
          <w:iCs/>
          <w:lang w:val="ro-RO"/>
        </w:rPr>
        <w:t>angaja</w:t>
      </w:r>
      <w:r w:rsidR="00D77C4B" w:rsidRPr="00834B27">
        <w:rPr>
          <w:rFonts w:ascii="Calibri" w:hAnsi="Calibri" w:cs="Calibri"/>
          <w:i/>
          <w:iCs/>
          <w:lang w:val="ro-RO"/>
        </w:rPr>
        <w:t>ț</w:t>
      </w:r>
      <w:r w:rsidR="00927B1F" w:rsidRPr="00834B27">
        <w:rPr>
          <w:rFonts w:ascii="Calibri" w:hAnsi="Calibri" w:cs="Calibri"/>
          <w:i/>
          <w:iCs/>
          <w:lang w:val="ro-RO"/>
        </w:rPr>
        <w:t>i</w:t>
      </w:r>
      <w:r w:rsidR="00F01176" w:rsidRPr="00834B27">
        <w:rPr>
          <w:rFonts w:ascii="Calibri" w:hAnsi="Calibri" w:cs="Calibri"/>
          <w:i/>
          <w:iCs/>
          <w:lang w:val="ro-RO"/>
        </w:rPr>
        <w:t>, ceea ce reprezenta</w:t>
      </w:r>
      <w:r w:rsidR="00861BEA" w:rsidRPr="00834B27">
        <w:rPr>
          <w:rFonts w:ascii="Calibri" w:hAnsi="Calibri" w:cs="Calibri"/>
          <w:i/>
          <w:iCs/>
          <w:lang w:val="ro-RO"/>
        </w:rPr>
        <w:t>,</w:t>
      </w:r>
      <w:r w:rsidR="00F01176" w:rsidRPr="00834B27">
        <w:rPr>
          <w:rFonts w:ascii="Calibri" w:hAnsi="Calibri" w:cs="Calibri"/>
          <w:i/>
          <w:iCs/>
          <w:lang w:val="ro-RO"/>
        </w:rPr>
        <w:t xml:space="preserve"> </w:t>
      </w:r>
      <w:r w:rsidR="002A6DFB" w:rsidRPr="00834B27">
        <w:rPr>
          <w:rFonts w:ascii="Calibri" w:hAnsi="Calibri" w:cs="Calibri"/>
          <w:i/>
          <w:iCs/>
          <w:lang w:val="ro-RO"/>
        </w:rPr>
        <w:t>pe de o parte</w:t>
      </w:r>
      <w:r w:rsidR="00861BEA" w:rsidRPr="00834B27">
        <w:rPr>
          <w:rFonts w:ascii="Calibri" w:hAnsi="Calibri" w:cs="Calibri"/>
          <w:i/>
          <w:iCs/>
          <w:lang w:val="ro-RO"/>
        </w:rPr>
        <w:t>,</w:t>
      </w:r>
      <w:r w:rsidR="002A6DFB" w:rsidRPr="00834B27">
        <w:rPr>
          <w:rFonts w:ascii="Calibri" w:hAnsi="Calibri" w:cs="Calibri"/>
          <w:i/>
          <w:iCs/>
          <w:lang w:val="ro-RO"/>
        </w:rPr>
        <w:t xml:space="preserve"> o nedreptate pentru </w:t>
      </w:r>
      <w:r w:rsidR="00927B1F" w:rsidRPr="00834B27">
        <w:rPr>
          <w:rFonts w:ascii="Calibri" w:hAnsi="Calibri" w:cs="Calibri"/>
          <w:i/>
          <w:iCs/>
          <w:lang w:val="ro-RO"/>
        </w:rPr>
        <w:t>angaja</w:t>
      </w:r>
      <w:r w:rsidR="00D77C4B" w:rsidRPr="00834B27">
        <w:rPr>
          <w:rFonts w:ascii="Calibri" w:hAnsi="Calibri" w:cs="Calibri"/>
          <w:i/>
          <w:iCs/>
          <w:lang w:val="ro-RO"/>
        </w:rPr>
        <w:t>ț</w:t>
      </w:r>
      <w:r w:rsidR="00927B1F" w:rsidRPr="00834B27">
        <w:rPr>
          <w:rFonts w:ascii="Calibri" w:hAnsi="Calibri" w:cs="Calibri"/>
          <w:i/>
          <w:iCs/>
          <w:lang w:val="ro-RO"/>
        </w:rPr>
        <w:t>ii</w:t>
      </w:r>
      <w:r w:rsidR="002A6DFB" w:rsidRPr="00834B27">
        <w:rPr>
          <w:rFonts w:ascii="Calibri" w:hAnsi="Calibri" w:cs="Calibri"/>
          <w:i/>
          <w:iCs/>
          <w:lang w:val="ro-RO"/>
        </w:rPr>
        <w:t xml:space="preserve"> cu salarii mar</w:t>
      </w:r>
      <w:r w:rsidR="00285F1A" w:rsidRPr="00834B27">
        <w:rPr>
          <w:rFonts w:ascii="Calibri" w:hAnsi="Calibri" w:cs="Calibri"/>
          <w:i/>
          <w:iCs/>
          <w:lang w:val="ro-RO"/>
        </w:rPr>
        <w:t>i și</w:t>
      </w:r>
      <w:r w:rsidR="00B96138" w:rsidRPr="00834B27">
        <w:rPr>
          <w:rFonts w:ascii="Calibri" w:hAnsi="Calibri" w:cs="Calibri"/>
          <w:i/>
          <w:iCs/>
          <w:lang w:val="ro-RO"/>
        </w:rPr>
        <w:t>, pe de alt</w:t>
      </w:r>
      <w:r w:rsidR="00861BEA" w:rsidRPr="00834B27">
        <w:rPr>
          <w:rFonts w:ascii="Calibri" w:hAnsi="Calibri" w:cs="Calibri"/>
          <w:i/>
          <w:iCs/>
          <w:lang w:val="ro-RO"/>
        </w:rPr>
        <w:t>ă</w:t>
      </w:r>
      <w:r w:rsidR="00B96138" w:rsidRPr="00834B27">
        <w:rPr>
          <w:rFonts w:ascii="Calibri" w:hAnsi="Calibri" w:cs="Calibri"/>
          <w:i/>
          <w:iCs/>
          <w:lang w:val="ro-RO"/>
        </w:rPr>
        <w:t xml:space="preserve"> parte</w:t>
      </w:r>
      <w:r w:rsidR="00861BEA" w:rsidRPr="00834B27">
        <w:rPr>
          <w:rFonts w:ascii="Calibri" w:hAnsi="Calibri" w:cs="Calibri"/>
          <w:i/>
          <w:iCs/>
          <w:lang w:val="ro-RO"/>
        </w:rPr>
        <w:t>,</w:t>
      </w:r>
      <w:r w:rsidR="00B96138" w:rsidRPr="00834B27">
        <w:rPr>
          <w:rFonts w:ascii="Calibri" w:hAnsi="Calibri" w:cs="Calibri"/>
          <w:i/>
          <w:iCs/>
          <w:lang w:val="ro-RO"/>
        </w:rPr>
        <w:t xml:space="preserve"> un avantaj </w:t>
      </w:r>
      <w:r w:rsidR="000D0C9B" w:rsidRPr="00834B27">
        <w:rPr>
          <w:rFonts w:ascii="Calibri" w:hAnsi="Calibri" w:cs="Calibri"/>
          <w:i/>
          <w:iCs/>
          <w:lang w:val="ro-RO"/>
        </w:rPr>
        <w:t>pentru bugetul CNPP.</w:t>
      </w:r>
      <w:r w:rsidR="00DA51DF" w:rsidRPr="00834B27">
        <w:rPr>
          <w:rFonts w:ascii="Calibri" w:hAnsi="Calibri" w:cs="Calibri"/>
          <w:i/>
          <w:iCs/>
          <w:lang w:val="ro-RO"/>
        </w:rPr>
        <w:t xml:space="preserve">  </w:t>
      </w:r>
      <w:r w:rsidR="00927B1F" w:rsidRPr="00834B27">
        <w:rPr>
          <w:rFonts w:ascii="Calibri" w:hAnsi="Calibri" w:cs="Calibri"/>
          <w:i/>
          <w:iCs/>
          <w:lang w:val="ro-RO"/>
        </w:rPr>
        <w:t>Î</w:t>
      </w:r>
      <w:r w:rsidR="00DA51DF" w:rsidRPr="00834B27">
        <w:rPr>
          <w:rFonts w:ascii="Calibri" w:hAnsi="Calibri" w:cs="Calibri"/>
          <w:i/>
          <w:iCs/>
          <w:lang w:val="ro-RO"/>
        </w:rPr>
        <w:t xml:space="preserve">n mod </w:t>
      </w:r>
      <w:r w:rsidR="00927B1F" w:rsidRPr="00834B27">
        <w:rPr>
          <w:rFonts w:ascii="Calibri" w:hAnsi="Calibri" w:cs="Calibri"/>
          <w:i/>
          <w:iCs/>
          <w:lang w:val="ro-RO"/>
        </w:rPr>
        <w:t>corespunzător</w:t>
      </w:r>
      <w:r w:rsidR="00DA51DF" w:rsidRPr="00834B27">
        <w:rPr>
          <w:rFonts w:ascii="Calibri" w:hAnsi="Calibri" w:cs="Calibri"/>
          <w:i/>
          <w:iCs/>
          <w:lang w:val="ro-RO"/>
        </w:rPr>
        <w:t xml:space="preserve">, eliminarea </w:t>
      </w:r>
      <w:r w:rsidR="00927B1F" w:rsidRPr="00834B27">
        <w:rPr>
          <w:rFonts w:ascii="Calibri" w:hAnsi="Calibri" w:cs="Calibri"/>
          <w:i/>
          <w:iCs/>
          <w:lang w:val="ro-RO"/>
        </w:rPr>
        <w:t>plafonării</w:t>
      </w:r>
      <w:r w:rsidR="00DA51DF" w:rsidRPr="00834B27">
        <w:rPr>
          <w:rFonts w:ascii="Calibri" w:hAnsi="Calibri" w:cs="Calibri"/>
          <w:i/>
          <w:iCs/>
          <w:lang w:val="ro-RO"/>
        </w:rPr>
        <w:t xml:space="preserve"> bazei de calcul al CAS individual</w:t>
      </w:r>
      <w:r w:rsidR="00927B1F" w:rsidRPr="00834B27">
        <w:rPr>
          <w:rFonts w:ascii="Calibri" w:hAnsi="Calibri" w:cs="Calibri"/>
          <w:i/>
          <w:iCs/>
          <w:lang w:val="ro-RO"/>
        </w:rPr>
        <w:t>ă</w:t>
      </w:r>
      <w:r w:rsidR="00DA51DF" w:rsidRPr="00834B27">
        <w:rPr>
          <w:rFonts w:ascii="Calibri" w:hAnsi="Calibri" w:cs="Calibri"/>
          <w:i/>
          <w:iCs/>
          <w:lang w:val="ro-RO"/>
        </w:rPr>
        <w:t xml:space="preserve"> a determinat:</w:t>
      </w:r>
    </w:p>
    <w:p w14:paraId="63FC13DF" w14:textId="2FE12A05" w:rsidR="00DA51DF" w:rsidRPr="00834B27" w:rsidRDefault="003E7AAC" w:rsidP="005602C1">
      <w:pPr>
        <w:pStyle w:val="Listparagraf"/>
        <w:numPr>
          <w:ilvl w:val="0"/>
          <w:numId w:val="1"/>
        </w:numPr>
        <w:spacing w:line="276" w:lineRule="auto"/>
        <w:ind w:left="360"/>
        <w:contextualSpacing w:val="0"/>
        <w:jc w:val="both"/>
        <w:rPr>
          <w:rFonts w:ascii="Calibri" w:hAnsi="Calibri" w:cs="Calibri"/>
          <w:i/>
          <w:iCs/>
          <w:lang w:val="ro-RO"/>
        </w:rPr>
      </w:pPr>
      <w:r w:rsidRPr="00834B27">
        <w:rPr>
          <w:rFonts w:ascii="Calibri" w:hAnsi="Calibri" w:cs="Calibri"/>
          <w:i/>
          <w:iCs/>
          <w:lang w:val="ro-RO"/>
        </w:rPr>
        <w:t>creșterea</w:t>
      </w:r>
      <w:r w:rsidR="00DA51DF" w:rsidRPr="00834B27">
        <w:rPr>
          <w:rFonts w:ascii="Calibri" w:hAnsi="Calibri" w:cs="Calibri"/>
          <w:i/>
          <w:iCs/>
          <w:lang w:val="ro-RO"/>
        </w:rPr>
        <w:t xml:space="preserve"> SFT pentru </w:t>
      </w:r>
      <w:r w:rsidR="00927B1F" w:rsidRPr="00834B27">
        <w:rPr>
          <w:rFonts w:ascii="Calibri" w:hAnsi="Calibri" w:cs="Calibri"/>
          <w:i/>
          <w:iCs/>
          <w:lang w:val="ro-RO"/>
        </w:rPr>
        <w:t>angaja</w:t>
      </w:r>
      <w:r w:rsidR="00D77C4B" w:rsidRPr="00834B27">
        <w:rPr>
          <w:rFonts w:ascii="Calibri" w:hAnsi="Calibri" w:cs="Calibri"/>
          <w:i/>
          <w:iCs/>
          <w:lang w:val="ro-RO"/>
        </w:rPr>
        <w:t>ț</w:t>
      </w:r>
      <w:r w:rsidR="00927B1F" w:rsidRPr="00834B27">
        <w:rPr>
          <w:rFonts w:ascii="Calibri" w:hAnsi="Calibri" w:cs="Calibri"/>
          <w:i/>
          <w:iCs/>
          <w:lang w:val="ro-RO"/>
        </w:rPr>
        <w:t>ii</w:t>
      </w:r>
      <w:r w:rsidR="00DA51DF" w:rsidRPr="00834B27">
        <w:rPr>
          <w:rFonts w:ascii="Calibri" w:hAnsi="Calibri" w:cs="Calibri"/>
          <w:i/>
          <w:iCs/>
          <w:lang w:val="ro-RO"/>
        </w:rPr>
        <w:t xml:space="preserve"> cu salarii mari;</w:t>
      </w:r>
    </w:p>
    <w:p w14:paraId="68CD160D" w14:textId="1C341DBE" w:rsidR="00DA51DF" w:rsidRPr="00834B27" w:rsidRDefault="003E7AAC" w:rsidP="005602C1">
      <w:pPr>
        <w:pStyle w:val="Listparagraf"/>
        <w:numPr>
          <w:ilvl w:val="0"/>
          <w:numId w:val="1"/>
        </w:numPr>
        <w:spacing w:line="276" w:lineRule="auto"/>
        <w:ind w:left="360"/>
        <w:contextualSpacing w:val="0"/>
        <w:jc w:val="both"/>
        <w:rPr>
          <w:rFonts w:ascii="Calibri" w:hAnsi="Calibri" w:cs="Calibri"/>
          <w:i/>
          <w:iCs/>
          <w:lang w:val="ro-RO"/>
        </w:rPr>
      </w:pPr>
      <w:r w:rsidRPr="00834B27">
        <w:rPr>
          <w:rFonts w:ascii="Calibri" w:hAnsi="Calibri" w:cs="Calibri"/>
          <w:i/>
          <w:iCs/>
          <w:lang w:val="ro-RO"/>
        </w:rPr>
        <w:t>creșterea</w:t>
      </w:r>
      <w:r w:rsidR="00607609" w:rsidRPr="00834B27">
        <w:rPr>
          <w:rFonts w:ascii="Calibri" w:hAnsi="Calibri" w:cs="Calibri"/>
          <w:i/>
          <w:iCs/>
          <w:lang w:val="ro-RO"/>
        </w:rPr>
        <w:t xml:space="preserve"> </w:t>
      </w:r>
      <w:r w:rsidR="00927B1F" w:rsidRPr="00834B27">
        <w:rPr>
          <w:rFonts w:ascii="Calibri" w:hAnsi="Calibri" w:cs="Calibri"/>
          <w:i/>
          <w:iCs/>
          <w:lang w:val="ro-RO"/>
        </w:rPr>
        <w:t>numărului</w:t>
      </w:r>
      <w:r w:rsidR="00607609" w:rsidRPr="00834B27">
        <w:rPr>
          <w:rFonts w:ascii="Calibri" w:hAnsi="Calibri" w:cs="Calibri"/>
          <w:i/>
          <w:iCs/>
          <w:lang w:val="ro-RO"/>
        </w:rPr>
        <w:t xml:space="preserve"> de puncte de pensie ale </w:t>
      </w:r>
      <w:r w:rsidR="00927B1F" w:rsidRPr="00834B27">
        <w:rPr>
          <w:rFonts w:ascii="Calibri" w:hAnsi="Calibri" w:cs="Calibri"/>
          <w:i/>
          <w:iCs/>
          <w:lang w:val="ro-RO"/>
        </w:rPr>
        <w:t>angaja</w:t>
      </w:r>
      <w:r w:rsidR="00D77C4B" w:rsidRPr="00834B27">
        <w:rPr>
          <w:rFonts w:ascii="Calibri" w:hAnsi="Calibri" w:cs="Calibri"/>
          <w:i/>
          <w:iCs/>
          <w:lang w:val="ro-RO"/>
        </w:rPr>
        <w:t>ț</w:t>
      </w:r>
      <w:r w:rsidR="00927B1F" w:rsidRPr="00834B27">
        <w:rPr>
          <w:rFonts w:ascii="Calibri" w:hAnsi="Calibri" w:cs="Calibri"/>
          <w:i/>
          <w:iCs/>
          <w:lang w:val="ro-RO"/>
        </w:rPr>
        <w:t>ilor</w:t>
      </w:r>
      <w:r w:rsidR="00607609" w:rsidRPr="00834B27">
        <w:rPr>
          <w:rFonts w:ascii="Calibri" w:hAnsi="Calibri" w:cs="Calibri"/>
          <w:i/>
          <w:iCs/>
          <w:lang w:val="ro-RO"/>
        </w:rPr>
        <w:t xml:space="preserve"> cu salarii mari;</w:t>
      </w:r>
    </w:p>
    <w:p w14:paraId="6C9DF256" w14:textId="32CFC6FF" w:rsidR="00607609" w:rsidRPr="00834B27" w:rsidRDefault="003E7AAC" w:rsidP="005602C1">
      <w:pPr>
        <w:pStyle w:val="Listparagraf"/>
        <w:numPr>
          <w:ilvl w:val="0"/>
          <w:numId w:val="1"/>
        </w:numPr>
        <w:spacing w:line="276" w:lineRule="auto"/>
        <w:ind w:left="360"/>
        <w:contextualSpacing w:val="0"/>
        <w:jc w:val="both"/>
        <w:rPr>
          <w:rFonts w:ascii="Calibri" w:hAnsi="Calibri" w:cs="Calibri"/>
          <w:i/>
          <w:iCs/>
          <w:lang w:val="ro-RO"/>
        </w:rPr>
      </w:pPr>
      <w:r w:rsidRPr="00834B27">
        <w:rPr>
          <w:rFonts w:ascii="Calibri" w:hAnsi="Calibri" w:cs="Calibri"/>
          <w:i/>
          <w:iCs/>
          <w:lang w:val="ro-RO"/>
        </w:rPr>
        <w:t>creșterea</w:t>
      </w:r>
      <w:r w:rsidR="00607609" w:rsidRPr="00834B27">
        <w:rPr>
          <w:rFonts w:ascii="Calibri" w:hAnsi="Calibri" w:cs="Calibri"/>
          <w:i/>
          <w:iCs/>
          <w:lang w:val="ro-RO"/>
        </w:rPr>
        <w:t xml:space="preserve"> veniturilor curente ale CNPP, dar </w:t>
      </w:r>
      <w:r w:rsidRPr="00834B27">
        <w:rPr>
          <w:rFonts w:ascii="Calibri" w:hAnsi="Calibri" w:cs="Calibri"/>
          <w:i/>
          <w:iCs/>
          <w:lang w:val="ro-RO"/>
        </w:rPr>
        <w:t xml:space="preserve">și </w:t>
      </w:r>
      <w:r w:rsidR="00607609" w:rsidRPr="00834B27">
        <w:rPr>
          <w:rFonts w:ascii="Calibri" w:hAnsi="Calibri" w:cs="Calibri"/>
          <w:i/>
          <w:iCs/>
          <w:lang w:val="ro-RO"/>
        </w:rPr>
        <w:t xml:space="preserve">o </w:t>
      </w:r>
      <w:r w:rsidR="00927B1F" w:rsidRPr="00834B27">
        <w:rPr>
          <w:rFonts w:ascii="Calibri" w:hAnsi="Calibri" w:cs="Calibri"/>
          <w:i/>
          <w:iCs/>
          <w:lang w:val="ro-RO"/>
        </w:rPr>
        <w:t>creștere</w:t>
      </w:r>
      <w:r w:rsidR="00607609" w:rsidRPr="00834B27">
        <w:rPr>
          <w:rFonts w:ascii="Calibri" w:hAnsi="Calibri" w:cs="Calibri"/>
          <w:i/>
          <w:iCs/>
          <w:lang w:val="ro-RO"/>
        </w:rPr>
        <w:t xml:space="preserve"> </w:t>
      </w:r>
      <w:r w:rsidR="00927B1F" w:rsidRPr="00834B27">
        <w:rPr>
          <w:rFonts w:ascii="Calibri" w:hAnsi="Calibri" w:cs="Calibri"/>
          <w:i/>
          <w:iCs/>
          <w:lang w:val="ro-RO"/>
        </w:rPr>
        <w:t>corespunzătoare,</w:t>
      </w:r>
      <w:r w:rsidR="00607609" w:rsidRPr="00834B27">
        <w:rPr>
          <w:rFonts w:ascii="Calibri" w:hAnsi="Calibri" w:cs="Calibri"/>
          <w:i/>
          <w:iCs/>
          <w:lang w:val="ro-RO"/>
        </w:rPr>
        <w:t xml:space="preserve"> semnificativ </w:t>
      </w:r>
      <w:r w:rsidR="00487B0F" w:rsidRPr="00834B27">
        <w:rPr>
          <w:rFonts w:ascii="Calibri" w:hAnsi="Calibri" w:cs="Calibri"/>
          <w:i/>
          <w:iCs/>
          <w:lang w:val="ro-RO"/>
        </w:rPr>
        <w:t>mai mare</w:t>
      </w:r>
      <w:r w:rsidR="00927B1F" w:rsidRPr="00834B27">
        <w:rPr>
          <w:rFonts w:ascii="Calibri" w:hAnsi="Calibri" w:cs="Calibri"/>
          <w:i/>
          <w:iCs/>
          <w:lang w:val="ro-RO"/>
        </w:rPr>
        <w:t>,</w:t>
      </w:r>
      <w:r w:rsidR="00487B0F" w:rsidRPr="00834B27">
        <w:rPr>
          <w:rFonts w:ascii="Calibri" w:hAnsi="Calibri" w:cs="Calibri"/>
          <w:i/>
          <w:iCs/>
          <w:lang w:val="ro-RO"/>
        </w:rPr>
        <w:t xml:space="preserve"> a </w:t>
      </w:r>
      <w:r w:rsidR="00927B1F" w:rsidRPr="00834B27">
        <w:rPr>
          <w:rFonts w:ascii="Calibri" w:hAnsi="Calibri" w:cs="Calibri"/>
          <w:i/>
          <w:iCs/>
          <w:lang w:val="ro-RO"/>
        </w:rPr>
        <w:t>obliga</w:t>
      </w:r>
      <w:r w:rsidR="00D77C4B" w:rsidRPr="00834B27">
        <w:rPr>
          <w:rFonts w:ascii="Calibri" w:hAnsi="Calibri" w:cs="Calibri"/>
          <w:i/>
          <w:iCs/>
          <w:lang w:val="ro-RO"/>
        </w:rPr>
        <w:t>ț</w:t>
      </w:r>
      <w:r w:rsidR="00927B1F" w:rsidRPr="00834B27">
        <w:rPr>
          <w:rFonts w:ascii="Calibri" w:hAnsi="Calibri" w:cs="Calibri"/>
          <w:i/>
          <w:iCs/>
          <w:lang w:val="ro-RO"/>
        </w:rPr>
        <w:t>iilor</w:t>
      </w:r>
      <w:r w:rsidR="00487B0F" w:rsidRPr="00834B27">
        <w:rPr>
          <w:rFonts w:ascii="Calibri" w:hAnsi="Calibri" w:cs="Calibri"/>
          <w:i/>
          <w:iCs/>
          <w:lang w:val="ro-RO"/>
        </w:rPr>
        <w:t xml:space="preserve"> viitoare ale CNPP.</w:t>
      </w:r>
      <w:r w:rsidR="002F2777" w:rsidRPr="00834B27">
        <w:rPr>
          <w:rStyle w:val="Referinnotdesubsol"/>
          <w:rFonts w:ascii="Calibri" w:hAnsi="Calibri" w:cs="Calibri"/>
          <w:i/>
          <w:iCs/>
          <w:lang w:val="ro-RO"/>
        </w:rPr>
        <w:footnoteReference w:id="7"/>
      </w:r>
    </w:p>
    <w:p w14:paraId="2E3F3B4B" w14:textId="55548BA4" w:rsidR="00487B0F" w:rsidRPr="00834B27" w:rsidRDefault="00487B0F" w:rsidP="00B91E74">
      <w:pPr>
        <w:spacing w:line="276" w:lineRule="auto"/>
        <w:jc w:val="both"/>
        <w:rPr>
          <w:rFonts w:ascii="Calibri" w:hAnsi="Calibri" w:cs="Calibri"/>
          <w:i/>
          <w:iCs/>
          <w:lang w:val="ro-RO"/>
        </w:rPr>
      </w:pPr>
      <w:r w:rsidRPr="00834B27">
        <w:rPr>
          <w:rFonts w:ascii="Calibri" w:hAnsi="Calibri" w:cs="Calibri"/>
          <w:i/>
          <w:iCs/>
          <w:lang w:val="ro-RO"/>
        </w:rPr>
        <w:t>Cot</w:t>
      </w:r>
      <w:r w:rsidR="00002115" w:rsidRPr="00834B27">
        <w:rPr>
          <w:rFonts w:ascii="Calibri" w:hAnsi="Calibri" w:cs="Calibri"/>
          <w:i/>
          <w:iCs/>
          <w:lang w:val="ro-RO"/>
        </w:rPr>
        <w:t>ele de CAS datorate de angajator au fost mai mari cu 5% p</w:t>
      </w:r>
      <w:r w:rsidR="00927B1F" w:rsidRPr="00834B27">
        <w:rPr>
          <w:rFonts w:ascii="Calibri" w:hAnsi="Calibri" w:cs="Calibri"/>
          <w:i/>
          <w:iCs/>
          <w:lang w:val="ro-RO"/>
        </w:rPr>
        <w:t>â</w:t>
      </w:r>
      <w:r w:rsidR="00002115" w:rsidRPr="00834B27">
        <w:rPr>
          <w:rFonts w:ascii="Calibri" w:hAnsi="Calibri" w:cs="Calibri"/>
          <w:i/>
          <w:iCs/>
          <w:lang w:val="ro-RO"/>
        </w:rPr>
        <w:t>n</w:t>
      </w:r>
      <w:r w:rsidR="00927B1F" w:rsidRPr="00834B27">
        <w:rPr>
          <w:rFonts w:ascii="Calibri" w:hAnsi="Calibri" w:cs="Calibri"/>
          <w:i/>
          <w:iCs/>
          <w:lang w:val="ro-RO"/>
        </w:rPr>
        <w:t>ă</w:t>
      </w:r>
      <w:r w:rsidR="00002115" w:rsidRPr="00834B27">
        <w:rPr>
          <w:rFonts w:ascii="Calibri" w:hAnsi="Calibri" w:cs="Calibri"/>
          <w:i/>
          <w:iCs/>
          <w:lang w:val="ro-RO"/>
        </w:rPr>
        <w:t xml:space="preserve"> </w:t>
      </w:r>
      <w:r w:rsidR="00927B1F" w:rsidRPr="00834B27">
        <w:rPr>
          <w:rFonts w:ascii="Calibri" w:hAnsi="Calibri" w:cs="Calibri"/>
          <w:i/>
          <w:iCs/>
          <w:lang w:val="ro-RO"/>
        </w:rPr>
        <w:t>î</w:t>
      </w:r>
      <w:r w:rsidR="00002115" w:rsidRPr="00834B27">
        <w:rPr>
          <w:rFonts w:ascii="Calibri" w:hAnsi="Calibri" w:cs="Calibri"/>
          <w:i/>
          <w:iCs/>
          <w:lang w:val="ro-RO"/>
        </w:rPr>
        <w:t xml:space="preserve">n </w:t>
      </w:r>
      <w:r w:rsidR="00DE368B" w:rsidRPr="00834B27">
        <w:rPr>
          <w:rFonts w:ascii="Calibri" w:hAnsi="Calibri" w:cs="Calibri"/>
          <w:i/>
          <w:iCs/>
          <w:lang w:val="ro-RO"/>
        </w:rPr>
        <w:t xml:space="preserve">octombrie 2014, </w:t>
      </w:r>
      <w:r w:rsidR="00927B1F" w:rsidRPr="00834B27">
        <w:rPr>
          <w:rFonts w:ascii="Calibri" w:hAnsi="Calibri" w:cs="Calibri"/>
          <w:i/>
          <w:iCs/>
          <w:lang w:val="ro-RO"/>
        </w:rPr>
        <w:t>când</w:t>
      </w:r>
      <w:r w:rsidR="00DE368B" w:rsidRPr="00834B27">
        <w:rPr>
          <w:rFonts w:ascii="Calibri" w:hAnsi="Calibri" w:cs="Calibri"/>
          <w:i/>
          <w:iCs/>
          <w:lang w:val="ro-RO"/>
        </w:rPr>
        <w:t xml:space="preserve"> au fost reduse la niv</w:t>
      </w:r>
      <w:r w:rsidR="00285F1A" w:rsidRPr="00834B27">
        <w:rPr>
          <w:rFonts w:ascii="Calibri" w:hAnsi="Calibri" w:cs="Calibri"/>
          <w:i/>
          <w:iCs/>
          <w:lang w:val="ro-RO"/>
        </w:rPr>
        <w:t>elurile</w:t>
      </w:r>
      <w:r w:rsidR="00DE368B" w:rsidRPr="00834B27">
        <w:rPr>
          <w:rFonts w:ascii="Calibri" w:hAnsi="Calibri" w:cs="Calibri"/>
          <w:i/>
          <w:iCs/>
          <w:lang w:val="ro-RO"/>
        </w:rPr>
        <w:t xml:space="preserve"> </w:t>
      </w:r>
      <w:r w:rsidR="00927B1F" w:rsidRPr="00834B27">
        <w:rPr>
          <w:rFonts w:ascii="Calibri" w:hAnsi="Calibri" w:cs="Calibri"/>
          <w:i/>
          <w:iCs/>
          <w:lang w:val="ro-RO"/>
        </w:rPr>
        <w:t>indicate</w:t>
      </w:r>
      <w:r w:rsidR="00DE368B" w:rsidRPr="00834B27">
        <w:rPr>
          <w:rFonts w:ascii="Calibri" w:hAnsi="Calibri" w:cs="Calibri"/>
          <w:i/>
          <w:iCs/>
          <w:lang w:val="ro-RO"/>
        </w:rPr>
        <w:t xml:space="preserve"> mai sus.</w:t>
      </w:r>
    </w:p>
    <w:p w14:paraId="78D7E70E" w14:textId="13D84CDC" w:rsidR="00082BC5" w:rsidRPr="00834B27" w:rsidRDefault="002F2777" w:rsidP="00B91E74">
      <w:pPr>
        <w:spacing w:line="276" w:lineRule="auto"/>
        <w:jc w:val="both"/>
        <w:rPr>
          <w:rFonts w:ascii="Calibri" w:hAnsi="Calibri" w:cs="Calibri"/>
          <w:i/>
          <w:iCs/>
          <w:lang w:val="ro-RO"/>
        </w:rPr>
      </w:pPr>
      <w:r w:rsidRPr="00834B27">
        <w:rPr>
          <w:rFonts w:ascii="Calibri" w:hAnsi="Calibri" w:cs="Calibri"/>
          <w:i/>
          <w:iCs/>
          <w:kern w:val="0"/>
          <w:lang w:val="ro-RO"/>
          <w14:ligatures w14:val="none"/>
        </w:rPr>
        <w:t>Menționăm, de asemenea, că în perioadele în care a operat scutirea de IV pentru angajații din construcții, agricultură și industria alimentară, cota de CAS pentru aceștia a fost redusă la 21,25%, fiind scutiți de la obligația de plată a cotei de CAS aferente Pilonului II (evident,</w:t>
      </w:r>
      <w:r w:rsidR="00CB3328" w:rsidRPr="00834B27">
        <w:rPr>
          <w:rFonts w:ascii="Calibri" w:hAnsi="Calibri" w:cs="Calibri"/>
          <w:i/>
          <w:iCs/>
          <w:lang w:val="ro-RO"/>
        </w:rPr>
        <w:t xml:space="preserve"> </w:t>
      </w:r>
      <w:r w:rsidR="00927B1F" w:rsidRPr="00834B27">
        <w:rPr>
          <w:rFonts w:ascii="Calibri" w:hAnsi="Calibri" w:cs="Calibri"/>
          <w:i/>
          <w:iCs/>
          <w:lang w:val="ro-RO"/>
        </w:rPr>
        <w:t>fără</w:t>
      </w:r>
      <w:r w:rsidR="00CB3328" w:rsidRPr="00834B27">
        <w:rPr>
          <w:rFonts w:ascii="Calibri" w:hAnsi="Calibri" w:cs="Calibri"/>
          <w:i/>
          <w:iCs/>
          <w:lang w:val="ro-RO"/>
        </w:rPr>
        <w:t xml:space="preserve"> a putea beneficia de aceast</w:t>
      </w:r>
      <w:r w:rsidR="00927B1F" w:rsidRPr="00834B27">
        <w:rPr>
          <w:rFonts w:ascii="Calibri" w:hAnsi="Calibri" w:cs="Calibri"/>
          <w:i/>
          <w:iCs/>
          <w:lang w:val="ro-RO"/>
        </w:rPr>
        <w:t>ă</w:t>
      </w:r>
      <w:r w:rsidR="00CB3328" w:rsidRPr="00834B27">
        <w:rPr>
          <w:rFonts w:ascii="Calibri" w:hAnsi="Calibri" w:cs="Calibri"/>
          <w:i/>
          <w:iCs/>
          <w:lang w:val="ro-RO"/>
        </w:rPr>
        <w:t xml:space="preserve"> component</w:t>
      </w:r>
      <w:r w:rsidR="00927B1F" w:rsidRPr="00834B27">
        <w:rPr>
          <w:rFonts w:ascii="Calibri" w:hAnsi="Calibri" w:cs="Calibri"/>
          <w:i/>
          <w:iCs/>
          <w:lang w:val="ro-RO"/>
        </w:rPr>
        <w:t>ă</w:t>
      </w:r>
      <w:r w:rsidR="00CB3328" w:rsidRPr="00834B27">
        <w:rPr>
          <w:rFonts w:ascii="Calibri" w:hAnsi="Calibri" w:cs="Calibri"/>
          <w:i/>
          <w:iCs/>
          <w:lang w:val="ro-RO"/>
        </w:rPr>
        <w:t xml:space="preserve"> a pensiei, </w:t>
      </w:r>
      <w:r w:rsidR="00927B1F" w:rsidRPr="00834B27">
        <w:rPr>
          <w:rFonts w:ascii="Calibri" w:hAnsi="Calibri" w:cs="Calibri"/>
          <w:i/>
          <w:iCs/>
          <w:lang w:val="ro-RO"/>
        </w:rPr>
        <w:t>neexistând</w:t>
      </w:r>
      <w:r w:rsidR="00CB3328" w:rsidRPr="00834B27">
        <w:rPr>
          <w:rFonts w:ascii="Calibri" w:hAnsi="Calibri" w:cs="Calibri"/>
          <w:i/>
          <w:iCs/>
          <w:lang w:val="ro-RO"/>
        </w:rPr>
        <w:t xml:space="preserve"> </w:t>
      </w:r>
      <w:r w:rsidR="004D091A" w:rsidRPr="00834B27">
        <w:rPr>
          <w:rFonts w:ascii="Calibri" w:hAnsi="Calibri" w:cs="Calibri"/>
          <w:i/>
          <w:iCs/>
          <w:lang w:val="ro-RO"/>
        </w:rPr>
        <w:t>posibilitatea de a opta pentru plata ei).</w:t>
      </w:r>
    </w:p>
    <w:p w14:paraId="7ED2CE96" w14:textId="77777777" w:rsidR="00B36A60" w:rsidRPr="00834B27" w:rsidRDefault="00B36A60" w:rsidP="00B91E74">
      <w:pPr>
        <w:spacing w:line="276" w:lineRule="auto"/>
        <w:jc w:val="both"/>
        <w:rPr>
          <w:rFonts w:ascii="Calibri" w:hAnsi="Calibri" w:cs="Calibri"/>
          <w:lang w:val="ro-RO"/>
        </w:rPr>
      </w:pPr>
    </w:p>
    <w:p w14:paraId="48CD9535" w14:textId="77777777" w:rsidR="009812B1" w:rsidRPr="00834B27" w:rsidRDefault="002C06EF" w:rsidP="00B91E74">
      <w:pPr>
        <w:pStyle w:val="Listparagraf"/>
        <w:numPr>
          <w:ilvl w:val="2"/>
          <w:numId w:val="5"/>
        </w:numPr>
        <w:spacing w:line="276" w:lineRule="auto"/>
        <w:contextualSpacing w:val="0"/>
        <w:jc w:val="both"/>
        <w:rPr>
          <w:rFonts w:ascii="Calibri" w:hAnsi="Calibri" w:cs="Calibri"/>
          <w:b/>
          <w:bCs/>
          <w:i/>
          <w:iCs/>
          <w:lang w:val="ro-RO"/>
        </w:rPr>
      </w:pPr>
      <w:r w:rsidRPr="00834B27">
        <w:rPr>
          <w:rFonts w:ascii="Calibri" w:hAnsi="Calibri" w:cs="Calibri"/>
          <w:b/>
          <w:bCs/>
          <w:lang w:val="ro-RO"/>
        </w:rPr>
        <w:t>CASS</w:t>
      </w:r>
    </w:p>
    <w:p w14:paraId="172D0F59" w14:textId="418C9219" w:rsidR="00E93D0C" w:rsidRPr="00834B27" w:rsidRDefault="00E93D0C" w:rsidP="00B91E74">
      <w:pPr>
        <w:spacing w:line="276" w:lineRule="auto"/>
        <w:jc w:val="both"/>
        <w:rPr>
          <w:rFonts w:ascii="Calibri" w:hAnsi="Calibri" w:cs="Calibri"/>
          <w:b/>
          <w:bCs/>
          <w:i/>
          <w:iCs/>
          <w:lang w:val="ro-RO"/>
        </w:rPr>
      </w:pPr>
      <w:r w:rsidRPr="00834B27">
        <w:rPr>
          <w:rFonts w:ascii="Calibri" w:hAnsi="Calibri" w:cs="Calibri"/>
          <w:b/>
          <w:bCs/>
          <w:u w:val="single"/>
          <w:lang w:val="ro-RO"/>
        </w:rPr>
        <w:t>Cota de CASS:</w:t>
      </w:r>
      <w:r w:rsidRPr="00834B27">
        <w:rPr>
          <w:rFonts w:ascii="Calibri" w:hAnsi="Calibri" w:cs="Calibri"/>
          <w:lang w:val="ro-RO"/>
        </w:rPr>
        <w:t xml:space="preserve"> 10%;</w:t>
      </w:r>
    </w:p>
    <w:p w14:paraId="7BD6765D" w14:textId="0EC3B49C" w:rsidR="00E93D0C" w:rsidRPr="00834B27" w:rsidRDefault="00E93D0C" w:rsidP="00B91E74">
      <w:pPr>
        <w:spacing w:line="276" w:lineRule="auto"/>
        <w:jc w:val="both"/>
        <w:rPr>
          <w:rFonts w:ascii="Calibri" w:hAnsi="Calibri" w:cs="Calibri"/>
          <w:lang w:val="ro-RO"/>
        </w:rPr>
      </w:pPr>
      <w:r w:rsidRPr="00834B27">
        <w:rPr>
          <w:rFonts w:ascii="Calibri" w:hAnsi="Calibri" w:cs="Calibri"/>
          <w:b/>
          <w:bCs/>
          <w:u w:val="single"/>
          <w:lang w:val="ro-RO"/>
        </w:rPr>
        <w:lastRenderedPageBreak/>
        <w:t>Baza de calcul:</w:t>
      </w:r>
      <w:r w:rsidRPr="00834B27">
        <w:rPr>
          <w:rFonts w:ascii="Calibri" w:hAnsi="Calibri" w:cs="Calibri"/>
          <w:lang w:val="ro-RO"/>
        </w:rPr>
        <w:t xml:space="preserve"> venitul brut.</w:t>
      </w:r>
    </w:p>
    <w:p w14:paraId="68B8D0AF" w14:textId="5F960109" w:rsidR="00EA40B7" w:rsidRPr="00834B27" w:rsidRDefault="00862D61" w:rsidP="00B91E74">
      <w:pPr>
        <w:spacing w:line="276" w:lineRule="auto"/>
        <w:jc w:val="both"/>
        <w:rPr>
          <w:rFonts w:ascii="Calibri" w:hAnsi="Calibri" w:cs="Calibri"/>
          <w:lang w:val="ro-RO"/>
        </w:rPr>
      </w:pPr>
      <w:r w:rsidRPr="00834B27">
        <w:rPr>
          <w:rFonts w:ascii="Calibri" w:hAnsi="Calibri" w:cs="Calibri"/>
          <w:b/>
          <w:bCs/>
          <w:u w:val="single"/>
          <w:lang w:val="ro-RO"/>
        </w:rPr>
        <w:t>Plata:</w:t>
      </w:r>
      <w:r w:rsidRPr="00834B27">
        <w:rPr>
          <w:rFonts w:ascii="Calibri" w:hAnsi="Calibri" w:cs="Calibri"/>
          <w:lang w:val="ro-RO"/>
        </w:rPr>
        <w:t xml:space="preserve"> </w:t>
      </w:r>
      <w:r w:rsidR="00EA40B7" w:rsidRPr="00834B27">
        <w:rPr>
          <w:rFonts w:ascii="Calibri" w:hAnsi="Calibri" w:cs="Calibri"/>
          <w:lang w:val="ro-RO"/>
        </w:rPr>
        <w:t>CASS se re</w:t>
      </w:r>
      <w:r w:rsidR="00D77C4B" w:rsidRPr="00834B27">
        <w:rPr>
          <w:rFonts w:ascii="Calibri" w:hAnsi="Calibri" w:cs="Calibri"/>
          <w:lang w:val="ro-RO"/>
        </w:rPr>
        <w:t>ț</w:t>
      </w:r>
      <w:r w:rsidR="00EA40B7" w:rsidRPr="00834B27">
        <w:rPr>
          <w:rFonts w:ascii="Calibri" w:hAnsi="Calibri" w:cs="Calibri"/>
          <w:lang w:val="ro-RO"/>
        </w:rPr>
        <w:t xml:space="preserve">ine lunar de </w:t>
      </w:r>
      <w:r w:rsidR="00927B1F" w:rsidRPr="00834B27">
        <w:rPr>
          <w:rFonts w:ascii="Calibri" w:hAnsi="Calibri" w:cs="Calibri"/>
          <w:lang w:val="ro-RO"/>
        </w:rPr>
        <w:t>către</w:t>
      </w:r>
      <w:r w:rsidR="00EA40B7" w:rsidRPr="00834B27">
        <w:rPr>
          <w:rFonts w:ascii="Calibri" w:hAnsi="Calibri" w:cs="Calibri"/>
          <w:lang w:val="ro-RO"/>
        </w:rPr>
        <w:t xml:space="preserve"> angajator </w:t>
      </w:r>
      <w:r w:rsidR="00927B1F" w:rsidRPr="00834B27">
        <w:rPr>
          <w:rFonts w:ascii="Calibri" w:hAnsi="Calibri" w:cs="Calibri"/>
          <w:lang w:val="ro-RO"/>
        </w:rPr>
        <w:t>ș</w:t>
      </w:r>
      <w:r w:rsidR="00EA40B7" w:rsidRPr="00834B27">
        <w:rPr>
          <w:rFonts w:ascii="Calibri" w:hAnsi="Calibri" w:cs="Calibri"/>
          <w:lang w:val="ro-RO"/>
        </w:rPr>
        <w:t xml:space="preserve">i se </w:t>
      </w:r>
      <w:r w:rsidR="00927B1F" w:rsidRPr="00834B27">
        <w:rPr>
          <w:rFonts w:ascii="Calibri" w:hAnsi="Calibri" w:cs="Calibri"/>
          <w:lang w:val="ro-RO"/>
        </w:rPr>
        <w:t>virează</w:t>
      </w:r>
      <w:r w:rsidR="00EA40B7" w:rsidRPr="00834B27">
        <w:rPr>
          <w:rFonts w:ascii="Calibri" w:hAnsi="Calibri" w:cs="Calibri"/>
          <w:lang w:val="ro-RO"/>
        </w:rPr>
        <w:t xml:space="preserve"> la buget p</w:t>
      </w:r>
      <w:r w:rsidR="00927B1F" w:rsidRPr="00834B27">
        <w:rPr>
          <w:rFonts w:ascii="Calibri" w:hAnsi="Calibri" w:cs="Calibri"/>
          <w:lang w:val="ro-RO"/>
        </w:rPr>
        <w:t>â</w:t>
      </w:r>
      <w:r w:rsidR="00EA40B7" w:rsidRPr="00834B27">
        <w:rPr>
          <w:rFonts w:ascii="Calibri" w:hAnsi="Calibri" w:cs="Calibri"/>
          <w:lang w:val="ro-RO"/>
        </w:rPr>
        <w:t>n</w:t>
      </w:r>
      <w:r w:rsidR="00927B1F" w:rsidRPr="00834B27">
        <w:rPr>
          <w:rFonts w:ascii="Calibri" w:hAnsi="Calibri" w:cs="Calibri"/>
          <w:lang w:val="ro-RO"/>
        </w:rPr>
        <w:t>ă</w:t>
      </w:r>
      <w:r w:rsidR="00EA40B7" w:rsidRPr="00834B27">
        <w:rPr>
          <w:rFonts w:ascii="Calibri" w:hAnsi="Calibri" w:cs="Calibri"/>
          <w:lang w:val="ro-RO"/>
        </w:rPr>
        <w:t xml:space="preserve"> pe data </w:t>
      </w:r>
      <w:r w:rsidR="005D051A" w:rsidRPr="00834B27">
        <w:rPr>
          <w:rFonts w:ascii="Calibri" w:hAnsi="Calibri" w:cs="Calibri"/>
          <w:lang w:val="ro-RO"/>
        </w:rPr>
        <w:t xml:space="preserve">de </w:t>
      </w:r>
      <w:r w:rsidR="00EA40B7" w:rsidRPr="00834B27">
        <w:rPr>
          <w:rFonts w:ascii="Calibri" w:hAnsi="Calibri" w:cs="Calibri"/>
          <w:lang w:val="ro-RO"/>
        </w:rPr>
        <w:t xml:space="preserve">25 a lunii </w:t>
      </w:r>
      <w:r w:rsidR="00927B1F" w:rsidRPr="00834B27">
        <w:rPr>
          <w:rFonts w:ascii="Calibri" w:hAnsi="Calibri" w:cs="Calibri"/>
          <w:lang w:val="ro-RO"/>
        </w:rPr>
        <w:t>următoare</w:t>
      </w:r>
      <w:r w:rsidR="00EA40B7" w:rsidRPr="00834B27">
        <w:rPr>
          <w:rFonts w:ascii="Calibri" w:hAnsi="Calibri" w:cs="Calibri"/>
          <w:lang w:val="ro-RO"/>
        </w:rPr>
        <w:t xml:space="preserve">, </w:t>
      </w:r>
      <w:r w:rsidR="00927B1F" w:rsidRPr="00834B27">
        <w:rPr>
          <w:rFonts w:ascii="Calibri" w:hAnsi="Calibri" w:cs="Calibri"/>
          <w:lang w:val="ro-RO"/>
        </w:rPr>
        <w:t>împreună</w:t>
      </w:r>
      <w:r w:rsidR="00EA40B7" w:rsidRPr="00834B27">
        <w:rPr>
          <w:rFonts w:ascii="Calibri" w:hAnsi="Calibri" w:cs="Calibri"/>
          <w:lang w:val="ro-RO"/>
        </w:rPr>
        <w:t xml:space="preserve"> cu CAS </w:t>
      </w:r>
      <w:r w:rsidR="00927B1F" w:rsidRPr="00834B27">
        <w:rPr>
          <w:rFonts w:ascii="Calibri" w:hAnsi="Calibri" w:cs="Calibri"/>
          <w:lang w:val="ro-RO"/>
        </w:rPr>
        <w:t>ș</w:t>
      </w:r>
      <w:r w:rsidR="00EA40B7" w:rsidRPr="00834B27">
        <w:rPr>
          <w:rFonts w:ascii="Calibri" w:hAnsi="Calibri" w:cs="Calibri"/>
          <w:lang w:val="ro-RO"/>
        </w:rPr>
        <w:t xml:space="preserve">i impozitul pe venit. Angajatorii au </w:t>
      </w:r>
      <w:r w:rsidR="00927B1F" w:rsidRPr="00834B27">
        <w:rPr>
          <w:rFonts w:ascii="Calibri" w:hAnsi="Calibri" w:cs="Calibri"/>
          <w:lang w:val="ro-RO"/>
        </w:rPr>
        <w:t>obliga</w:t>
      </w:r>
      <w:r w:rsidR="00D77C4B" w:rsidRPr="00834B27">
        <w:rPr>
          <w:rFonts w:ascii="Calibri" w:hAnsi="Calibri" w:cs="Calibri"/>
          <w:lang w:val="ro-RO"/>
        </w:rPr>
        <w:t>ț</w:t>
      </w:r>
      <w:r w:rsidR="00927B1F" w:rsidRPr="00834B27">
        <w:rPr>
          <w:rFonts w:ascii="Calibri" w:hAnsi="Calibri" w:cs="Calibri"/>
          <w:lang w:val="ro-RO"/>
        </w:rPr>
        <w:t>ia</w:t>
      </w:r>
      <w:r w:rsidR="00EA40B7" w:rsidRPr="00834B27">
        <w:rPr>
          <w:rFonts w:ascii="Calibri" w:hAnsi="Calibri" w:cs="Calibri"/>
          <w:lang w:val="ro-RO"/>
        </w:rPr>
        <w:t xml:space="preserve"> s</w:t>
      </w:r>
      <w:r w:rsidR="00927B1F" w:rsidRPr="00834B27">
        <w:rPr>
          <w:rFonts w:ascii="Calibri" w:hAnsi="Calibri" w:cs="Calibri"/>
          <w:lang w:val="ro-RO"/>
        </w:rPr>
        <w:t>ă</w:t>
      </w:r>
      <w:r w:rsidR="00EA40B7" w:rsidRPr="00834B27">
        <w:rPr>
          <w:rFonts w:ascii="Calibri" w:hAnsi="Calibri" w:cs="Calibri"/>
          <w:lang w:val="ro-RO"/>
        </w:rPr>
        <w:t xml:space="preserve"> </w:t>
      </w:r>
      <w:r w:rsidR="00927B1F" w:rsidRPr="00834B27">
        <w:rPr>
          <w:rFonts w:ascii="Calibri" w:hAnsi="Calibri" w:cs="Calibri"/>
          <w:lang w:val="ro-RO"/>
        </w:rPr>
        <w:t>depună</w:t>
      </w:r>
      <w:r w:rsidR="00EA40B7" w:rsidRPr="00834B27">
        <w:rPr>
          <w:rFonts w:ascii="Calibri" w:hAnsi="Calibri" w:cs="Calibri"/>
          <w:lang w:val="ro-RO"/>
        </w:rPr>
        <w:t xml:space="preserve"> D112</w:t>
      </w:r>
      <w:r w:rsidR="00DE554D" w:rsidRPr="00834B27">
        <w:rPr>
          <w:rFonts w:ascii="Calibri" w:hAnsi="Calibri" w:cs="Calibri"/>
          <w:lang w:val="ro-RO"/>
        </w:rPr>
        <w:t xml:space="preserve"> lunar sau trim</w:t>
      </w:r>
      <w:r w:rsidR="00014ACC" w:rsidRPr="00834B27">
        <w:rPr>
          <w:rFonts w:ascii="Calibri" w:hAnsi="Calibri" w:cs="Calibri"/>
          <w:lang w:val="ro-RO"/>
        </w:rPr>
        <w:t>e</w:t>
      </w:r>
      <w:r w:rsidR="00DE554D" w:rsidRPr="00834B27">
        <w:rPr>
          <w:rFonts w:ascii="Calibri" w:hAnsi="Calibri" w:cs="Calibri"/>
          <w:lang w:val="ro-RO"/>
        </w:rPr>
        <w:t>strial</w:t>
      </w:r>
      <w:r w:rsidR="00EA40B7" w:rsidRPr="00834B27">
        <w:rPr>
          <w:rFonts w:ascii="Calibri" w:hAnsi="Calibri" w:cs="Calibri"/>
          <w:lang w:val="ro-RO"/>
        </w:rPr>
        <w:t>.</w:t>
      </w:r>
    </w:p>
    <w:p w14:paraId="7AB9195C" w14:textId="77777777" w:rsidR="00E93D0C" w:rsidRPr="00834B27" w:rsidRDefault="00E93D0C" w:rsidP="00B91E74">
      <w:pPr>
        <w:spacing w:line="276" w:lineRule="auto"/>
        <w:jc w:val="both"/>
        <w:rPr>
          <w:rFonts w:ascii="Calibri" w:hAnsi="Calibri" w:cs="Calibri"/>
          <w:lang w:val="ro-RO"/>
        </w:rPr>
      </w:pPr>
    </w:p>
    <w:p w14:paraId="35A7D3FE" w14:textId="4C182CF2" w:rsidR="00862D61" w:rsidRPr="00834B27" w:rsidRDefault="00862D61" w:rsidP="00B91E74">
      <w:pPr>
        <w:spacing w:line="276" w:lineRule="auto"/>
        <w:jc w:val="both"/>
        <w:rPr>
          <w:rFonts w:ascii="Calibri" w:hAnsi="Calibri" w:cs="Calibri"/>
          <w:b/>
          <w:bCs/>
          <w:i/>
          <w:iCs/>
          <w:lang w:val="ro-RO"/>
        </w:rPr>
      </w:pPr>
      <w:r w:rsidRPr="00834B27">
        <w:rPr>
          <w:rFonts w:ascii="Calibri" w:hAnsi="Calibri" w:cs="Calibri"/>
          <w:b/>
          <w:bCs/>
          <w:i/>
          <w:iCs/>
          <w:lang w:val="ro-RO"/>
        </w:rPr>
        <w:t>Scurt istoric</w:t>
      </w:r>
    </w:p>
    <w:p w14:paraId="5A71C190" w14:textId="6F07389E" w:rsidR="00556FFD" w:rsidRPr="00834B27" w:rsidRDefault="00556FFD" w:rsidP="00B91E74">
      <w:pPr>
        <w:spacing w:line="276" w:lineRule="auto"/>
        <w:jc w:val="both"/>
        <w:rPr>
          <w:rFonts w:ascii="Calibri" w:hAnsi="Calibri" w:cs="Calibri"/>
          <w:i/>
          <w:iCs/>
          <w:lang w:val="ro-RO"/>
        </w:rPr>
      </w:pPr>
      <w:r w:rsidRPr="00834B27">
        <w:rPr>
          <w:rFonts w:ascii="Calibri" w:hAnsi="Calibri" w:cs="Calibri"/>
          <w:i/>
          <w:iCs/>
          <w:lang w:val="ro-RO"/>
        </w:rPr>
        <w:t>P</w:t>
      </w:r>
      <w:r w:rsidR="00B36A60" w:rsidRPr="00834B27">
        <w:rPr>
          <w:rFonts w:ascii="Calibri" w:hAnsi="Calibri" w:cs="Calibri"/>
          <w:i/>
          <w:iCs/>
          <w:lang w:val="ro-RO"/>
        </w:rPr>
        <w:t>â</w:t>
      </w:r>
      <w:r w:rsidRPr="00834B27">
        <w:rPr>
          <w:rFonts w:ascii="Calibri" w:hAnsi="Calibri" w:cs="Calibri"/>
          <w:i/>
          <w:iCs/>
          <w:lang w:val="ro-RO"/>
        </w:rPr>
        <w:t>n</w:t>
      </w:r>
      <w:r w:rsidR="00B36A60" w:rsidRPr="00834B27">
        <w:rPr>
          <w:rFonts w:ascii="Calibri" w:hAnsi="Calibri" w:cs="Calibri"/>
          <w:i/>
          <w:iCs/>
          <w:lang w:val="ro-RO"/>
        </w:rPr>
        <w:t>ă</w:t>
      </w:r>
      <w:r w:rsidRPr="00834B27">
        <w:rPr>
          <w:rFonts w:ascii="Calibri" w:hAnsi="Calibri" w:cs="Calibri"/>
          <w:i/>
          <w:iCs/>
          <w:lang w:val="ro-RO"/>
        </w:rPr>
        <w:t xml:space="preserve"> </w:t>
      </w:r>
      <w:r w:rsidR="00B36A60" w:rsidRPr="00834B27">
        <w:rPr>
          <w:rFonts w:ascii="Calibri" w:hAnsi="Calibri" w:cs="Calibri"/>
          <w:i/>
          <w:iCs/>
          <w:lang w:val="ro-RO"/>
        </w:rPr>
        <w:t>î</w:t>
      </w:r>
      <w:r w:rsidRPr="00834B27">
        <w:rPr>
          <w:rFonts w:ascii="Calibri" w:hAnsi="Calibri" w:cs="Calibri"/>
          <w:i/>
          <w:iCs/>
          <w:lang w:val="ro-RO"/>
        </w:rPr>
        <w:t>n anul 2017 inclusiv, cot</w:t>
      </w:r>
      <w:r w:rsidR="00EF526E" w:rsidRPr="00834B27">
        <w:rPr>
          <w:rFonts w:ascii="Calibri" w:hAnsi="Calibri" w:cs="Calibri"/>
          <w:i/>
          <w:iCs/>
          <w:lang w:val="ro-RO"/>
        </w:rPr>
        <w:t>a</w:t>
      </w:r>
      <w:r w:rsidRPr="00834B27">
        <w:rPr>
          <w:rFonts w:ascii="Calibri" w:hAnsi="Calibri" w:cs="Calibri"/>
          <w:i/>
          <w:iCs/>
          <w:lang w:val="ro-RO"/>
        </w:rPr>
        <w:t xml:space="preserve"> de CAS</w:t>
      </w:r>
      <w:r w:rsidR="00EF526E" w:rsidRPr="00834B27">
        <w:rPr>
          <w:rFonts w:ascii="Calibri" w:hAnsi="Calibri" w:cs="Calibri"/>
          <w:i/>
          <w:iCs/>
          <w:lang w:val="ro-RO"/>
        </w:rPr>
        <w:t xml:space="preserve">S </w:t>
      </w:r>
      <w:r w:rsidRPr="00834B27">
        <w:rPr>
          <w:rFonts w:ascii="Calibri" w:hAnsi="Calibri" w:cs="Calibri"/>
          <w:i/>
          <w:iCs/>
          <w:lang w:val="ro-RO"/>
        </w:rPr>
        <w:t>er</w:t>
      </w:r>
      <w:r w:rsidR="00EF526E" w:rsidRPr="00834B27">
        <w:rPr>
          <w:rFonts w:ascii="Calibri" w:hAnsi="Calibri" w:cs="Calibri"/>
          <w:i/>
          <w:iCs/>
          <w:lang w:val="ro-RO"/>
        </w:rPr>
        <w:t xml:space="preserve">a de 10,7%, </w:t>
      </w:r>
      <w:r w:rsidRPr="00834B27">
        <w:rPr>
          <w:rFonts w:ascii="Calibri" w:hAnsi="Calibri" w:cs="Calibri"/>
          <w:i/>
          <w:iCs/>
          <w:lang w:val="ro-RO"/>
        </w:rPr>
        <w:t xml:space="preserve">din care </w:t>
      </w:r>
      <w:r w:rsidR="00EF526E" w:rsidRPr="00834B27">
        <w:rPr>
          <w:rFonts w:ascii="Calibri" w:hAnsi="Calibri" w:cs="Calibri"/>
          <w:i/>
          <w:iCs/>
          <w:lang w:val="ro-RO"/>
        </w:rPr>
        <w:t>5</w:t>
      </w:r>
      <w:r w:rsidRPr="00834B27">
        <w:rPr>
          <w:rFonts w:ascii="Calibri" w:hAnsi="Calibri" w:cs="Calibri"/>
          <w:i/>
          <w:iCs/>
          <w:lang w:val="ro-RO"/>
        </w:rPr>
        <w:t xml:space="preserve">,5% pentru </w:t>
      </w:r>
      <w:r w:rsidR="00B36A60" w:rsidRPr="00834B27">
        <w:rPr>
          <w:rFonts w:ascii="Calibri" w:hAnsi="Calibri" w:cs="Calibri"/>
          <w:i/>
          <w:iCs/>
          <w:lang w:val="ro-RO"/>
        </w:rPr>
        <w:t>contribu</w:t>
      </w:r>
      <w:r w:rsidR="00D77C4B" w:rsidRPr="00834B27">
        <w:rPr>
          <w:rFonts w:ascii="Calibri" w:hAnsi="Calibri" w:cs="Calibri"/>
          <w:i/>
          <w:iCs/>
          <w:lang w:val="ro-RO"/>
        </w:rPr>
        <w:t>ț</w:t>
      </w:r>
      <w:r w:rsidR="00B36A60" w:rsidRPr="00834B27">
        <w:rPr>
          <w:rFonts w:ascii="Calibri" w:hAnsi="Calibri" w:cs="Calibri"/>
          <w:i/>
          <w:iCs/>
          <w:lang w:val="ro-RO"/>
        </w:rPr>
        <w:t>ia</w:t>
      </w:r>
      <w:r w:rsidRPr="00834B27">
        <w:rPr>
          <w:rFonts w:ascii="Calibri" w:hAnsi="Calibri" w:cs="Calibri"/>
          <w:i/>
          <w:iCs/>
          <w:lang w:val="ro-RO"/>
        </w:rPr>
        <w:t xml:space="preserve"> individuală </w:t>
      </w:r>
      <w:r w:rsidR="009019B7" w:rsidRPr="00834B27">
        <w:rPr>
          <w:rFonts w:ascii="Calibri" w:hAnsi="Calibri" w:cs="Calibri"/>
          <w:i/>
          <w:iCs/>
          <w:lang w:val="ro-RO"/>
        </w:rPr>
        <w:t>și</w:t>
      </w:r>
      <w:r w:rsidRPr="00834B27">
        <w:rPr>
          <w:rFonts w:ascii="Calibri" w:hAnsi="Calibri" w:cs="Calibri"/>
          <w:i/>
          <w:iCs/>
          <w:lang w:val="ro-RO"/>
        </w:rPr>
        <w:t xml:space="preserve"> </w:t>
      </w:r>
      <w:r w:rsidR="00EF526E" w:rsidRPr="00834B27">
        <w:rPr>
          <w:rFonts w:ascii="Calibri" w:hAnsi="Calibri" w:cs="Calibri"/>
          <w:i/>
          <w:iCs/>
          <w:lang w:val="ro-RO"/>
        </w:rPr>
        <w:t>5,2</w:t>
      </w:r>
      <w:r w:rsidRPr="00834B27">
        <w:rPr>
          <w:rFonts w:ascii="Calibri" w:hAnsi="Calibri" w:cs="Calibri"/>
          <w:i/>
          <w:iCs/>
          <w:lang w:val="ro-RO"/>
        </w:rPr>
        <w:t xml:space="preserve">% pentru </w:t>
      </w:r>
      <w:r w:rsidR="00B36A60" w:rsidRPr="00834B27">
        <w:rPr>
          <w:rFonts w:ascii="Calibri" w:hAnsi="Calibri" w:cs="Calibri"/>
          <w:i/>
          <w:iCs/>
          <w:lang w:val="ro-RO"/>
        </w:rPr>
        <w:t>contribu</w:t>
      </w:r>
      <w:r w:rsidR="00D77C4B" w:rsidRPr="00834B27">
        <w:rPr>
          <w:rFonts w:ascii="Calibri" w:hAnsi="Calibri" w:cs="Calibri"/>
          <w:i/>
          <w:iCs/>
          <w:lang w:val="ro-RO"/>
        </w:rPr>
        <w:t>ț</w:t>
      </w:r>
      <w:r w:rsidR="00B36A60" w:rsidRPr="00834B27">
        <w:rPr>
          <w:rFonts w:ascii="Calibri" w:hAnsi="Calibri" w:cs="Calibri"/>
          <w:i/>
          <w:iCs/>
          <w:lang w:val="ro-RO"/>
        </w:rPr>
        <w:t>ia</w:t>
      </w:r>
      <w:r w:rsidRPr="00834B27">
        <w:rPr>
          <w:rFonts w:ascii="Calibri" w:hAnsi="Calibri" w:cs="Calibri"/>
          <w:i/>
          <w:iCs/>
          <w:lang w:val="ro-RO"/>
        </w:rPr>
        <w:t xml:space="preserve"> datorată de angajator;  </w:t>
      </w:r>
    </w:p>
    <w:p w14:paraId="4CF014D7" w14:textId="36CD8B8C" w:rsidR="00556FFD" w:rsidRPr="00834B27" w:rsidRDefault="00556FFD" w:rsidP="00B91E74">
      <w:pPr>
        <w:spacing w:line="276" w:lineRule="auto"/>
        <w:jc w:val="both"/>
        <w:rPr>
          <w:rFonts w:ascii="Calibri" w:hAnsi="Calibri" w:cs="Calibri"/>
          <w:i/>
          <w:iCs/>
          <w:lang w:val="ro-RO"/>
        </w:rPr>
      </w:pPr>
      <w:r w:rsidRPr="00834B27">
        <w:rPr>
          <w:rFonts w:ascii="Calibri" w:hAnsi="Calibri" w:cs="Calibri"/>
          <w:i/>
          <w:iCs/>
          <w:lang w:val="ro-RO"/>
        </w:rPr>
        <w:t xml:space="preserve">De remarcat </w:t>
      </w:r>
      <w:r w:rsidR="00B36A60" w:rsidRPr="00834B27">
        <w:rPr>
          <w:rFonts w:ascii="Calibri" w:hAnsi="Calibri" w:cs="Calibri"/>
          <w:i/>
          <w:iCs/>
          <w:lang w:val="ro-RO"/>
        </w:rPr>
        <w:t>ș</w:t>
      </w:r>
      <w:r w:rsidR="00EF526E" w:rsidRPr="00834B27">
        <w:rPr>
          <w:rFonts w:ascii="Calibri" w:hAnsi="Calibri" w:cs="Calibri"/>
          <w:i/>
          <w:iCs/>
          <w:lang w:val="ro-RO"/>
        </w:rPr>
        <w:t xml:space="preserve">i aici </w:t>
      </w:r>
      <w:r w:rsidRPr="00834B27">
        <w:rPr>
          <w:rFonts w:ascii="Calibri" w:hAnsi="Calibri" w:cs="Calibri"/>
          <w:i/>
          <w:iCs/>
          <w:lang w:val="ro-RO"/>
        </w:rPr>
        <w:t>c</w:t>
      </w:r>
      <w:r w:rsidR="00B36A60" w:rsidRPr="00834B27">
        <w:rPr>
          <w:rFonts w:ascii="Calibri" w:hAnsi="Calibri" w:cs="Calibri"/>
          <w:i/>
          <w:iCs/>
          <w:lang w:val="ro-RO"/>
        </w:rPr>
        <w:t>ă</w:t>
      </w:r>
      <w:r w:rsidRPr="00834B27">
        <w:rPr>
          <w:rFonts w:ascii="Calibri" w:hAnsi="Calibri" w:cs="Calibri"/>
          <w:i/>
          <w:iCs/>
          <w:lang w:val="ro-RO"/>
        </w:rPr>
        <w:t xml:space="preserve"> nu am avut o </w:t>
      </w:r>
      <w:r w:rsidR="00B36A60" w:rsidRPr="00834B27">
        <w:rPr>
          <w:rFonts w:ascii="Calibri" w:hAnsi="Calibri" w:cs="Calibri"/>
          <w:i/>
          <w:iCs/>
          <w:lang w:val="ro-RO"/>
        </w:rPr>
        <w:t>scădere</w:t>
      </w:r>
      <w:r w:rsidRPr="00834B27">
        <w:rPr>
          <w:rFonts w:ascii="Calibri" w:hAnsi="Calibri" w:cs="Calibri"/>
          <w:i/>
          <w:iCs/>
          <w:lang w:val="ro-RO"/>
        </w:rPr>
        <w:t xml:space="preserve"> a cotelor de CAS</w:t>
      </w:r>
      <w:r w:rsidR="00EF526E" w:rsidRPr="00834B27">
        <w:rPr>
          <w:rFonts w:ascii="Calibri" w:hAnsi="Calibri" w:cs="Calibri"/>
          <w:i/>
          <w:iCs/>
          <w:lang w:val="ro-RO"/>
        </w:rPr>
        <w:t>S</w:t>
      </w:r>
      <w:r w:rsidRPr="00834B27">
        <w:rPr>
          <w:rFonts w:ascii="Calibri" w:hAnsi="Calibri" w:cs="Calibri"/>
          <w:i/>
          <w:iCs/>
          <w:lang w:val="ro-RO"/>
        </w:rPr>
        <w:t xml:space="preserve">, </w:t>
      </w:r>
      <w:r w:rsidR="00B36A60" w:rsidRPr="00834B27">
        <w:rPr>
          <w:rFonts w:ascii="Calibri" w:hAnsi="Calibri" w:cs="Calibri"/>
          <w:i/>
          <w:iCs/>
          <w:lang w:val="ro-RO"/>
        </w:rPr>
        <w:t>dimpotrivă</w:t>
      </w:r>
      <w:r w:rsidRPr="00834B27">
        <w:rPr>
          <w:rFonts w:ascii="Calibri" w:hAnsi="Calibri" w:cs="Calibri"/>
          <w:i/>
          <w:iCs/>
          <w:lang w:val="ro-RO"/>
        </w:rPr>
        <w:t xml:space="preserve">. </w:t>
      </w:r>
      <w:r w:rsidR="0035196D" w:rsidRPr="00834B27">
        <w:rPr>
          <w:rFonts w:ascii="Calibri" w:hAnsi="Calibri" w:cs="Calibri"/>
          <w:i/>
          <w:iCs/>
          <w:lang w:val="ro-RO"/>
        </w:rPr>
        <w:t>Pentru a asigura neutralitatea</w:t>
      </w:r>
      <w:r w:rsidR="00D518D0" w:rsidRPr="00834B27">
        <w:rPr>
          <w:rFonts w:ascii="Calibri" w:hAnsi="Calibri" w:cs="Calibri"/>
          <w:i/>
          <w:iCs/>
          <w:lang w:val="ro-RO"/>
        </w:rPr>
        <w:t xml:space="preserve"> </w:t>
      </w:r>
      <w:r w:rsidR="00B36A60" w:rsidRPr="00834B27">
        <w:rPr>
          <w:rFonts w:ascii="Calibri" w:hAnsi="Calibri" w:cs="Calibri"/>
          <w:i/>
          <w:iCs/>
          <w:lang w:val="ro-RO"/>
        </w:rPr>
        <w:t>î</w:t>
      </w:r>
      <w:r w:rsidR="00D518D0" w:rsidRPr="00834B27">
        <w:rPr>
          <w:rFonts w:ascii="Calibri" w:hAnsi="Calibri" w:cs="Calibri"/>
          <w:i/>
          <w:iCs/>
          <w:lang w:val="ro-RO"/>
        </w:rPr>
        <w:t xml:space="preserve">n contextul </w:t>
      </w:r>
      <w:r w:rsidR="00B36A60" w:rsidRPr="00834B27">
        <w:rPr>
          <w:rFonts w:ascii="Calibri" w:hAnsi="Calibri" w:cs="Calibri"/>
          <w:i/>
          <w:iCs/>
          <w:lang w:val="ro-RO"/>
        </w:rPr>
        <w:t>mutării</w:t>
      </w:r>
      <w:r w:rsidR="00D518D0" w:rsidRPr="00834B27">
        <w:rPr>
          <w:rFonts w:ascii="Calibri" w:hAnsi="Calibri" w:cs="Calibri"/>
          <w:i/>
          <w:iCs/>
          <w:lang w:val="ro-RO"/>
        </w:rPr>
        <w:t xml:space="preserve"> CAS </w:t>
      </w:r>
      <w:r w:rsidR="00B36A60" w:rsidRPr="00834B27">
        <w:rPr>
          <w:rFonts w:ascii="Calibri" w:hAnsi="Calibri" w:cs="Calibri"/>
          <w:i/>
          <w:iCs/>
          <w:lang w:val="ro-RO"/>
        </w:rPr>
        <w:t>ș</w:t>
      </w:r>
      <w:r w:rsidR="00D518D0" w:rsidRPr="00834B27">
        <w:rPr>
          <w:rFonts w:ascii="Calibri" w:hAnsi="Calibri" w:cs="Calibri"/>
          <w:i/>
          <w:iCs/>
          <w:lang w:val="ro-RO"/>
        </w:rPr>
        <w:t xml:space="preserve">i CASS de la </w:t>
      </w:r>
      <w:r w:rsidRPr="00834B27">
        <w:rPr>
          <w:rFonts w:ascii="Calibri" w:hAnsi="Calibri" w:cs="Calibri"/>
          <w:i/>
          <w:iCs/>
          <w:lang w:val="ro-RO"/>
        </w:rPr>
        <w:t>angajator la angajat</w:t>
      </w:r>
      <w:r w:rsidR="00D518D0" w:rsidRPr="00834B27">
        <w:rPr>
          <w:rFonts w:ascii="Calibri" w:hAnsi="Calibri" w:cs="Calibri"/>
          <w:i/>
          <w:iCs/>
          <w:lang w:val="ro-RO"/>
        </w:rPr>
        <w:t>, cota de CASS ar fi trebuit s</w:t>
      </w:r>
      <w:r w:rsidR="00B36A60" w:rsidRPr="00834B27">
        <w:rPr>
          <w:rFonts w:ascii="Calibri" w:hAnsi="Calibri" w:cs="Calibri"/>
          <w:i/>
          <w:iCs/>
          <w:lang w:val="ro-RO"/>
        </w:rPr>
        <w:t>ă</w:t>
      </w:r>
      <w:r w:rsidR="00D518D0" w:rsidRPr="00834B27">
        <w:rPr>
          <w:rFonts w:ascii="Calibri" w:hAnsi="Calibri" w:cs="Calibri"/>
          <w:i/>
          <w:iCs/>
          <w:lang w:val="ro-RO"/>
        </w:rPr>
        <w:t xml:space="preserve"> fie </w:t>
      </w:r>
      <w:r w:rsidR="00C77555" w:rsidRPr="00834B27">
        <w:rPr>
          <w:rFonts w:ascii="Calibri" w:hAnsi="Calibri" w:cs="Calibri"/>
          <w:i/>
          <w:iCs/>
          <w:lang w:val="ro-RO"/>
        </w:rPr>
        <w:t>egal</w:t>
      </w:r>
      <w:r w:rsidR="00B36A60" w:rsidRPr="00834B27">
        <w:rPr>
          <w:rFonts w:ascii="Calibri" w:hAnsi="Calibri" w:cs="Calibri"/>
          <w:i/>
          <w:iCs/>
          <w:lang w:val="ro-RO"/>
        </w:rPr>
        <w:t>ă</w:t>
      </w:r>
      <w:r w:rsidR="00C77555" w:rsidRPr="00834B27">
        <w:rPr>
          <w:rFonts w:ascii="Calibri" w:hAnsi="Calibri" w:cs="Calibri"/>
          <w:i/>
          <w:iCs/>
          <w:lang w:val="ro-RO"/>
        </w:rPr>
        <w:t xml:space="preserve"> cu 8,9%, deci stabilirea c</w:t>
      </w:r>
      <w:r w:rsidR="00596A24" w:rsidRPr="00834B27">
        <w:rPr>
          <w:rFonts w:ascii="Calibri" w:hAnsi="Calibri" w:cs="Calibri"/>
          <w:i/>
          <w:iCs/>
          <w:lang w:val="ro-RO"/>
        </w:rPr>
        <w:t>otei la 10% a reprezentat o majorare a CASS</w:t>
      </w:r>
      <w:r w:rsidR="00C77555" w:rsidRPr="00834B27">
        <w:rPr>
          <w:rFonts w:ascii="Calibri" w:hAnsi="Calibri" w:cs="Calibri"/>
          <w:i/>
          <w:iCs/>
          <w:lang w:val="ro-RO"/>
        </w:rPr>
        <w:t xml:space="preserve">. </w:t>
      </w:r>
      <w:r w:rsidRPr="00834B27">
        <w:rPr>
          <w:rFonts w:ascii="Calibri" w:hAnsi="Calibri" w:cs="Calibri"/>
          <w:i/>
          <w:iCs/>
          <w:lang w:val="ro-RO"/>
        </w:rPr>
        <w:t xml:space="preserve"> </w:t>
      </w:r>
      <w:r w:rsidR="00596A24" w:rsidRPr="00834B27">
        <w:rPr>
          <w:rFonts w:ascii="Calibri" w:hAnsi="Calibri" w:cs="Calibri"/>
          <w:i/>
          <w:iCs/>
          <w:lang w:val="ro-RO"/>
        </w:rPr>
        <w:t xml:space="preserve">Cum </w:t>
      </w:r>
      <w:r w:rsidR="005537B4" w:rsidRPr="00834B27">
        <w:rPr>
          <w:rFonts w:ascii="Calibri" w:hAnsi="Calibri" w:cs="Calibri"/>
          <w:i/>
          <w:iCs/>
          <w:lang w:val="ro-RO"/>
        </w:rPr>
        <w:t xml:space="preserve">am </w:t>
      </w:r>
      <w:r w:rsidR="00B36A60" w:rsidRPr="00834B27">
        <w:rPr>
          <w:rFonts w:ascii="Calibri" w:hAnsi="Calibri" w:cs="Calibri"/>
          <w:i/>
          <w:iCs/>
          <w:lang w:val="ro-RO"/>
        </w:rPr>
        <w:t>men</w:t>
      </w:r>
      <w:r w:rsidR="00D77C4B" w:rsidRPr="00834B27">
        <w:rPr>
          <w:rFonts w:ascii="Calibri" w:hAnsi="Calibri" w:cs="Calibri"/>
          <w:i/>
          <w:iCs/>
          <w:lang w:val="ro-RO"/>
        </w:rPr>
        <w:t>ț</w:t>
      </w:r>
      <w:r w:rsidR="00B36A60" w:rsidRPr="00834B27">
        <w:rPr>
          <w:rFonts w:ascii="Calibri" w:hAnsi="Calibri" w:cs="Calibri"/>
          <w:i/>
          <w:iCs/>
          <w:lang w:val="ro-RO"/>
        </w:rPr>
        <w:t>ionat</w:t>
      </w:r>
      <w:r w:rsidR="005537B4" w:rsidRPr="00834B27">
        <w:rPr>
          <w:rFonts w:ascii="Calibri" w:hAnsi="Calibri" w:cs="Calibri"/>
          <w:i/>
          <w:iCs/>
          <w:lang w:val="ro-RO"/>
        </w:rPr>
        <w:t xml:space="preserve"> </w:t>
      </w:r>
      <w:r w:rsidR="00B36A60" w:rsidRPr="00834B27">
        <w:rPr>
          <w:rFonts w:ascii="Calibri" w:hAnsi="Calibri" w:cs="Calibri"/>
          <w:i/>
          <w:iCs/>
          <w:lang w:val="ro-RO"/>
        </w:rPr>
        <w:t>însă</w:t>
      </w:r>
      <w:r w:rsidR="005537B4" w:rsidRPr="00834B27">
        <w:rPr>
          <w:rFonts w:ascii="Calibri" w:hAnsi="Calibri" w:cs="Calibri"/>
          <w:i/>
          <w:iCs/>
          <w:lang w:val="ro-RO"/>
        </w:rPr>
        <w:t xml:space="preserve"> anterior, </w:t>
      </w:r>
      <w:r w:rsidR="00285F1A" w:rsidRPr="00834B27">
        <w:rPr>
          <w:rFonts w:ascii="Calibri" w:hAnsi="Calibri" w:cs="Calibri"/>
          <w:i/>
          <w:iCs/>
          <w:lang w:val="ro-RO"/>
        </w:rPr>
        <w:t xml:space="preserve">ca </w:t>
      </w:r>
      <w:r w:rsidRPr="00834B27">
        <w:rPr>
          <w:rFonts w:ascii="Calibri" w:hAnsi="Calibri" w:cs="Calibri"/>
          <w:i/>
          <w:iCs/>
          <w:lang w:val="ro-RO"/>
        </w:rPr>
        <w:t>urmare a reducerii impozitului pe venit de la 16% la 10%</w:t>
      </w:r>
      <w:r w:rsidR="005537B4" w:rsidRPr="00834B27">
        <w:rPr>
          <w:rFonts w:ascii="Calibri" w:hAnsi="Calibri" w:cs="Calibri"/>
          <w:i/>
          <w:iCs/>
          <w:lang w:val="ro-RO"/>
        </w:rPr>
        <w:t xml:space="preserve"> SFT </w:t>
      </w:r>
      <w:r w:rsidR="00BE49C9" w:rsidRPr="00834B27">
        <w:rPr>
          <w:rFonts w:ascii="Calibri" w:hAnsi="Calibri" w:cs="Calibri"/>
          <w:i/>
          <w:iCs/>
          <w:lang w:val="ro-RO"/>
        </w:rPr>
        <w:t xml:space="preserve">pentru salarii nu a crescut, cu </w:t>
      </w:r>
      <w:r w:rsidR="00B36A60" w:rsidRPr="00834B27">
        <w:rPr>
          <w:rFonts w:ascii="Calibri" w:hAnsi="Calibri" w:cs="Calibri"/>
          <w:i/>
          <w:iCs/>
          <w:lang w:val="ro-RO"/>
        </w:rPr>
        <w:t>excep</w:t>
      </w:r>
      <w:r w:rsidR="00D77C4B" w:rsidRPr="00834B27">
        <w:rPr>
          <w:rFonts w:ascii="Calibri" w:hAnsi="Calibri" w:cs="Calibri"/>
          <w:i/>
          <w:iCs/>
          <w:lang w:val="ro-RO"/>
        </w:rPr>
        <w:t>ț</w:t>
      </w:r>
      <w:r w:rsidR="00B36A60" w:rsidRPr="00834B27">
        <w:rPr>
          <w:rFonts w:ascii="Calibri" w:hAnsi="Calibri" w:cs="Calibri"/>
          <w:i/>
          <w:iCs/>
          <w:lang w:val="ro-RO"/>
        </w:rPr>
        <w:t>ia</w:t>
      </w:r>
      <w:r w:rsidR="00BE49C9" w:rsidRPr="00834B27">
        <w:rPr>
          <w:rFonts w:ascii="Calibri" w:hAnsi="Calibri" w:cs="Calibri"/>
          <w:i/>
          <w:iCs/>
          <w:lang w:val="ro-RO"/>
        </w:rPr>
        <w:t xml:space="preserve"> salariilor </w:t>
      </w:r>
      <w:r w:rsidR="00B36A60" w:rsidRPr="00834B27">
        <w:rPr>
          <w:rFonts w:ascii="Calibri" w:hAnsi="Calibri" w:cs="Calibri"/>
          <w:i/>
          <w:iCs/>
          <w:lang w:val="ro-RO"/>
        </w:rPr>
        <w:t>angaja</w:t>
      </w:r>
      <w:r w:rsidR="00D77C4B" w:rsidRPr="00834B27">
        <w:rPr>
          <w:rFonts w:ascii="Calibri" w:hAnsi="Calibri" w:cs="Calibri"/>
          <w:i/>
          <w:iCs/>
          <w:lang w:val="ro-RO"/>
        </w:rPr>
        <w:t>ț</w:t>
      </w:r>
      <w:r w:rsidR="00B36A60" w:rsidRPr="00834B27">
        <w:rPr>
          <w:rFonts w:ascii="Calibri" w:hAnsi="Calibri" w:cs="Calibri"/>
          <w:i/>
          <w:iCs/>
          <w:lang w:val="ro-RO"/>
        </w:rPr>
        <w:t>ilor</w:t>
      </w:r>
      <w:r w:rsidR="000A4D84" w:rsidRPr="00834B27">
        <w:rPr>
          <w:rFonts w:ascii="Calibri" w:hAnsi="Calibri" w:cs="Calibri"/>
          <w:i/>
          <w:iCs/>
          <w:lang w:val="ro-RO"/>
        </w:rPr>
        <w:t xml:space="preserve"> din industria TIC</w:t>
      </w:r>
      <w:r w:rsidR="006306BC" w:rsidRPr="00834B27">
        <w:rPr>
          <w:rFonts w:ascii="Calibri" w:hAnsi="Calibri" w:cs="Calibri"/>
          <w:i/>
          <w:iCs/>
          <w:lang w:val="ro-RO"/>
        </w:rPr>
        <w:t xml:space="preserve"> unde </w:t>
      </w:r>
      <w:r w:rsidR="00B36A60" w:rsidRPr="00834B27">
        <w:rPr>
          <w:rFonts w:ascii="Calibri" w:hAnsi="Calibri" w:cs="Calibri"/>
          <w:i/>
          <w:iCs/>
          <w:lang w:val="ro-RO"/>
        </w:rPr>
        <w:t>creșterile</w:t>
      </w:r>
      <w:r w:rsidR="006306BC" w:rsidRPr="00834B27">
        <w:rPr>
          <w:rFonts w:ascii="Calibri" w:hAnsi="Calibri" w:cs="Calibri"/>
          <w:i/>
          <w:iCs/>
          <w:lang w:val="ro-RO"/>
        </w:rPr>
        <w:t xml:space="preserve"> de cote la CAS </w:t>
      </w:r>
      <w:r w:rsidR="00B36A60" w:rsidRPr="00834B27">
        <w:rPr>
          <w:rFonts w:ascii="Calibri" w:hAnsi="Calibri" w:cs="Calibri"/>
          <w:i/>
          <w:iCs/>
          <w:lang w:val="ro-RO"/>
        </w:rPr>
        <w:t>ș</w:t>
      </w:r>
      <w:r w:rsidR="006306BC" w:rsidRPr="00834B27">
        <w:rPr>
          <w:rFonts w:ascii="Calibri" w:hAnsi="Calibri" w:cs="Calibri"/>
          <w:i/>
          <w:iCs/>
          <w:lang w:val="ro-RO"/>
        </w:rPr>
        <w:t xml:space="preserve">i CASS nu au putut fi compensate de </w:t>
      </w:r>
      <w:r w:rsidR="00B36A60" w:rsidRPr="00834B27">
        <w:rPr>
          <w:rFonts w:ascii="Calibri" w:hAnsi="Calibri" w:cs="Calibri"/>
          <w:i/>
          <w:iCs/>
          <w:lang w:val="ro-RO"/>
        </w:rPr>
        <w:t>scăderea</w:t>
      </w:r>
      <w:r w:rsidR="00915627" w:rsidRPr="00834B27">
        <w:rPr>
          <w:rFonts w:ascii="Calibri" w:hAnsi="Calibri" w:cs="Calibri"/>
          <w:i/>
          <w:iCs/>
          <w:lang w:val="ro-RO"/>
        </w:rPr>
        <w:t xml:space="preserve"> IV, </w:t>
      </w:r>
      <w:r w:rsidR="00B36A60" w:rsidRPr="00834B27">
        <w:rPr>
          <w:rFonts w:ascii="Calibri" w:hAnsi="Calibri" w:cs="Calibri"/>
          <w:i/>
          <w:iCs/>
          <w:lang w:val="ro-RO"/>
        </w:rPr>
        <w:t>aceștia</w:t>
      </w:r>
      <w:r w:rsidR="00915627" w:rsidRPr="00834B27">
        <w:rPr>
          <w:rFonts w:ascii="Calibri" w:hAnsi="Calibri" w:cs="Calibri"/>
          <w:i/>
          <w:iCs/>
          <w:lang w:val="ro-RO"/>
        </w:rPr>
        <w:t xml:space="preserve"> fiind </w:t>
      </w:r>
      <w:r w:rsidR="00B36A60" w:rsidRPr="00834B27">
        <w:rPr>
          <w:rFonts w:ascii="Calibri" w:hAnsi="Calibri" w:cs="Calibri"/>
          <w:i/>
          <w:iCs/>
          <w:lang w:val="ro-RO"/>
        </w:rPr>
        <w:t>scuti</w:t>
      </w:r>
      <w:r w:rsidR="00D77C4B" w:rsidRPr="00834B27">
        <w:rPr>
          <w:rFonts w:ascii="Calibri" w:hAnsi="Calibri" w:cs="Calibri"/>
          <w:i/>
          <w:iCs/>
          <w:lang w:val="ro-RO"/>
        </w:rPr>
        <w:t>ț</w:t>
      </w:r>
      <w:r w:rsidR="00B36A60" w:rsidRPr="00834B27">
        <w:rPr>
          <w:rFonts w:ascii="Calibri" w:hAnsi="Calibri" w:cs="Calibri"/>
          <w:i/>
          <w:iCs/>
          <w:lang w:val="ro-RO"/>
        </w:rPr>
        <w:t>i</w:t>
      </w:r>
      <w:r w:rsidR="00915627" w:rsidRPr="00834B27">
        <w:rPr>
          <w:rFonts w:ascii="Calibri" w:hAnsi="Calibri" w:cs="Calibri"/>
          <w:i/>
          <w:iCs/>
          <w:lang w:val="ro-RO"/>
        </w:rPr>
        <w:t xml:space="preserve"> de la plata IV, </w:t>
      </w:r>
      <w:r w:rsidR="00B36A60" w:rsidRPr="00834B27">
        <w:rPr>
          <w:rFonts w:ascii="Calibri" w:hAnsi="Calibri" w:cs="Calibri"/>
          <w:i/>
          <w:iCs/>
          <w:lang w:val="ro-RO"/>
        </w:rPr>
        <w:t>încă</w:t>
      </w:r>
      <w:r w:rsidR="00915627" w:rsidRPr="00834B27">
        <w:rPr>
          <w:rFonts w:ascii="Calibri" w:hAnsi="Calibri" w:cs="Calibri"/>
          <w:i/>
          <w:iCs/>
          <w:lang w:val="ro-RO"/>
        </w:rPr>
        <w:t xml:space="preserve"> din anul 200</w:t>
      </w:r>
      <w:r w:rsidR="00F554E6" w:rsidRPr="00834B27">
        <w:rPr>
          <w:rFonts w:ascii="Calibri" w:hAnsi="Calibri" w:cs="Calibri"/>
          <w:i/>
          <w:iCs/>
          <w:lang w:val="ro-RO"/>
        </w:rPr>
        <w:t>1.</w:t>
      </w:r>
    </w:p>
    <w:p w14:paraId="315C4C94" w14:textId="154FB7E6" w:rsidR="00556FFD" w:rsidRPr="00834B27" w:rsidRDefault="00556FFD" w:rsidP="00B91E74">
      <w:pPr>
        <w:spacing w:line="276" w:lineRule="auto"/>
        <w:jc w:val="both"/>
        <w:rPr>
          <w:rFonts w:ascii="Calibri" w:hAnsi="Calibri" w:cs="Calibri"/>
          <w:i/>
          <w:iCs/>
          <w:lang w:val="ro-RO"/>
        </w:rPr>
      </w:pPr>
      <w:r w:rsidRPr="00834B27">
        <w:rPr>
          <w:rFonts w:ascii="Calibri" w:hAnsi="Calibri" w:cs="Calibri"/>
          <w:i/>
          <w:iCs/>
          <w:lang w:val="ro-RO"/>
        </w:rPr>
        <w:t>Baza de calcul a</w:t>
      </w:r>
      <w:r w:rsidR="00B36A60" w:rsidRPr="00834B27">
        <w:rPr>
          <w:rFonts w:ascii="Calibri" w:hAnsi="Calibri" w:cs="Calibri"/>
          <w:i/>
          <w:iCs/>
          <w:lang w:val="ro-RO"/>
        </w:rPr>
        <w:t>l</w:t>
      </w:r>
      <w:r w:rsidRPr="00834B27">
        <w:rPr>
          <w:rFonts w:ascii="Calibri" w:hAnsi="Calibri" w:cs="Calibri"/>
          <w:i/>
          <w:iCs/>
          <w:lang w:val="ro-RO"/>
        </w:rPr>
        <w:t xml:space="preserve"> CAS</w:t>
      </w:r>
      <w:r w:rsidR="004D091A" w:rsidRPr="00834B27">
        <w:rPr>
          <w:rFonts w:ascii="Calibri" w:hAnsi="Calibri" w:cs="Calibri"/>
          <w:i/>
          <w:iCs/>
          <w:lang w:val="ro-RO"/>
        </w:rPr>
        <w:t>S</w:t>
      </w:r>
      <w:r w:rsidRPr="00834B27">
        <w:rPr>
          <w:rFonts w:ascii="Calibri" w:hAnsi="Calibri" w:cs="Calibri"/>
          <w:i/>
          <w:iCs/>
          <w:lang w:val="ro-RO"/>
        </w:rPr>
        <w:t xml:space="preserve"> individual</w:t>
      </w:r>
      <w:r w:rsidR="00B36A60" w:rsidRPr="00834B27">
        <w:rPr>
          <w:rFonts w:ascii="Calibri" w:hAnsi="Calibri" w:cs="Calibri"/>
          <w:i/>
          <w:iCs/>
          <w:lang w:val="ro-RO"/>
        </w:rPr>
        <w:t>ă</w:t>
      </w:r>
      <w:r w:rsidRPr="00834B27">
        <w:rPr>
          <w:rFonts w:ascii="Calibri" w:hAnsi="Calibri" w:cs="Calibri"/>
          <w:i/>
          <w:iCs/>
          <w:lang w:val="ro-RO"/>
        </w:rPr>
        <w:t xml:space="preserve"> a fost </w:t>
      </w:r>
      <w:r w:rsidR="00B36A60" w:rsidRPr="00834B27">
        <w:rPr>
          <w:rFonts w:ascii="Calibri" w:hAnsi="Calibri" w:cs="Calibri"/>
          <w:i/>
          <w:iCs/>
          <w:lang w:val="ro-RO"/>
        </w:rPr>
        <w:t>ș</w:t>
      </w:r>
      <w:r w:rsidR="004D091A" w:rsidRPr="00834B27">
        <w:rPr>
          <w:rFonts w:ascii="Calibri" w:hAnsi="Calibri" w:cs="Calibri"/>
          <w:i/>
          <w:iCs/>
          <w:lang w:val="ro-RO"/>
        </w:rPr>
        <w:t xml:space="preserve">i ea </w:t>
      </w:r>
      <w:r w:rsidRPr="00834B27">
        <w:rPr>
          <w:rFonts w:ascii="Calibri" w:hAnsi="Calibri" w:cs="Calibri"/>
          <w:i/>
          <w:iCs/>
          <w:lang w:val="ro-RO"/>
        </w:rPr>
        <w:t>plafonat</w:t>
      </w:r>
      <w:r w:rsidR="00B36A60" w:rsidRPr="00834B27">
        <w:rPr>
          <w:rFonts w:ascii="Calibri" w:hAnsi="Calibri" w:cs="Calibri"/>
          <w:i/>
          <w:iCs/>
          <w:lang w:val="ro-RO"/>
        </w:rPr>
        <w:t>ă</w:t>
      </w:r>
      <w:r w:rsidRPr="00834B27">
        <w:rPr>
          <w:rFonts w:ascii="Calibri" w:hAnsi="Calibri" w:cs="Calibri"/>
          <w:i/>
          <w:iCs/>
          <w:lang w:val="ro-RO"/>
        </w:rPr>
        <w:t xml:space="preserve"> la 5 salarii medii </w:t>
      </w:r>
      <w:r w:rsidR="00B36A60" w:rsidRPr="00834B27">
        <w:rPr>
          <w:rFonts w:ascii="Calibri" w:hAnsi="Calibri" w:cs="Calibri"/>
          <w:i/>
          <w:iCs/>
          <w:lang w:val="ro-RO"/>
        </w:rPr>
        <w:t xml:space="preserve">pe </w:t>
      </w:r>
      <w:r w:rsidRPr="00834B27">
        <w:rPr>
          <w:rFonts w:ascii="Calibri" w:hAnsi="Calibri" w:cs="Calibri"/>
          <w:i/>
          <w:iCs/>
          <w:lang w:val="ro-RO"/>
        </w:rPr>
        <w:t>lun</w:t>
      </w:r>
      <w:r w:rsidR="00B36A60" w:rsidRPr="00834B27">
        <w:rPr>
          <w:rFonts w:ascii="Calibri" w:hAnsi="Calibri" w:cs="Calibri"/>
          <w:i/>
          <w:iCs/>
          <w:lang w:val="ro-RO"/>
        </w:rPr>
        <w:t>ă</w:t>
      </w:r>
      <w:r w:rsidRPr="00834B27">
        <w:rPr>
          <w:rFonts w:ascii="Calibri" w:hAnsi="Calibri" w:cs="Calibri"/>
          <w:i/>
          <w:iCs/>
          <w:lang w:val="ro-RO"/>
        </w:rPr>
        <w:t>,</w:t>
      </w:r>
      <w:r w:rsidR="004D091A" w:rsidRPr="00834B27">
        <w:rPr>
          <w:rFonts w:ascii="Calibri" w:hAnsi="Calibri" w:cs="Calibri"/>
          <w:i/>
          <w:iCs/>
          <w:lang w:val="ro-RO"/>
        </w:rPr>
        <w:t xml:space="preserve"> dar </w:t>
      </w:r>
      <w:r w:rsidR="00B36A60" w:rsidRPr="00834B27">
        <w:rPr>
          <w:rFonts w:ascii="Calibri" w:hAnsi="Calibri" w:cs="Calibri"/>
          <w:i/>
          <w:iCs/>
          <w:lang w:val="ro-RO"/>
        </w:rPr>
        <w:t>numai</w:t>
      </w:r>
      <w:r w:rsidR="004D091A" w:rsidRPr="00834B27">
        <w:rPr>
          <w:rFonts w:ascii="Calibri" w:hAnsi="Calibri" w:cs="Calibri"/>
          <w:i/>
          <w:iCs/>
          <w:lang w:val="ro-RO"/>
        </w:rPr>
        <w:t xml:space="preserve"> </w:t>
      </w:r>
      <w:r w:rsidR="00B36A60" w:rsidRPr="00834B27">
        <w:rPr>
          <w:rFonts w:ascii="Calibri" w:hAnsi="Calibri" w:cs="Calibri"/>
          <w:i/>
          <w:iCs/>
          <w:lang w:val="ro-RO"/>
        </w:rPr>
        <w:t>î</w:t>
      </w:r>
      <w:r w:rsidR="001F3E40" w:rsidRPr="00834B27">
        <w:rPr>
          <w:rFonts w:ascii="Calibri" w:hAnsi="Calibri" w:cs="Calibri"/>
          <w:i/>
          <w:iCs/>
          <w:lang w:val="ro-RO"/>
        </w:rPr>
        <w:t xml:space="preserve">n luna ianuarie 2017. </w:t>
      </w:r>
      <w:r w:rsidRPr="00834B27">
        <w:rPr>
          <w:rFonts w:ascii="Calibri" w:hAnsi="Calibri" w:cs="Calibri"/>
          <w:i/>
          <w:iCs/>
          <w:lang w:val="ro-RO"/>
        </w:rPr>
        <w:t xml:space="preserve"> </w:t>
      </w:r>
    </w:p>
    <w:p w14:paraId="45E67726" w14:textId="08B38A4C" w:rsidR="003541F7" w:rsidRPr="00834B27" w:rsidRDefault="00B36A60" w:rsidP="00B91E74">
      <w:pPr>
        <w:spacing w:line="276" w:lineRule="auto"/>
        <w:jc w:val="both"/>
        <w:rPr>
          <w:rFonts w:ascii="Calibri" w:hAnsi="Calibri" w:cs="Calibri"/>
          <w:i/>
          <w:iCs/>
          <w:lang w:val="ro-RO"/>
        </w:rPr>
      </w:pPr>
      <w:r w:rsidRPr="00834B27">
        <w:rPr>
          <w:rFonts w:ascii="Calibri" w:hAnsi="Calibri" w:cs="Calibri"/>
          <w:i/>
          <w:iCs/>
          <w:lang w:val="ro-RO"/>
        </w:rPr>
        <w:t>Men</w:t>
      </w:r>
      <w:r w:rsidR="00D77C4B" w:rsidRPr="00834B27">
        <w:rPr>
          <w:rFonts w:ascii="Calibri" w:hAnsi="Calibri" w:cs="Calibri"/>
          <w:i/>
          <w:iCs/>
          <w:lang w:val="ro-RO"/>
        </w:rPr>
        <w:t>ț</w:t>
      </w:r>
      <w:r w:rsidRPr="00834B27">
        <w:rPr>
          <w:rFonts w:ascii="Calibri" w:hAnsi="Calibri" w:cs="Calibri"/>
          <w:i/>
          <w:iCs/>
          <w:lang w:val="ro-RO"/>
        </w:rPr>
        <w:t>ionăm</w:t>
      </w:r>
      <w:r w:rsidR="00637D3F" w:rsidRPr="00834B27">
        <w:rPr>
          <w:rFonts w:ascii="Calibri" w:hAnsi="Calibri" w:cs="Calibri"/>
          <w:i/>
          <w:iCs/>
          <w:lang w:val="ro-RO"/>
        </w:rPr>
        <w:t xml:space="preserve"> </w:t>
      </w:r>
      <w:r w:rsidRPr="00834B27">
        <w:rPr>
          <w:rFonts w:ascii="Calibri" w:hAnsi="Calibri" w:cs="Calibri"/>
          <w:i/>
          <w:iCs/>
          <w:lang w:val="ro-RO"/>
        </w:rPr>
        <w:t>ș</w:t>
      </w:r>
      <w:r w:rsidR="00637D3F" w:rsidRPr="00834B27">
        <w:rPr>
          <w:rFonts w:ascii="Calibri" w:hAnsi="Calibri" w:cs="Calibri"/>
          <w:i/>
          <w:iCs/>
          <w:lang w:val="ro-RO"/>
        </w:rPr>
        <w:t>i aici c</w:t>
      </w:r>
      <w:r w:rsidRPr="00834B27">
        <w:rPr>
          <w:rFonts w:ascii="Calibri" w:hAnsi="Calibri" w:cs="Calibri"/>
          <w:i/>
          <w:iCs/>
          <w:lang w:val="ro-RO"/>
        </w:rPr>
        <w:t>ă</w:t>
      </w:r>
      <w:r w:rsidR="00637D3F" w:rsidRPr="00834B27">
        <w:rPr>
          <w:rFonts w:ascii="Calibri" w:hAnsi="Calibri" w:cs="Calibri"/>
          <w:i/>
          <w:iCs/>
          <w:lang w:val="ro-RO"/>
        </w:rPr>
        <w:t xml:space="preserve"> </w:t>
      </w:r>
      <w:r w:rsidRPr="00834B27">
        <w:rPr>
          <w:rFonts w:ascii="Calibri" w:hAnsi="Calibri" w:cs="Calibri"/>
          <w:i/>
          <w:iCs/>
          <w:lang w:val="ro-RO"/>
        </w:rPr>
        <w:t>angaja</w:t>
      </w:r>
      <w:r w:rsidR="00D77C4B" w:rsidRPr="00834B27">
        <w:rPr>
          <w:rFonts w:ascii="Calibri" w:hAnsi="Calibri" w:cs="Calibri"/>
          <w:i/>
          <w:iCs/>
          <w:lang w:val="ro-RO"/>
        </w:rPr>
        <w:t>ț</w:t>
      </w:r>
      <w:r w:rsidRPr="00834B27">
        <w:rPr>
          <w:rFonts w:ascii="Calibri" w:hAnsi="Calibri" w:cs="Calibri"/>
          <w:i/>
          <w:iCs/>
          <w:lang w:val="ro-RO"/>
        </w:rPr>
        <w:t>ii</w:t>
      </w:r>
      <w:r w:rsidR="00637D3F" w:rsidRPr="00834B27">
        <w:rPr>
          <w:rFonts w:ascii="Calibri" w:hAnsi="Calibri" w:cs="Calibri"/>
          <w:i/>
          <w:iCs/>
          <w:lang w:val="ro-RO"/>
        </w:rPr>
        <w:t xml:space="preserve"> din </w:t>
      </w:r>
      <w:r w:rsidRPr="00834B27">
        <w:rPr>
          <w:rFonts w:ascii="Calibri" w:hAnsi="Calibri" w:cs="Calibri"/>
          <w:i/>
          <w:iCs/>
          <w:lang w:val="ro-RO"/>
        </w:rPr>
        <w:t>construc</w:t>
      </w:r>
      <w:r w:rsidR="00D77C4B" w:rsidRPr="00834B27">
        <w:rPr>
          <w:rFonts w:ascii="Calibri" w:hAnsi="Calibri" w:cs="Calibri"/>
          <w:i/>
          <w:iCs/>
          <w:lang w:val="ro-RO"/>
        </w:rPr>
        <w:t>ț</w:t>
      </w:r>
      <w:r w:rsidRPr="00834B27">
        <w:rPr>
          <w:rFonts w:ascii="Calibri" w:hAnsi="Calibri" w:cs="Calibri"/>
          <w:i/>
          <w:iCs/>
          <w:lang w:val="ro-RO"/>
        </w:rPr>
        <w:t>ii</w:t>
      </w:r>
      <w:r w:rsidR="00637D3F" w:rsidRPr="00834B27">
        <w:rPr>
          <w:rFonts w:ascii="Calibri" w:hAnsi="Calibri" w:cs="Calibri"/>
          <w:i/>
          <w:iCs/>
          <w:lang w:val="ro-RO"/>
        </w:rPr>
        <w:t xml:space="preserve"> (</w:t>
      </w:r>
      <w:r w:rsidR="000D2239" w:rsidRPr="00834B27">
        <w:rPr>
          <w:rFonts w:ascii="Calibri" w:hAnsi="Calibri" w:cs="Calibri"/>
          <w:i/>
          <w:iCs/>
          <w:lang w:val="ro-RO"/>
        </w:rPr>
        <w:t xml:space="preserve">1 </w:t>
      </w:r>
      <w:r w:rsidR="00637D3F" w:rsidRPr="00834B27">
        <w:rPr>
          <w:rFonts w:ascii="Calibri" w:hAnsi="Calibri" w:cs="Calibri"/>
          <w:i/>
          <w:iCs/>
          <w:lang w:val="ro-RO"/>
        </w:rPr>
        <w:t>ianuarie 201</w:t>
      </w:r>
      <w:r w:rsidR="008E5946" w:rsidRPr="00834B27">
        <w:rPr>
          <w:rFonts w:ascii="Calibri" w:hAnsi="Calibri" w:cs="Calibri"/>
          <w:i/>
          <w:iCs/>
          <w:lang w:val="ro-RO"/>
        </w:rPr>
        <w:t>9</w:t>
      </w:r>
      <w:r w:rsidR="00637D3F" w:rsidRPr="00834B27">
        <w:rPr>
          <w:rFonts w:ascii="Calibri" w:hAnsi="Calibri" w:cs="Calibri"/>
          <w:i/>
          <w:iCs/>
          <w:lang w:val="ro-RO"/>
        </w:rPr>
        <w:t xml:space="preserve"> –</w:t>
      </w:r>
      <w:r w:rsidR="000D2239" w:rsidRPr="00834B27">
        <w:rPr>
          <w:rFonts w:ascii="Calibri" w:hAnsi="Calibri" w:cs="Calibri"/>
          <w:i/>
          <w:iCs/>
          <w:lang w:val="ro-RO"/>
        </w:rPr>
        <w:t xml:space="preserve"> 31 </w:t>
      </w:r>
      <w:r w:rsidR="00637D3F" w:rsidRPr="00834B27">
        <w:rPr>
          <w:rFonts w:ascii="Calibri" w:hAnsi="Calibri" w:cs="Calibri"/>
          <w:i/>
          <w:iCs/>
          <w:lang w:val="ro-RO"/>
        </w:rPr>
        <w:t>decembrie</w:t>
      </w:r>
      <w:r w:rsidR="00EF003A" w:rsidRPr="00834B27">
        <w:rPr>
          <w:rStyle w:val="Referincomentariu"/>
          <w:rFonts w:ascii="Calibri" w:hAnsi="Calibri" w:cs="Calibri"/>
          <w:lang w:val="ro-RO"/>
        </w:rPr>
        <w:t xml:space="preserve"> </w:t>
      </w:r>
      <w:r w:rsidR="00637D3F" w:rsidRPr="00834B27">
        <w:rPr>
          <w:rFonts w:ascii="Calibri" w:hAnsi="Calibri" w:cs="Calibri"/>
          <w:i/>
          <w:iCs/>
          <w:lang w:val="ro-RO"/>
        </w:rPr>
        <w:t>202</w:t>
      </w:r>
      <w:r w:rsidR="003E7AAC" w:rsidRPr="00834B27">
        <w:rPr>
          <w:rFonts w:ascii="Calibri" w:hAnsi="Calibri" w:cs="Calibri"/>
          <w:i/>
          <w:iCs/>
          <w:lang w:val="ro-RO"/>
        </w:rPr>
        <w:t>4</w:t>
      </w:r>
      <w:r w:rsidR="00637D3F" w:rsidRPr="00834B27">
        <w:rPr>
          <w:rFonts w:ascii="Calibri" w:hAnsi="Calibri" w:cs="Calibri"/>
          <w:i/>
          <w:iCs/>
          <w:lang w:val="ro-RO"/>
        </w:rPr>
        <w:t>)</w:t>
      </w:r>
      <w:r w:rsidR="00416BF2" w:rsidRPr="00834B27">
        <w:rPr>
          <w:rFonts w:ascii="Calibri" w:hAnsi="Calibri" w:cs="Calibri"/>
          <w:i/>
          <w:iCs/>
          <w:lang w:val="ro-RO"/>
        </w:rPr>
        <w:t xml:space="preserve"> </w:t>
      </w:r>
      <w:r w:rsidRPr="00834B27">
        <w:rPr>
          <w:rFonts w:ascii="Calibri" w:hAnsi="Calibri" w:cs="Calibri"/>
          <w:i/>
          <w:iCs/>
          <w:lang w:val="ro-RO"/>
        </w:rPr>
        <w:t>ș</w:t>
      </w:r>
      <w:r w:rsidR="00416BF2" w:rsidRPr="00834B27">
        <w:rPr>
          <w:rFonts w:ascii="Calibri" w:hAnsi="Calibri" w:cs="Calibri"/>
          <w:i/>
          <w:iCs/>
          <w:lang w:val="ro-RO"/>
        </w:rPr>
        <w:t xml:space="preserve">i cei </w:t>
      </w:r>
      <w:r w:rsidR="00717C2B" w:rsidRPr="00834B27">
        <w:rPr>
          <w:rFonts w:ascii="Calibri" w:hAnsi="Calibri" w:cs="Calibri"/>
          <w:i/>
          <w:iCs/>
          <w:lang w:val="ro-RO"/>
        </w:rPr>
        <w:t>din agricultur</w:t>
      </w:r>
      <w:r w:rsidRPr="00834B27">
        <w:rPr>
          <w:rFonts w:ascii="Calibri" w:hAnsi="Calibri" w:cs="Calibri"/>
          <w:i/>
          <w:iCs/>
          <w:lang w:val="ro-RO"/>
        </w:rPr>
        <w:t>ă</w:t>
      </w:r>
      <w:r w:rsidR="00717C2B" w:rsidRPr="00834B27">
        <w:rPr>
          <w:rFonts w:ascii="Calibri" w:hAnsi="Calibri" w:cs="Calibri"/>
          <w:i/>
          <w:iCs/>
          <w:lang w:val="ro-RO"/>
        </w:rPr>
        <w:t xml:space="preserve"> </w:t>
      </w:r>
      <w:r w:rsidR="00FE15AD" w:rsidRPr="00834B27">
        <w:rPr>
          <w:rFonts w:ascii="Calibri" w:hAnsi="Calibri" w:cs="Calibri"/>
          <w:i/>
          <w:iCs/>
          <w:lang w:val="ro-RO"/>
        </w:rPr>
        <w:t>ș</w:t>
      </w:r>
      <w:r w:rsidR="00717C2B" w:rsidRPr="00834B27">
        <w:rPr>
          <w:rFonts w:ascii="Calibri" w:hAnsi="Calibri" w:cs="Calibri"/>
          <w:i/>
          <w:iCs/>
          <w:lang w:val="ro-RO"/>
        </w:rPr>
        <w:t>i industria alimentar</w:t>
      </w:r>
      <w:r w:rsidRPr="00834B27">
        <w:rPr>
          <w:rFonts w:ascii="Calibri" w:hAnsi="Calibri" w:cs="Calibri"/>
          <w:i/>
          <w:iCs/>
          <w:lang w:val="ro-RO"/>
        </w:rPr>
        <w:t>ă</w:t>
      </w:r>
      <w:r w:rsidR="00717C2B" w:rsidRPr="00834B27">
        <w:rPr>
          <w:rFonts w:ascii="Calibri" w:hAnsi="Calibri" w:cs="Calibri"/>
          <w:i/>
          <w:iCs/>
          <w:lang w:val="ro-RO"/>
        </w:rPr>
        <w:t xml:space="preserve"> </w:t>
      </w:r>
      <w:r w:rsidR="00416BF2" w:rsidRPr="00834B27">
        <w:rPr>
          <w:rFonts w:ascii="Calibri" w:hAnsi="Calibri" w:cs="Calibri"/>
          <w:i/>
          <w:iCs/>
          <w:lang w:val="ro-RO"/>
        </w:rPr>
        <w:t>(</w:t>
      </w:r>
      <w:r w:rsidR="000D2239" w:rsidRPr="00834B27">
        <w:rPr>
          <w:rFonts w:ascii="Calibri" w:hAnsi="Calibri" w:cs="Calibri"/>
          <w:i/>
          <w:iCs/>
          <w:lang w:val="ro-RO"/>
        </w:rPr>
        <w:t xml:space="preserve">1 </w:t>
      </w:r>
      <w:r w:rsidR="00416BF2" w:rsidRPr="00834B27">
        <w:rPr>
          <w:rFonts w:ascii="Calibri" w:hAnsi="Calibri" w:cs="Calibri"/>
          <w:i/>
          <w:iCs/>
          <w:lang w:val="ro-RO"/>
        </w:rPr>
        <w:t>iunie 2022 –</w:t>
      </w:r>
      <w:r w:rsidR="008E5946" w:rsidRPr="00834B27">
        <w:rPr>
          <w:rFonts w:ascii="Calibri" w:hAnsi="Calibri" w:cs="Calibri"/>
          <w:i/>
          <w:iCs/>
          <w:lang w:val="ro-RO"/>
        </w:rPr>
        <w:t xml:space="preserve"> </w:t>
      </w:r>
      <w:r w:rsidR="000D2239" w:rsidRPr="00834B27">
        <w:rPr>
          <w:rFonts w:ascii="Calibri" w:hAnsi="Calibri" w:cs="Calibri"/>
          <w:i/>
          <w:iCs/>
          <w:lang w:val="ro-RO"/>
        </w:rPr>
        <w:t>31 decembrie</w:t>
      </w:r>
      <w:r w:rsidR="008E5946" w:rsidRPr="00834B27">
        <w:rPr>
          <w:rFonts w:ascii="Calibri" w:hAnsi="Calibri" w:cs="Calibri"/>
          <w:i/>
          <w:iCs/>
          <w:lang w:val="ro-RO"/>
        </w:rPr>
        <w:t xml:space="preserve"> 202</w:t>
      </w:r>
      <w:r w:rsidR="000D2239" w:rsidRPr="00834B27">
        <w:rPr>
          <w:rFonts w:ascii="Calibri" w:hAnsi="Calibri" w:cs="Calibri"/>
          <w:i/>
          <w:iCs/>
          <w:lang w:val="ro-RO"/>
        </w:rPr>
        <w:t>4</w:t>
      </w:r>
      <w:r w:rsidR="00416BF2" w:rsidRPr="00834B27">
        <w:rPr>
          <w:rFonts w:ascii="Calibri" w:hAnsi="Calibri" w:cs="Calibri"/>
          <w:i/>
          <w:iCs/>
          <w:lang w:val="ro-RO"/>
        </w:rPr>
        <w:t>)</w:t>
      </w:r>
      <w:r w:rsidR="00A91641" w:rsidRPr="00834B27">
        <w:rPr>
          <w:rFonts w:ascii="Calibri" w:hAnsi="Calibri" w:cs="Calibri"/>
          <w:i/>
          <w:iCs/>
          <w:lang w:val="ro-RO"/>
        </w:rPr>
        <w:t xml:space="preserve"> au fost </w:t>
      </w:r>
      <w:r w:rsidRPr="00834B27">
        <w:rPr>
          <w:rFonts w:ascii="Calibri" w:hAnsi="Calibri" w:cs="Calibri"/>
          <w:i/>
          <w:iCs/>
          <w:lang w:val="ro-RO"/>
        </w:rPr>
        <w:t>scuti</w:t>
      </w:r>
      <w:r w:rsidR="00D77C4B" w:rsidRPr="00834B27">
        <w:rPr>
          <w:rFonts w:ascii="Calibri" w:hAnsi="Calibri" w:cs="Calibri"/>
          <w:i/>
          <w:iCs/>
          <w:lang w:val="ro-RO"/>
        </w:rPr>
        <w:t>ț</w:t>
      </w:r>
      <w:r w:rsidRPr="00834B27">
        <w:rPr>
          <w:rFonts w:ascii="Calibri" w:hAnsi="Calibri" w:cs="Calibri"/>
          <w:i/>
          <w:iCs/>
          <w:lang w:val="ro-RO"/>
        </w:rPr>
        <w:t>i</w:t>
      </w:r>
      <w:r w:rsidR="00A91641" w:rsidRPr="00834B27">
        <w:rPr>
          <w:rFonts w:ascii="Calibri" w:hAnsi="Calibri" w:cs="Calibri"/>
          <w:i/>
          <w:iCs/>
          <w:lang w:val="ro-RO"/>
        </w:rPr>
        <w:t xml:space="preserve"> de la </w:t>
      </w:r>
      <w:r w:rsidRPr="00834B27">
        <w:rPr>
          <w:rFonts w:ascii="Calibri" w:hAnsi="Calibri" w:cs="Calibri"/>
          <w:i/>
          <w:iCs/>
          <w:lang w:val="ro-RO"/>
        </w:rPr>
        <w:t>obliga</w:t>
      </w:r>
      <w:r w:rsidR="00D77C4B" w:rsidRPr="00834B27">
        <w:rPr>
          <w:rFonts w:ascii="Calibri" w:hAnsi="Calibri" w:cs="Calibri"/>
          <w:i/>
          <w:iCs/>
          <w:lang w:val="ro-RO"/>
        </w:rPr>
        <w:t>ț</w:t>
      </w:r>
      <w:r w:rsidRPr="00834B27">
        <w:rPr>
          <w:rFonts w:ascii="Calibri" w:hAnsi="Calibri" w:cs="Calibri"/>
          <w:i/>
          <w:iCs/>
          <w:lang w:val="ro-RO"/>
        </w:rPr>
        <w:t>ia</w:t>
      </w:r>
      <w:r w:rsidR="00A91641" w:rsidRPr="00834B27">
        <w:rPr>
          <w:rFonts w:ascii="Calibri" w:hAnsi="Calibri" w:cs="Calibri"/>
          <w:i/>
          <w:iCs/>
          <w:lang w:val="ro-RO"/>
        </w:rPr>
        <w:t xml:space="preserve"> de plat</w:t>
      </w:r>
      <w:r w:rsidRPr="00834B27">
        <w:rPr>
          <w:rFonts w:ascii="Calibri" w:hAnsi="Calibri" w:cs="Calibri"/>
          <w:i/>
          <w:iCs/>
          <w:lang w:val="ro-RO"/>
        </w:rPr>
        <w:t>ă</w:t>
      </w:r>
      <w:r w:rsidR="00A91641" w:rsidRPr="00834B27">
        <w:rPr>
          <w:rFonts w:ascii="Calibri" w:hAnsi="Calibri" w:cs="Calibri"/>
          <w:i/>
          <w:iCs/>
          <w:lang w:val="ro-RO"/>
        </w:rPr>
        <w:t xml:space="preserve"> a CASS, scutirile fiind eliminate </w:t>
      </w:r>
      <w:r w:rsidR="00285F1A" w:rsidRPr="00834B27">
        <w:rPr>
          <w:rFonts w:ascii="Calibri" w:hAnsi="Calibri" w:cs="Calibri"/>
          <w:i/>
          <w:iCs/>
          <w:lang w:val="ro-RO"/>
        </w:rPr>
        <w:t xml:space="preserve">ca </w:t>
      </w:r>
      <w:r w:rsidR="00A91641" w:rsidRPr="00834B27">
        <w:rPr>
          <w:rFonts w:ascii="Calibri" w:hAnsi="Calibri" w:cs="Calibri"/>
          <w:i/>
          <w:iCs/>
          <w:lang w:val="ro-RO"/>
        </w:rPr>
        <w:t xml:space="preserve">urmare a </w:t>
      </w:r>
      <w:r w:rsidR="003541F7" w:rsidRPr="00834B27">
        <w:rPr>
          <w:rFonts w:ascii="Calibri" w:hAnsi="Calibri" w:cs="Calibri"/>
          <w:i/>
          <w:iCs/>
          <w:lang w:val="ro-RO"/>
        </w:rPr>
        <w:t xml:space="preserve">presiunii deficitului bugetar excesiv. </w:t>
      </w:r>
    </w:p>
    <w:p w14:paraId="4A65F238" w14:textId="2DEC4DD5" w:rsidR="00637D3F" w:rsidRPr="00834B27" w:rsidRDefault="003541F7" w:rsidP="00B91E74">
      <w:pPr>
        <w:spacing w:line="276" w:lineRule="auto"/>
        <w:jc w:val="both"/>
        <w:rPr>
          <w:rFonts w:ascii="Calibri" w:hAnsi="Calibri" w:cs="Calibri"/>
          <w:i/>
          <w:iCs/>
          <w:lang w:val="ro-RO"/>
        </w:rPr>
      </w:pPr>
      <w:r w:rsidRPr="00834B27">
        <w:rPr>
          <w:rFonts w:ascii="Calibri" w:hAnsi="Calibri" w:cs="Calibri"/>
          <w:i/>
          <w:iCs/>
          <w:lang w:val="ro-RO"/>
        </w:rPr>
        <w:t xml:space="preserve">De remarcat </w:t>
      </w:r>
      <w:r w:rsidR="00B36A60" w:rsidRPr="00834B27">
        <w:rPr>
          <w:rFonts w:ascii="Calibri" w:hAnsi="Calibri" w:cs="Calibri"/>
          <w:i/>
          <w:iCs/>
          <w:lang w:val="ro-RO"/>
        </w:rPr>
        <w:t>ș</w:t>
      </w:r>
      <w:r w:rsidRPr="00834B27">
        <w:rPr>
          <w:rFonts w:ascii="Calibri" w:hAnsi="Calibri" w:cs="Calibri"/>
          <w:i/>
          <w:iCs/>
          <w:lang w:val="ro-RO"/>
        </w:rPr>
        <w:t>i c</w:t>
      </w:r>
      <w:r w:rsidR="00B36A60" w:rsidRPr="00834B27">
        <w:rPr>
          <w:rFonts w:ascii="Calibri" w:hAnsi="Calibri" w:cs="Calibri"/>
          <w:i/>
          <w:iCs/>
          <w:lang w:val="ro-RO"/>
        </w:rPr>
        <w:t>ă</w:t>
      </w:r>
      <w:r w:rsidRPr="00834B27">
        <w:rPr>
          <w:rFonts w:ascii="Calibri" w:hAnsi="Calibri" w:cs="Calibri"/>
          <w:i/>
          <w:iCs/>
          <w:lang w:val="ro-RO"/>
        </w:rPr>
        <w:t xml:space="preserve"> scutirile </w:t>
      </w:r>
      <w:r w:rsidR="00F46344" w:rsidRPr="00834B27">
        <w:rPr>
          <w:rFonts w:ascii="Calibri" w:hAnsi="Calibri" w:cs="Calibri"/>
          <w:i/>
          <w:iCs/>
          <w:lang w:val="ro-RO"/>
        </w:rPr>
        <w:t xml:space="preserve">(implementate de la 1 iunie 2022 prin Legea 135/17.05.2022) pentru </w:t>
      </w:r>
      <w:r w:rsidR="00861BEA" w:rsidRPr="00834B27">
        <w:rPr>
          <w:rFonts w:ascii="Calibri" w:hAnsi="Calibri" w:cs="Calibri"/>
          <w:i/>
          <w:iCs/>
          <w:lang w:val="ro-RO"/>
        </w:rPr>
        <w:t>angaja</w:t>
      </w:r>
      <w:r w:rsidR="00D77C4B" w:rsidRPr="00834B27">
        <w:rPr>
          <w:rFonts w:ascii="Calibri" w:hAnsi="Calibri" w:cs="Calibri"/>
          <w:i/>
          <w:iCs/>
          <w:lang w:val="ro-RO"/>
        </w:rPr>
        <w:t>ț</w:t>
      </w:r>
      <w:r w:rsidR="00861BEA" w:rsidRPr="00834B27">
        <w:rPr>
          <w:rFonts w:ascii="Calibri" w:hAnsi="Calibri" w:cs="Calibri"/>
          <w:i/>
          <w:iCs/>
          <w:lang w:val="ro-RO"/>
        </w:rPr>
        <w:t>ii</w:t>
      </w:r>
      <w:r w:rsidR="00F46344" w:rsidRPr="00834B27">
        <w:rPr>
          <w:rFonts w:ascii="Calibri" w:hAnsi="Calibri" w:cs="Calibri"/>
          <w:i/>
          <w:iCs/>
          <w:lang w:val="ro-RO"/>
        </w:rPr>
        <w:t xml:space="preserve"> din</w:t>
      </w:r>
      <w:r w:rsidRPr="00834B27">
        <w:rPr>
          <w:rFonts w:ascii="Calibri" w:hAnsi="Calibri" w:cs="Calibri"/>
          <w:i/>
          <w:iCs/>
          <w:lang w:val="ro-RO"/>
        </w:rPr>
        <w:t xml:space="preserve"> </w:t>
      </w:r>
      <w:r w:rsidR="000F6CFD" w:rsidRPr="00834B27">
        <w:rPr>
          <w:rFonts w:ascii="Calibri" w:hAnsi="Calibri" w:cs="Calibri"/>
          <w:i/>
          <w:iCs/>
          <w:lang w:val="ro-RO"/>
        </w:rPr>
        <w:t>agricultur</w:t>
      </w:r>
      <w:r w:rsidR="00B36A60" w:rsidRPr="00834B27">
        <w:rPr>
          <w:rFonts w:ascii="Calibri" w:hAnsi="Calibri" w:cs="Calibri"/>
          <w:i/>
          <w:iCs/>
          <w:lang w:val="ro-RO"/>
        </w:rPr>
        <w:t>ă</w:t>
      </w:r>
      <w:r w:rsidR="000F6CFD" w:rsidRPr="00834B27">
        <w:rPr>
          <w:rFonts w:ascii="Calibri" w:hAnsi="Calibri" w:cs="Calibri"/>
          <w:i/>
          <w:iCs/>
          <w:lang w:val="ro-RO"/>
        </w:rPr>
        <w:t xml:space="preserve"> </w:t>
      </w:r>
      <w:r w:rsidR="00B36A60" w:rsidRPr="00834B27">
        <w:rPr>
          <w:rFonts w:ascii="Calibri" w:hAnsi="Calibri" w:cs="Calibri"/>
          <w:i/>
          <w:iCs/>
          <w:lang w:val="ro-RO"/>
        </w:rPr>
        <w:t>ș</w:t>
      </w:r>
      <w:r w:rsidR="000F6CFD" w:rsidRPr="00834B27">
        <w:rPr>
          <w:rFonts w:ascii="Calibri" w:hAnsi="Calibri" w:cs="Calibri"/>
          <w:i/>
          <w:iCs/>
          <w:lang w:val="ro-RO"/>
        </w:rPr>
        <w:t>i industria alimentar</w:t>
      </w:r>
      <w:r w:rsidR="00B36A60" w:rsidRPr="00834B27">
        <w:rPr>
          <w:rFonts w:ascii="Calibri" w:hAnsi="Calibri" w:cs="Calibri"/>
          <w:i/>
          <w:iCs/>
          <w:lang w:val="ro-RO"/>
        </w:rPr>
        <w:t>ă</w:t>
      </w:r>
      <w:r w:rsidR="000F6CFD" w:rsidRPr="00834B27">
        <w:rPr>
          <w:rFonts w:ascii="Calibri" w:hAnsi="Calibri" w:cs="Calibri"/>
          <w:i/>
          <w:iCs/>
          <w:lang w:val="ro-RO"/>
        </w:rPr>
        <w:t xml:space="preserve"> au fost adoptate </w:t>
      </w:r>
      <w:r w:rsidR="00B36A60" w:rsidRPr="00834B27">
        <w:rPr>
          <w:rFonts w:ascii="Calibri" w:hAnsi="Calibri" w:cs="Calibri"/>
          <w:i/>
          <w:iCs/>
          <w:lang w:val="ro-RO"/>
        </w:rPr>
        <w:t>î</w:t>
      </w:r>
      <w:r w:rsidR="000F6CFD" w:rsidRPr="00834B27">
        <w:rPr>
          <w:rFonts w:ascii="Calibri" w:hAnsi="Calibri" w:cs="Calibri"/>
          <w:i/>
          <w:iCs/>
          <w:lang w:val="ro-RO"/>
        </w:rPr>
        <w:t xml:space="preserve">n Parlament la foarte scurt timp </w:t>
      </w:r>
      <w:r w:rsidR="00B36A60" w:rsidRPr="00834B27">
        <w:rPr>
          <w:rFonts w:ascii="Calibri" w:hAnsi="Calibri" w:cs="Calibri"/>
          <w:i/>
          <w:iCs/>
          <w:lang w:val="ro-RO"/>
        </w:rPr>
        <w:t>după</w:t>
      </w:r>
      <w:r w:rsidR="000F6CFD" w:rsidRPr="00834B27">
        <w:rPr>
          <w:rFonts w:ascii="Calibri" w:hAnsi="Calibri" w:cs="Calibri"/>
          <w:i/>
          <w:iCs/>
          <w:lang w:val="ro-RO"/>
        </w:rPr>
        <w:t xml:space="preserve"> ce Rom</w:t>
      </w:r>
      <w:r w:rsidR="00B36A60" w:rsidRPr="00834B27">
        <w:rPr>
          <w:rFonts w:ascii="Calibri" w:hAnsi="Calibri" w:cs="Calibri"/>
          <w:i/>
          <w:iCs/>
          <w:lang w:val="ro-RO"/>
        </w:rPr>
        <w:t>â</w:t>
      </w:r>
      <w:r w:rsidR="000F6CFD" w:rsidRPr="00834B27">
        <w:rPr>
          <w:rFonts w:ascii="Calibri" w:hAnsi="Calibri" w:cs="Calibri"/>
          <w:i/>
          <w:iCs/>
          <w:lang w:val="ro-RO"/>
        </w:rPr>
        <w:t xml:space="preserve">nia </w:t>
      </w:r>
      <w:r w:rsidR="00B36A60" w:rsidRPr="00834B27">
        <w:rPr>
          <w:rFonts w:ascii="Calibri" w:hAnsi="Calibri" w:cs="Calibri"/>
          <w:i/>
          <w:iCs/>
          <w:lang w:val="ro-RO"/>
        </w:rPr>
        <w:t>își</w:t>
      </w:r>
      <w:r w:rsidR="000F6CFD" w:rsidRPr="00834B27">
        <w:rPr>
          <w:rFonts w:ascii="Calibri" w:hAnsi="Calibri" w:cs="Calibri"/>
          <w:i/>
          <w:iCs/>
          <w:lang w:val="ro-RO"/>
        </w:rPr>
        <w:t xml:space="preserve"> asumase </w:t>
      </w:r>
      <w:r w:rsidR="00D62344" w:rsidRPr="00834B27">
        <w:rPr>
          <w:rFonts w:ascii="Calibri" w:hAnsi="Calibri" w:cs="Calibri"/>
          <w:i/>
          <w:iCs/>
          <w:lang w:val="ro-RO"/>
        </w:rPr>
        <w:t>prin PNRR</w:t>
      </w:r>
      <w:r w:rsidR="009019B7" w:rsidRPr="00834B27">
        <w:rPr>
          <w:rStyle w:val="Referinnotdesubsol"/>
          <w:rFonts w:ascii="Calibri" w:hAnsi="Calibri" w:cs="Calibri"/>
          <w:i/>
          <w:iCs/>
          <w:lang w:val="ro-RO"/>
        </w:rPr>
        <w:footnoteReference w:id="8"/>
      </w:r>
      <w:r w:rsidR="005007B9" w:rsidRPr="00834B27">
        <w:rPr>
          <w:rFonts w:ascii="Calibri" w:hAnsi="Calibri" w:cs="Calibri"/>
          <w:i/>
          <w:iCs/>
          <w:lang w:val="ro-RO"/>
        </w:rPr>
        <w:t xml:space="preserve"> (2</w:t>
      </w:r>
      <w:r w:rsidR="005E3FFC" w:rsidRPr="00834B27">
        <w:rPr>
          <w:rFonts w:ascii="Calibri" w:hAnsi="Calibri" w:cs="Calibri"/>
          <w:i/>
          <w:iCs/>
          <w:lang w:val="ro-RO"/>
        </w:rPr>
        <w:t>9</w:t>
      </w:r>
      <w:r w:rsidR="005007B9" w:rsidRPr="00834B27">
        <w:rPr>
          <w:rFonts w:ascii="Calibri" w:hAnsi="Calibri" w:cs="Calibri"/>
          <w:i/>
          <w:iCs/>
          <w:lang w:val="ro-RO"/>
        </w:rPr>
        <w:t xml:space="preserve"> octombrie 2021)</w:t>
      </w:r>
      <w:r w:rsidR="00D62344" w:rsidRPr="00834B27">
        <w:rPr>
          <w:rFonts w:ascii="Calibri" w:hAnsi="Calibri" w:cs="Calibri"/>
          <w:i/>
          <w:iCs/>
          <w:lang w:val="ro-RO"/>
        </w:rPr>
        <w:t xml:space="preserve"> </w:t>
      </w:r>
      <w:r w:rsidR="000F6CFD" w:rsidRPr="00834B27">
        <w:rPr>
          <w:rFonts w:ascii="Calibri" w:hAnsi="Calibri" w:cs="Calibri"/>
          <w:i/>
          <w:iCs/>
          <w:lang w:val="ro-RO"/>
        </w:rPr>
        <w:t>eliminarea gradual</w:t>
      </w:r>
      <w:r w:rsidR="00B36A60" w:rsidRPr="00834B27">
        <w:rPr>
          <w:rFonts w:ascii="Calibri" w:hAnsi="Calibri" w:cs="Calibri"/>
          <w:i/>
          <w:iCs/>
          <w:lang w:val="ro-RO"/>
        </w:rPr>
        <w:t>ă</w:t>
      </w:r>
      <w:r w:rsidR="00D62344" w:rsidRPr="00834B27">
        <w:rPr>
          <w:rFonts w:ascii="Calibri" w:hAnsi="Calibri" w:cs="Calibri"/>
          <w:i/>
          <w:iCs/>
          <w:lang w:val="ro-RO"/>
        </w:rPr>
        <w:t xml:space="preserve"> a tuturor scutirilor...</w:t>
      </w:r>
      <w:r w:rsidR="005007B9" w:rsidRPr="00834B27">
        <w:rPr>
          <w:rFonts w:ascii="Calibri" w:hAnsi="Calibri" w:cs="Calibri"/>
          <w:i/>
          <w:iCs/>
          <w:lang w:val="ro-RO"/>
        </w:rPr>
        <w:t xml:space="preserve"> </w:t>
      </w:r>
    </w:p>
    <w:p w14:paraId="6E11BC25" w14:textId="77777777" w:rsidR="00D8291C" w:rsidRPr="00834B27" w:rsidRDefault="00D8291C" w:rsidP="00B91E74">
      <w:pPr>
        <w:spacing w:line="276" w:lineRule="auto"/>
        <w:jc w:val="both"/>
        <w:rPr>
          <w:rFonts w:ascii="Calibri" w:hAnsi="Calibri" w:cs="Calibri"/>
          <w:lang w:val="ro-RO"/>
        </w:rPr>
      </w:pPr>
    </w:p>
    <w:p w14:paraId="5600620A" w14:textId="06562B45" w:rsidR="007B12B3" w:rsidRPr="00834B27" w:rsidRDefault="007B12B3" w:rsidP="00B91E74">
      <w:pPr>
        <w:pStyle w:val="Listparagraf"/>
        <w:numPr>
          <w:ilvl w:val="2"/>
          <w:numId w:val="7"/>
        </w:numPr>
        <w:spacing w:line="276" w:lineRule="auto"/>
        <w:contextualSpacing w:val="0"/>
        <w:jc w:val="both"/>
        <w:rPr>
          <w:rFonts w:ascii="Calibri" w:hAnsi="Calibri" w:cs="Calibri"/>
          <w:b/>
          <w:bCs/>
          <w:lang w:val="ro-RO"/>
        </w:rPr>
      </w:pPr>
      <w:r w:rsidRPr="00834B27">
        <w:rPr>
          <w:rFonts w:ascii="Calibri" w:hAnsi="Calibri" w:cs="Calibri"/>
          <w:b/>
          <w:bCs/>
          <w:lang w:val="ro-RO"/>
        </w:rPr>
        <w:t>CAM</w:t>
      </w:r>
      <w:r w:rsidR="009019B7" w:rsidRPr="00834B27">
        <w:rPr>
          <w:rFonts w:ascii="Calibri" w:hAnsi="Calibri" w:cs="Calibri"/>
          <w:b/>
          <w:bCs/>
          <w:lang w:val="ro-RO"/>
        </w:rPr>
        <w:t xml:space="preserve"> – Contribuția angajatorilor pentru muncă</w:t>
      </w:r>
    </w:p>
    <w:p w14:paraId="52BC0A76" w14:textId="230C4B9C" w:rsidR="00813732" w:rsidRPr="00834B27" w:rsidRDefault="007B12B3" w:rsidP="00B91E74">
      <w:pPr>
        <w:spacing w:line="276" w:lineRule="auto"/>
        <w:jc w:val="both"/>
        <w:rPr>
          <w:rFonts w:ascii="Calibri" w:hAnsi="Calibri" w:cs="Calibri"/>
          <w:lang w:val="ro-RO"/>
        </w:rPr>
      </w:pPr>
      <w:r w:rsidRPr="00834B27">
        <w:rPr>
          <w:rFonts w:ascii="Calibri" w:hAnsi="Calibri" w:cs="Calibri"/>
          <w:lang w:val="ro-RO"/>
        </w:rPr>
        <w:t>CAM</w:t>
      </w:r>
      <w:r w:rsidR="008239EA" w:rsidRPr="00834B27">
        <w:rPr>
          <w:rFonts w:ascii="Calibri" w:hAnsi="Calibri" w:cs="Calibri"/>
          <w:lang w:val="ro-RO"/>
        </w:rPr>
        <w:t xml:space="preserve">, </w:t>
      </w:r>
      <w:r w:rsidR="00B36A60" w:rsidRPr="00834B27">
        <w:rPr>
          <w:rFonts w:ascii="Calibri" w:hAnsi="Calibri" w:cs="Calibri"/>
          <w:lang w:val="ro-RO"/>
        </w:rPr>
        <w:t>î</w:t>
      </w:r>
      <w:r w:rsidR="008239EA" w:rsidRPr="00834B27">
        <w:rPr>
          <w:rFonts w:ascii="Calibri" w:hAnsi="Calibri" w:cs="Calibri"/>
          <w:lang w:val="ro-RO"/>
        </w:rPr>
        <w:t>n cuantum de 2,25% din fondul de salarii</w:t>
      </w:r>
      <w:r w:rsidR="00F76DF9" w:rsidRPr="00834B27">
        <w:rPr>
          <w:rFonts w:ascii="Calibri" w:hAnsi="Calibri" w:cs="Calibri"/>
          <w:lang w:val="ro-RO"/>
        </w:rPr>
        <w:t xml:space="preserve"> nu face obiectul prezentului studiu</w:t>
      </w:r>
      <w:r w:rsidR="00E6777D" w:rsidRPr="00834B27">
        <w:rPr>
          <w:rFonts w:ascii="Calibri" w:hAnsi="Calibri" w:cs="Calibri"/>
          <w:lang w:val="ro-RO"/>
        </w:rPr>
        <w:t xml:space="preserve"> </w:t>
      </w:r>
      <w:r w:rsidR="00B36A60" w:rsidRPr="00834B27">
        <w:rPr>
          <w:rFonts w:ascii="Calibri" w:hAnsi="Calibri" w:cs="Calibri"/>
          <w:lang w:val="ro-RO"/>
        </w:rPr>
        <w:t>ș</w:t>
      </w:r>
      <w:r w:rsidR="00AE416A" w:rsidRPr="00834B27">
        <w:rPr>
          <w:rFonts w:ascii="Calibri" w:hAnsi="Calibri" w:cs="Calibri"/>
          <w:lang w:val="ro-RO"/>
        </w:rPr>
        <w:t xml:space="preserve">i nu o includem </w:t>
      </w:r>
      <w:r w:rsidR="00B36A60" w:rsidRPr="00834B27">
        <w:rPr>
          <w:rFonts w:ascii="Calibri" w:hAnsi="Calibri" w:cs="Calibri"/>
          <w:lang w:val="ro-RO"/>
        </w:rPr>
        <w:t>î</w:t>
      </w:r>
      <w:r w:rsidR="00AE416A" w:rsidRPr="00834B27">
        <w:rPr>
          <w:rFonts w:ascii="Calibri" w:hAnsi="Calibri" w:cs="Calibri"/>
          <w:lang w:val="ro-RO"/>
        </w:rPr>
        <w:t>n SFT.</w:t>
      </w:r>
      <w:r w:rsidR="009F27A1" w:rsidRPr="00834B27">
        <w:rPr>
          <w:rFonts w:ascii="Calibri" w:hAnsi="Calibri" w:cs="Calibri"/>
          <w:lang w:val="ro-RO"/>
        </w:rPr>
        <w:t xml:space="preserve"> Am luat aceasta decizie</w:t>
      </w:r>
      <w:r w:rsidR="00EF2EA7" w:rsidRPr="00834B27">
        <w:rPr>
          <w:rFonts w:ascii="Calibri" w:hAnsi="Calibri" w:cs="Calibri"/>
          <w:lang w:val="ro-RO"/>
        </w:rPr>
        <w:t xml:space="preserve"> </w:t>
      </w:r>
      <w:r w:rsidR="00647E16" w:rsidRPr="00834B27">
        <w:rPr>
          <w:rFonts w:ascii="Calibri" w:hAnsi="Calibri" w:cs="Calibri"/>
          <w:lang w:val="ro-RO"/>
        </w:rPr>
        <w:t>deoarece</w:t>
      </w:r>
      <w:r w:rsidR="00D257EC" w:rsidRPr="00834B27">
        <w:rPr>
          <w:rFonts w:ascii="Calibri" w:hAnsi="Calibri" w:cs="Calibri"/>
          <w:lang w:val="ro-RO"/>
        </w:rPr>
        <w:t xml:space="preserve"> CAM </w:t>
      </w:r>
      <w:r w:rsidR="003B2093" w:rsidRPr="00834B27">
        <w:rPr>
          <w:rFonts w:ascii="Calibri" w:hAnsi="Calibri" w:cs="Calibri"/>
          <w:lang w:val="ro-RO"/>
        </w:rPr>
        <w:t>i</w:t>
      </w:r>
      <w:r w:rsidR="00777BDB" w:rsidRPr="00834B27">
        <w:rPr>
          <w:rFonts w:ascii="Calibri" w:hAnsi="Calibri" w:cs="Calibri"/>
          <w:lang w:val="ro-RO"/>
        </w:rPr>
        <w:t xml:space="preserve">nclude componente </w:t>
      </w:r>
      <w:r w:rsidR="00104516" w:rsidRPr="00834B27">
        <w:rPr>
          <w:rFonts w:ascii="Calibri" w:hAnsi="Calibri" w:cs="Calibri"/>
          <w:lang w:val="ro-RO"/>
        </w:rPr>
        <w:t>care sunt legate strict de natura CIM (</w:t>
      </w:r>
      <w:r w:rsidR="00517747" w:rsidRPr="00834B27">
        <w:rPr>
          <w:rFonts w:ascii="Calibri" w:hAnsi="Calibri" w:cs="Calibri"/>
          <w:lang w:val="ro-RO"/>
        </w:rPr>
        <w:t xml:space="preserve">contribuția pentru </w:t>
      </w:r>
      <w:r w:rsidR="00104516" w:rsidRPr="00834B27">
        <w:rPr>
          <w:rFonts w:ascii="Calibri" w:hAnsi="Calibri" w:cs="Calibri"/>
          <w:lang w:val="ro-RO"/>
        </w:rPr>
        <w:t>asigur</w:t>
      </w:r>
      <w:r w:rsidR="003755EC" w:rsidRPr="00834B27">
        <w:rPr>
          <w:rFonts w:ascii="Calibri" w:hAnsi="Calibri" w:cs="Calibri"/>
          <w:lang w:val="ro-RO"/>
        </w:rPr>
        <w:t>are</w:t>
      </w:r>
      <w:r w:rsidR="00517747" w:rsidRPr="00834B27">
        <w:rPr>
          <w:rFonts w:ascii="Calibri" w:hAnsi="Calibri" w:cs="Calibri"/>
          <w:lang w:val="ro-RO"/>
        </w:rPr>
        <w:t>a</w:t>
      </w:r>
      <w:r w:rsidR="003755EC" w:rsidRPr="00834B27">
        <w:rPr>
          <w:rFonts w:ascii="Calibri" w:hAnsi="Calibri" w:cs="Calibri"/>
          <w:lang w:val="ro-RO"/>
        </w:rPr>
        <w:t xml:space="preserve"> de somaj, </w:t>
      </w:r>
      <w:r w:rsidR="00517747" w:rsidRPr="00834B27">
        <w:rPr>
          <w:rFonts w:ascii="Calibri" w:hAnsi="Calibri" w:cs="Calibri"/>
          <w:lang w:val="ro-RO"/>
        </w:rPr>
        <w:t>contribuția pentru</w:t>
      </w:r>
      <w:r w:rsidR="003755EC" w:rsidRPr="00834B27">
        <w:rPr>
          <w:rFonts w:ascii="Calibri" w:hAnsi="Calibri" w:cs="Calibri"/>
          <w:lang w:val="ro-RO"/>
        </w:rPr>
        <w:t xml:space="preserve"> de concedii</w:t>
      </w:r>
      <w:r w:rsidR="00345366" w:rsidRPr="00834B27">
        <w:rPr>
          <w:rFonts w:ascii="Calibri" w:hAnsi="Calibri" w:cs="Calibri"/>
          <w:lang w:val="ro-RO"/>
        </w:rPr>
        <w:t xml:space="preserve"> și </w:t>
      </w:r>
      <w:r w:rsidR="00345366" w:rsidRPr="00834B27">
        <w:rPr>
          <w:rFonts w:ascii="Calibri" w:hAnsi="Calibri" w:cs="Calibri"/>
          <w:lang w:val="ro-RO"/>
        </w:rPr>
        <w:lastRenderedPageBreak/>
        <w:t>indemnizații de asigurări medicale</w:t>
      </w:r>
      <w:r w:rsidR="003755EC" w:rsidRPr="00834B27">
        <w:rPr>
          <w:rFonts w:ascii="Calibri" w:hAnsi="Calibri" w:cs="Calibri"/>
          <w:lang w:val="ro-RO"/>
        </w:rPr>
        <w:t xml:space="preserve"> medicale, </w:t>
      </w:r>
      <w:r w:rsidR="00B70AFB" w:rsidRPr="00834B27">
        <w:rPr>
          <w:rFonts w:ascii="Calibri" w:hAnsi="Calibri" w:cs="Calibri"/>
          <w:lang w:val="ro-RO"/>
        </w:rPr>
        <w:t xml:space="preserve">contribuția pentru </w:t>
      </w:r>
      <w:r w:rsidR="003755EC" w:rsidRPr="00834B27">
        <w:rPr>
          <w:rFonts w:ascii="Calibri" w:hAnsi="Calibri" w:cs="Calibri"/>
          <w:lang w:val="ro-RO"/>
        </w:rPr>
        <w:t>asigurare</w:t>
      </w:r>
      <w:r w:rsidR="00B70AFB" w:rsidRPr="00834B27">
        <w:rPr>
          <w:rFonts w:ascii="Calibri" w:hAnsi="Calibri" w:cs="Calibri"/>
          <w:lang w:val="ro-RO"/>
        </w:rPr>
        <w:t>a</w:t>
      </w:r>
      <w:r w:rsidR="003755EC" w:rsidRPr="00834B27">
        <w:rPr>
          <w:rFonts w:ascii="Calibri" w:hAnsi="Calibri" w:cs="Calibri"/>
          <w:lang w:val="ro-RO"/>
        </w:rPr>
        <w:t xml:space="preserve"> de </w:t>
      </w:r>
      <w:r w:rsidR="00BD737D" w:rsidRPr="00834B27">
        <w:rPr>
          <w:rFonts w:ascii="Calibri" w:hAnsi="Calibri" w:cs="Calibri"/>
          <w:lang w:val="ro-RO"/>
        </w:rPr>
        <w:t>accidente de muncă și boli profesionale, contribuția la fondul de garantare al creanțelor salariale</w:t>
      </w:r>
      <w:r w:rsidR="005F5837" w:rsidRPr="00834B27">
        <w:rPr>
          <w:rFonts w:ascii="Calibri" w:hAnsi="Calibri" w:cs="Calibri"/>
          <w:lang w:val="ro-RO"/>
        </w:rPr>
        <w:t>), iar procentul de doar 2,25% considerăm că nu este de natură a crea tentația apelării la forme de arbitraj fiscal.</w:t>
      </w:r>
    </w:p>
    <w:p w14:paraId="79A6A1E3" w14:textId="75611B93" w:rsidR="002F2777" w:rsidRPr="00834B27" w:rsidRDefault="002F2777">
      <w:pPr>
        <w:rPr>
          <w:rFonts w:ascii="Calibri" w:hAnsi="Calibri" w:cs="Calibri"/>
          <w:lang w:val="ro-RO"/>
        </w:rPr>
      </w:pPr>
      <w:r w:rsidRPr="00834B27">
        <w:rPr>
          <w:rFonts w:ascii="Calibri" w:hAnsi="Calibri" w:cs="Calibri"/>
          <w:lang w:val="ro-RO"/>
        </w:rPr>
        <w:br w:type="page"/>
      </w:r>
    </w:p>
    <w:p w14:paraId="00DAEEDA" w14:textId="28C73903" w:rsidR="00D62344" w:rsidRPr="00834B27" w:rsidRDefault="009B7B7D" w:rsidP="009F2FDA">
      <w:pPr>
        <w:pStyle w:val="Listparagraf"/>
        <w:numPr>
          <w:ilvl w:val="1"/>
          <w:numId w:val="5"/>
        </w:numPr>
        <w:spacing w:line="276" w:lineRule="auto"/>
        <w:ind w:left="720" w:hanging="720"/>
        <w:contextualSpacing w:val="0"/>
        <w:jc w:val="both"/>
        <w:outlineLvl w:val="1"/>
        <w:rPr>
          <w:rFonts w:ascii="Calibri" w:hAnsi="Calibri" w:cs="Calibri"/>
          <w:b/>
          <w:bCs/>
          <w:lang w:val="ro-RO"/>
        </w:rPr>
      </w:pPr>
      <w:bookmarkStart w:id="3" w:name="_Toc223643872"/>
      <w:r w:rsidRPr="00834B27">
        <w:rPr>
          <w:rFonts w:ascii="Calibri" w:hAnsi="Calibri" w:cs="Calibri"/>
          <w:b/>
          <w:bCs/>
          <w:lang w:val="ro-RO"/>
        </w:rPr>
        <w:lastRenderedPageBreak/>
        <w:t xml:space="preserve">Venituri din </w:t>
      </w:r>
      <w:r w:rsidR="00B36A60" w:rsidRPr="00834B27">
        <w:rPr>
          <w:rFonts w:ascii="Calibri" w:hAnsi="Calibri" w:cs="Calibri"/>
          <w:b/>
          <w:bCs/>
          <w:lang w:val="ro-RO"/>
        </w:rPr>
        <w:t>activită</w:t>
      </w:r>
      <w:r w:rsidR="00D77C4B" w:rsidRPr="00834B27">
        <w:rPr>
          <w:rFonts w:ascii="Calibri" w:hAnsi="Calibri" w:cs="Calibri"/>
          <w:b/>
          <w:bCs/>
          <w:lang w:val="ro-RO"/>
        </w:rPr>
        <w:t>ț</w:t>
      </w:r>
      <w:r w:rsidR="00B36A60" w:rsidRPr="00834B27">
        <w:rPr>
          <w:rFonts w:ascii="Calibri" w:hAnsi="Calibri" w:cs="Calibri"/>
          <w:b/>
          <w:bCs/>
          <w:lang w:val="ro-RO"/>
        </w:rPr>
        <w:t>i</w:t>
      </w:r>
      <w:r w:rsidRPr="00834B27">
        <w:rPr>
          <w:rFonts w:ascii="Calibri" w:hAnsi="Calibri" w:cs="Calibri"/>
          <w:b/>
          <w:bCs/>
          <w:lang w:val="ro-RO"/>
        </w:rPr>
        <w:t xml:space="preserve"> independente</w:t>
      </w:r>
      <w:bookmarkEnd w:id="3"/>
    </w:p>
    <w:p w14:paraId="1E02529D" w14:textId="59E8835E" w:rsidR="009B7B7D" w:rsidRPr="00834B27" w:rsidRDefault="00D4735C" w:rsidP="00B91E74">
      <w:pPr>
        <w:spacing w:line="276" w:lineRule="auto"/>
        <w:jc w:val="both"/>
        <w:rPr>
          <w:rFonts w:ascii="Calibri" w:hAnsi="Calibri" w:cs="Calibri"/>
          <w:lang w:val="ro-RO"/>
        </w:rPr>
      </w:pPr>
      <w:r w:rsidRPr="00834B27">
        <w:rPr>
          <w:rFonts w:ascii="Calibri" w:hAnsi="Calibri" w:cs="Calibri"/>
          <w:lang w:val="ro-RO"/>
        </w:rPr>
        <w:t xml:space="preserve">Veniturile din </w:t>
      </w:r>
      <w:r w:rsidR="00B36A60" w:rsidRPr="00834B27">
        <w:rPr>
          <w:rFonts w:ascii="Calibri" w:hAnsi="Calibri" w:cs="Calibri"/>
          <w:lang w:val="ro-RO"/>
        </w:rPr>
        <w:t>activită</w:t>
      </w:r>
      <w:r w:rsidR="00D77C4B" w:rsidRPr="00834B27">
        <w:rPr>
          <w:rFonts w:ascii="Calibri" w:hAnsi="Calibri" w:cs="Calibri"/>
          <w:lang w:val="ro-RO"/>
        </w:rPr>
        <w:t>ț</w:t>
      </w:r>
      <w:r w:rsidR="00B36A60" w:rsidRPr="00834B27">
        <w:rPr>
          <w:rFonts w:ascii="Calibri" w:hAnsi="Calibri" w:cs="Calibri"/>
          <w:lang w:val="ro-RO"/>
        </w:rPr>
        <w:t>i</w:t>
      </w:r>
      <w:r w:rsidRPr="00834B27">
        <w:rPr>
          <w:rFonts w:ascii="Calibri" w:hAnsi="Calibri" w:cs="Calibri"/>
          <w:lang w:val="ro-RO"/>
        </w:rPr>
        <w:t xml:space="preserve"> independente sunt </w:t>
      </w:r>
      <w:r w:rsidR="00F53511" w:rsidRPr="00834B27">
        <w:rPr>
          <w:rFonts w:ascii="Calibri" w:hAnsi="Calibri" w:cs="Calibri"/>
          <w:lang w:val="ro-RO"/>
        </w:rPr>
        <w:t xml:space="preserve">cele definite </w:t>
      </w:r>
      <w:r w:rsidR="004E6125" w:rsidRPr="00834B27">
        <w:rPr>
          <w:rFonts w:ascii="Calibri" w:hAnsi="Calibri" w:cs="Calibri"/>
          <w:lang w:val="ro-RO"/>
        </w:rPr>
        <w:t xml:space="preserve">la art. 7 pct. 3) </w:t>
      </w:r>
      <w:r w:rsidR="00FC27F0" w:rsidRPr="00834B27">
        <w:rPr>
          <w:rFonts w:ascii="Calibri" w:hAnsi="Calibri" w:cs="Calibri"/>
          <w:lang w:val="ro-RO"/>
        </w:rPr>
        <w:t xml:space="preserve">și la art. </w:t>
      </w:r>
      <w:r w:rsidR="00336E4B" w:rsidRPr="00834B27">
        <w:rPr>
          <w:rFonts w:ascii="Calibri" w:hAnsi="Calibri" w:cs="Calibri"/>
          <w:lang w:val="ro-RO"/>
        </w:rPr>
        <w:t xml:space="preserve">67 </w:t>
      </w:r>
      <w:r w:rsidR="004E6125" w:rsidRPr="00834B27">
        <w:rPr>
          <w:rFonts w:ascii="Calibri" w:hAnsi="Calibri" w:cs="Calibri"/>
          <w:lang w:val="ro-RO"/>
        </w:rPr>
        <w:t xml:space="preserve">din </w:t>
      </w:r>
      <w:r w:rsidR="00B36A60" w:rsidRPr="00834B27">
        <w:rPr>
          <w:rFonts w:ascii="Calibri" w:hAnsi="Calibri" w:cs="Calibri"/>
          <w:lang w:val="ro-RO"/>
        </w:rPr>
        <w:t>CF</w:t>
      </w:r>
      <w:r w:rsidR="004E6125" w:rsidRPr="00834B27">
        <w:rPr>
          <w:rFonts w:ascii="Calibri" w:hAnsi="Calibri" w:cs="Calibri"/>
          <w:lang w:val="ro-RO"/>
        </w:rPr>
        <w:t xml:space="preserve"> </w:t>
      </w:r>
      <w:r w:rsidR="00B36A60" w:rsidRPr="00834B27">
        <w:rPr>
          <w:rFonts w:ascii="Calibri" w:hAnsi="Calibri" w:cs="Calibri"/>
          <w:lang w:val="ro-RO"/>
        </w:rPr>
        <w:t>ș</w:t>
      </w:r>
      <w:r w:rsidR="004E6125" w:rsidRPr="00834B27">
        <w:rPr>
          <w:rFonts w:ascii="Calibri" w:hAnsi="Calibri" w:cs="Calibri"/>
          <w:lang w:val="ro-RO"/>
        </w:rPr>
        <w:t xml:space="preserve">i </w:t>
      </w:r>
      <w:r w:rsidR="00A93B3C" w:rsidRPr="00834B27">
        <w:rPr>
          <w:rFonts w:ascii="Calibri" w:hAnsi="Calibri" w:cs="Calibri"/>
          <w:lang w:val="ro-RO"/>
        </w:rPr>
        <w:t>cuprind veniturile din activită</w:t>
      </w:r>
      <w:r w:rsidR="00D77C4B" w:rsidRPr="00834B27">
        <w:rPr>
          <w:rFonts w:ascii="Calibri" w:hAnsi="Calibri" w:cs="Calibri"/>
          <w:lang w:val="ro-RO"/>
        </w:rPr>
        <w:t>ț</w:t>
      </w:r>
      <w:r w:rsidR="00A93B3C" w:rsidRPr="00834B27">
        <w:rPr>
          <w:rFonts w:ascii="Calibri" w:hAnsi="Calibri" w:cs="Calibri"/>
          <w:lang w:val="ro-RO"/>
        </w:rPr>
        <w:t>i de produc</w:t>
      </w:r>
      <w:r w:rsidR="00D77C4B" w:rsidRPr="00834B27">
        <w:rPr>
          <w:rFonts w:ascii="Calibri" w:hAnsi="Calibri" w:cs="Calibri"/>
          <w:lang w:val="ro-RO"/>
        </w:rPr>
        <w:t>ț</w:t>
      </w:r>
      <w:r w:rsidR="00A93B3C" w:rsidRPr="00834B27">
        <w:rPr>
          <w:rFonts w:ascii="Calibri" w:hAnsi="Calibri" w:cs="Calibri"/>
          <w:lang w:val="ro-RO"/>
        </w:rPr>
        <w:t>ie, comer</w:t>
      </w:r>
      <w:r w:rsidR="00D77C4B" w:rsidRPr="00834B27">
        <w:rPr>
          <w:rFonts w:ascii="Calibri" w:hAnsi="Calibri" w:cs="Calibri"/>
          <w:lang w:val="ro-RO"/>
        </w:rPr>
        <w:t>ț</w:t>
      </w:r>
      <w:r w:rsidR="00A93B3C" w:rsidRPr="00834B27">
        <w:rPr>
          <w:rFonts w:ascii="Calibri" w:hAnsi="Calibri" w:cs="Calibri"/>
          <w:lang w:val="ro-RO"/>
        </w:rPr>
        <w:t>, prestări de servicii și veniturile din profesii liber</w:t>
      </w:r>
      <w:r w:rsidR="009019B7" w:rsidRPr="00834B27">
        <w:rPr>
          <w:rFonts w:ascii="Calibri" w:hAnsi="Calibri" w:cs="Calibri"/>
          <w:lang w:val="ro-RO"/>
        </w:rPr>
        <w:t>al</w:t>
      </w:r>
      <w:r w:rsidR="00B36A60" w:rsidRPr="00834B27">
        <w:rPr>
          <w:rFonts w:ascii="Calibri" w:hAnsi="Calibri" w:cs="Calibri"/>
          <w:lang w:val="ro-RO"/>
        </w:rPr>
        <w:t>e</w:t>
      </w:r>
      <w:r w:rsidR="00E53616" w:rsidRPr="00834B27">
        <w:rPr>
          <w:rFonts w:ascii="Calibri" w:hAnsi="Calibri" w:cs="Calibri"/>
          <w:lang w:val="ro-RO"/>
        </w:rPr>
        <w:t xml:space="preserve"> (</w:t>
      </w:r>
      <w:r w:rsidR="00B36A60" w:rsidRPr="00834B27">
        <w:rPr>
          <w:rFonts w:ascii="Calibri" w:hAnsi="Calibri" w:cs="Calibri"/>
          <w:lang w:val="ro-RO"/>
        </w:rPr>
        <w:t>avoca</w:t>
      </w:r>
      <w:r w:rsidR="00D77C4B" w:rsidRPr="00834B27">
        <w:rPr>
          <w:rFonts w:ascii="Calibri" w:hAnsi="Calibri" w:cs="Calibri"/>
          <w:lang w:val="ro-RO"/>
        </w:rPr>
        <w:t>ț</w:t>
      </w:r>
      <w:r w:rsidR="00B36A60" w:rsidRPr="00834B27">
        <w:rPr>
          <w:rFonts w:ascii="Calibri" w:hAnsi="Calibri" w:cs="Calibri"/>
          <w:lang w:val="ro-RO"/>
        </w:rPr>
        <w:t>i</w:t>
      </w:r>
      <w:r w:rsidR="00E53616" w:rsidRPr="00834B27">
        <w:rPr>
          <w:rFonts w:ascii="Calibri" w:hAnsi="Calibri" w:cs="Calibri"/>
          <w:lang w:val="ro-RO"/>
        </w:rPr>
        <w:t xml:space="preserve">, notari, executori </w:t>
      </w:r>
      <w:r w:rsidR="00B36A60" w:rsidRPr="00834B27">
        <w:rPr>
          <w:rFonts w:ascii="Calibri" w:hAnsi="Calibri" w:cs="Calibri"/>
          <w:lang w:val="ro-RO"/>
        </w:rPr>
        <w:t>judecătorești</w:t>
      </w:r>
      <w:r w:rsidR="00E53616" w:rsidRPr="00834B27">
        <w:rPr>
          <w:rFonts w:ascii="Calibri" w:hAnsi="Calibri" w:cs="Calibri"/>
          <w:lang w:val="ro-RO"/>
        </w:rPr>
        <w:t xml:space="preserve">, contabili, </w:t>
      </w:r>
      <w:r w:rsidR="00B36A60" w:rsidRPr="00834B27">
        <w:rPr>
          <w:rFonts w:ascii="Calibri" w:hAnsi="Calibri" w:cs="Calibri"/>
          <w:lang w:val="ro-RO"/>
        </w:rPr>
        <w:t>consultan</w:t>
      </w:r>
      <w:r w:rsidR="00D77C4B" w:rsidRPr="00834B27">
        <w:rPr>
          <w:rFonts w:ascii="Calibri" w:hAnsi="Calibri" w:cs="Calibri"/>
          <w:lang w:val="ro-RO"/>
        </w:rPr>
        <w:t>ț</w:t>
      </w:r>
      <w:r w:rsidR="00B36A60" w:rsidRPr="00834B27">
        <w:rPr>
          <w:rFonts w:ascii="Calibri" w:hAnsi="Calibri" w:cs="Calibri"/>
          <w:lang w:val="ro-RO"/>
        </w:rPr>
        <w:t>i</w:t>
      </w:r>
      <w:r w:rsidR="00E53616" w:rsidRPr="00834B27">
        <w:rPr>
          <w:rFonts w:ascii="Calibri" w:hAnsi="Calibri" w:cs="Calibri"/>
          <w:lang w:val="ro-RO"/>
        </w:rPr>
        <w:t xml:space="preserve"> fiscali, medici, </w:t>
      </w:r>
      <w:r w:rsidR="00B36A60" w:rsidRPr="00834B27">
        <w:rPr>
          <w:rFonts w:ascii="Calibri" w:hAnsi="Calibri" w:cs="Calibri"/>
          <w:lang w:val="ro-RO"/>
        </w:rPr>
        <w:t>arhitec</w:t>
      </w:r>
      <w:r w:rsidR="00D77C4B" w:rsidRPr="00834B27">
        <w:rPr>
          <w:rFonts w:ascii="Calibri" w:hAnsi="Calibri" w:cs="Calibri"/>
          <w:lang w:val="ro-RO"/>
        </w:rPr>
        <w:t>ț</w:t>
      </w:r>
      <w:r w:rsidR="00B36A60" w:rsidRPr="00834B27">
        <w:rPr>
          <w:rFonts w:ascii="Calibri" w:hAnsi="Calibri" w:cs="Calibri"/>
          <w:lang w:val="ro-RO"/>
        </w:rPr>
        <w:t>i</w:t>
      </w:r>
      <w:r w:rsidR="00E53616" w:rsidRPr="00834B27">
        <w:rPr>
          <w:rFonts w:ascii="Calibri" w:hAnsi="Calibri" w:cs="Calibri"/>
          <w:lang w:val="ro-RO"/>
        </w:rPr>
        <w:t>, etc</w:t>
      </w:r>
      <w:r w:rsidR="00B36A60" w:rsidRPr="00834B27">
        <w:rPr>
          <w:rFonts w:ascii="Calibri" w:hAnsi="Calibri" w:cs="Calibri"/>
          <w:lang w:val="ro-RO"/>
        </w:rPr>
        <w:t>.</w:t>
      </w:r>
      <w:r w:rsidR="00E53616" w:rsidRPr="00834B27">
        <w:rPr>
          <w:rFonts w:ascii="Calibri" w:hAnsi="Calibri" w:cs="Calibri"/>
          <w:lang w:val="ro-RO"/>
        </w:rPr>
        <w:t>)</w:t>
      </w:r>
      <w:r w:rsidR="00A93B3C" w:rsidRPr="00834B27">
        <w:rPr>
          <w:rFonts w:ascii="Calibri" w:hAnsi="Calibri" w:cs="Calibri"/>
          <w:lang w:val="ro-RO"/>
        </w:rPr>
        <w:t>, realizate în mod individual și/sau într-o formă de asociere</w:t>
      </w:r>
      <w:r w:rsidR="00E53616" w:rsidRPr="00834B27">
        <w:rPr>
          <w:rFonts w:ascii="Calibri" w:hAnsi="Calibri" w:cs="Calibri"/>
          <w:lang w:val="ro-RO"/>
        </w:rPr>
        <w:t xml:space="preserve"> (</w:t>
      </w:r>
      <w:r w:rsidR="009019B7" w:rsidRPr="00834B27">
        <w:rPr>
          <w:rFonts w:ascii="Calibri" w:hAnsi="Calibri" w:cs="Calibri"/>
          <w:lang w:val="ro-RO"/>
        </w:rPr>
        <w:t>a</w:t>
      </w:r>
      <w:r w:rsidR="00E53616" w:rsidRPr="00834B27">
        <w:rPr>
          <w:rFonts w:ascii="Calibri" w:hAnsi="Calibri" w:cs="Calibri"/>
          <w:lang w:val="ro-RO"/>
        </w:rPr>
        <w:t xml:space="preserve">rt. 67(1) din </w:t>
      </w:r>
      <w:r w:rsidR="00B36A60" w:rsidRPr="00834B27">
        <w:rPr>
          <w:rFonts w:ascii="Calibri" w:hAnsi="Calibri" w:cs="Calibri"/>
          <w:lang w:val="ro-RO"/>
        </w:rPr>
        <w:t>CF</w:t>
      </w:r>
      <w:r w:rsidR="00E53616" w:rsidRPr="00834B27">
        <w:rPr>
          <w:rFonts w:ascii="Calibri" w:hAnsi="Calibri" w:cs="Calibri"/>
          <w:lang w:val="ro-RO"/>
        </w:rPr>
        <w:t>).</w:t>
      </w:r>
    </w:p>
    <w:p w14:paraId="10277E31" w14:textId="400EDA5D" w:rsidR="00006D10" w:rsidRPr="00834B27" w:rsidRDefault="00006D10" w:rsidP="00B91E74">
      <w:pPr>
        <w:spacing w:line="276" w:lineRule="auto"/>
        <w:jc w:val="both"/>
        <w:rPr>
          <w:rFonts w:ascii="Calibri" w:hAnsi="Calibri" w:cs="Calibri"/>
          <w:lang w:val="ro-RO"/>
        </w:rPr>
      </w:pPr>
      <w:r w:rsidRPr="00834B27">
        <w:rPr>
          <w:rFonts w:ascii="Calibri" w:hAnsi="Calibri" w:cs="Calibri"/>
          <w:lang w:val="ro-RO"/>
        </w:rPr>
        <w:t xml:space="preserve">Veniturile din </w:t>
      </w:r>
      <w:r w:rsidR="00B36A60" w:rsidRPr="00834B27">
        <w:rPr>
          <w:rFonts w:ascii="Calibri" w:hAnsi="Calibri" w:cs="Calibri"/>
          <w:lang w:val="ro-RO"/>
        </w:rPr>
        <w:t>activită</w:t>
      </w:r>
      <w:r w:rsidR="00D77C4B" w:rsidRPr="00834B27">
        <w:rPr>
          <w:rFonts w:ascii="Calibri" w:hAnsi="Calibri" w:cs="Calibri"/>
          <w:lang w:val="ro-RO"/>
        </w:rPr>
        <w:t>ț</w:t>
      </w:r>
      <w:r w:rsidR="00B36A60" w:rsidRPr="00834B27">
        <w:rPr>
          <w:rFonts w:ascii="Calibri" w:hAnsi="Calibri" w:cs="Calibri"/>
          <w:lang w:val="ro-RO"/>
        </w:rPr>
        <w:t>i</w:t>
      </w:r>
      <w:r w:rsidRPr="00834B27">
        <w:rPr>
          <w:rFonts w:ascii="Calibri" w:hAnsi="Calibri" w:cs="Calibri"/>
          <w:lang w:val="ro-RO"/>
        </w:rPr>
        <w:t xml:space="preserve"> independente includ </w:t>
      </w:r>
      <w:r w:rsidR="00B36A60" w:rsidRPr="00834B27">
        <w:rPr>
          <w:rFonts w:ascii="Calibri" w:hAnsi="Calibri" w:cs="Calibri"/>
          <w:lang w:val="ro-RO"/>
        </w:rPr>
        <w:t>ș</w:t>
      </w:r>
      <w:r w:rsidRPr="00834B27">
        <w:rPr>
          <w:rFonts w:ascii="Calibri" w:hAnsi="Calibri" w:cs="Calibri"/>
          <w:lang w:val="ro-RO"/>
        </w:rPr>
        <w:t>i veniturile din contracte sportive (</w:t>
      </w:r>
      <w:r w:rsidR="00B36A60" w:rsidRPr="00834B27">
        <w:rPr>
          <w:rFonts w:ascii="Calibri" w:hAnsi="Calibri" w:cs="Calibri"/>
          <w:lang w:val="ro-RO"/>
        </w:rPr>
        <w:t>deși</w:t>
      </w:r>
      <w:r w:rsidRPr="00834B27">
        <w:rPr>
          <w:rFonts w:ascii="Calibri" w:hAnsi="Calibri" w:cs="Calibri"/>
          <w:lang w:val="ro-RO"/>
        </w:rPr>
        <w:t xml:space="preserve"> </w:t>
      </w:r>
      <w:r w:rsidR="005D74E8" w:rsidRPr="00834B27">
        <w:rPr>
          <w:rFonts w:ascii="Calibri" w:hAnsi="Calibri" w:cs="Calibri"/>
          <w:lang w:val="ro-RO"/>
        </w:rPr>
        <w:t xml:space="preserve">acestea sunt mai </w:t>
      </w:r>
      <w:r w:rsidR="00B36A60" w:rsidRPr="00834B27">
        <w:rPr>
          <w:rFonts w:ascii="Calibri" w:hAnsi="Calibri" w:cs="Calibri"/>
          <w:lang w:val="ro-RO"/>
        </w:rPr>
        <w:t>degrabă</w:t>
      </w:r>
      <w:r w:rsidR="005D74E8" w:rsidRPr="00834B27">
        <w:rPr>
          <w:rFonts w:ascii="Calibri" w:hAnsi="Calibri" w:cs="Calibri"/>
          <w:lang w:val="ro-RO"/>
        </w:rPr>
        <w:t xml:space="preserve"> </w:t>
      </w:r>
      <w:r w:rsidR="00B36A60" w:rsidRPr="00834B27">
        <w:rPr>
          <w:rFonts w:ascii="Calibri" w:hAnsi="Calibri" w:cs="Calibri"/>
          <w:lang w:val="ro-RO"/>
        </w:rPr>
        <w:t>activită</w:t>
      </w:r>
      <w:r w:rsidR="00D77C4B" w:rsidRPr="00834B27">
        <w:rPr>
          <w:rFonts w:ascii="Calibri" w:hAnsi="Calibri" w:cs="Calibri"/>
          <w:lang w:val="ro-RO"/>
        </w:rPr>
        <w:t>ț</w:t>
      </w:r>
      <w:r w:rsidR="00B36A60" w:rsidRPr="00834B27">
        <w:rPr>
          <w:rFonts w:ascii="Calibri" w:hAnsi="Calibri" w:cs="Calibri"/>
          <w:lang w:val="ro-RO"/>
        </w:rPr>
        <w:t>i</w:t>
      </w:r>
      <w:r w:rsidR="005D74E8" w:rsidRPr="00834B27">
        <w:rPr>
          <w:rFonts w:ascii="Calibri" w:hAnsi="Calibri" w:cs="Calibri"/>
          <w:lang w:val="ro-RO"/>
        </w:rPr>
        <w:t xml:space="preserve"> dependente), </w:t>
      </w:r>
      <w:r w:rsidR="003B3A7F" w:rsidRPr="00834B27">
        <w:rPr>
          <w:rFonts w:ascii="Calibri" w:hAnsi="Calibri" w:cs="Calibri"/>
          <w:lang w:val="ro-RO"/>
        </w:rPr>
        <w:t xml:space="preserve"> </w:t>
      </w:r>
      <w:r w:rsidR="00994B9D" w:rsidRPr="00834B27">
        <w:rPr>
          <w:rFonts w:ascii="Calibri" w:hAnsi="Calibri" w:cs="Calibri"/>
          <w:lang w:val="ro-RO"/>
        </w:rPr>
        <w:t xml:space="preserve">, precum </w:t>
      </w:r>
      <w:r w:rsidR="00383F99" w:rsidRPr="00834B27">
        <w:rPr>
          <w:rFonts w:ascii="Calibri" w:hAnsi="Calibri" w:cs="Calibri"/>
          <w:lang w:val="ro-RO"/>
        </w:rPr>
        <w:t>ș</w:t>
      </w:r>
      <w:r w:rsidR="00994B9D" w:rsidRPr="00834B27">
        <w:rPr>
          <w:rFonts w:ascii="Calibri" w:hAnsi="Calibri" w:cs="Calibri"/>
          <w:lang w:val="ro-RO"/>
        </w:rPr>
        <w:t xml:space="preserve">i veniturile din </w:t>
      </w:r>
      <w:r w:rsidR="00E1023F" w:rsidRPr="00834B27">
        <w:rPr>
          <w:rFonts w:ascii="Calibri" w:hAnsi="Calibri" w:cs="Calibri"/>
          <w:lang w:val="ro-RO"/>
        </w:rPr>
        <w:t>î</w:t>
      </w:r>
      <w:r w:rsidR="00403A93" w:rsidRPr="00834B27">
        <w:rPr>
          <w:rFonts w:ascii="Calibri" w:hAnsi="Calibri" w:cs="Calibri"/>
          <w:lang w:val="ro-RO"/>
        </w:rPr>
        <w:t xml:space="preserve">nchirierea în scop turistic și inchirierea </w:t>
      </w:r>
      <w:r w:rsidR="002E25B2" w:rsidRPr="00834B27">
        <w:rPr>
          <w:rFonts w:ascii="Calibri" w:hAnsi="Calibri" w:cs="Calibri"/>
          <w:lang w:val="ro-RO"/>
        </w:rPr>
        <w:t xml:space="preserve">pe termen scurt </w:t>
      </w:r>
      <w:r w:rsidR="00403A93" w:rsidRPr="00834B27">
        <w:rPr>
          <w:rFonts w:ascii="Calibri" w:hAnsi="Calibri" w:cs="Calibri"/>
          <w:lang w:val="ro-RO"/>
        </w:rPr>
        <w:t>a mai mult de 7 camere situate în locu</w:t>
      </w:r>
      <w:r w:rsidR="002E25B2" w:rsidRPr="00834B27">
        <w:rPr>
          <w:rFonts w:ascii="Calibri" w:hAnsi="Calibri" w:cs="Calibri"/>
          <w:lang w:val="ro-RO"/>
        </w:rPr>
        <w:t>i</w:t>
      </w:r>
      <w:r w:rsidR="00403A93" w:rsidRPr="00834B27">
        <w:rPr>
          <w:rFonts w:ascii="Calibri" w:hAnsi="Calibri" w:cs="Calibri"/>
          <w:lang w:val="ro-RO"/>
        </w:rPr>
        <w:t>nțe personale</w:t>
      </w:r>
      <w:r w:rsidR="00E1023F" w:rsidRPr="00834B27">
        <w:rPr>
          <w:rFonts w:ascii="Calibri" w:hAnsi="Calibri" w:cs="Calibri"/>
          <w:lang w:val="ro-RO"/>
        </w:rPr>
        <w:t>.</w:t>
      </w:r>
    </w:p>
    <w:p w14:paraId="4EB388AE" w14:textId="77777777" w:rsidR="009812B1" w:rsidRPr="00834B27" w:rsidRDefault="009812B1" w:rsidP="00B91E74">
      <w:pPr>
        <w:spacing w:line="276" w:lineRule="auto"/>
        <w:jc w:val="both"/>
        <w:rPr>
          <w:rFonts w:ascii="Calibri" w:hAnsi="Calibri" w:cs="Calibri"/>
          <w:lang w:val="ro-RO"/>
        </w:rPr>
      </w:pPr>
    </w:p>
    <w:p w14:paraId="7763A375" w14:textId="1C51B1D2" w:rsidR="00B34108" w:rsidRPr="00834B27" w:rsidRDefault="00196E0E" w:rsidP="00B91E74">
      <w:pPr>
        <w:pStyle w:val="Listparagraf"/>
        <w:numPr>
          <w:ilvl w:val="2"/>
          <w:numId w:val="24"/>
        </w:numPr>
        <w:spacing w:line="276" w:lineRule="auto"/>
        <w:contextualSpacing w:val="0"/>
        <w:jc w:val="both"/>
        <w:rPr>
          <w:rFonts w:ascii="Calibri" w:hAnsi="Calibri" w:cs="Calibri"/>
          <w:b/>
          <w:bCs/>
          <w:lang w:val="ro-RO"/>
        </w:rPr>
      </w:pPr>
      <w:r w:rsidRPr="00834B27">
        <w:rPr>
          <w:rFonts w:ascii="Calibri" w:hAnsi="Calibri" w:cs="Calibri"/>
          <w:b/>
          <w:bCs/>
          <w:lang w:val="ro-RO"/>
        </w:rPr>
        <w:t>IV</w:t>
      </w:r>
    </w:p>
    <w:p w14:paraId="05C54E48" w14:textId="78693584" w:rsidR="00BC2CE1" w:rsidRPr="00834B27" w:rsidRDefault="00196E0E" w:rsidP="00B91E74">
      <w:pPr>
        <w:spacing w:line="276" w:lineRule="auto"/>
        <w:jc w:val="both"/>
        <w:rPr>
          <w:rFonts w:ascii="Calibri" w:hAnsi="Calibri" w:cs="Calibri"/>
          <w:b/>
          <w:bCs/>
          <w:u w:val="single"/>
          <w:lang w:val="ro-RO"/>
        </w:rPr>
      </w:pPr>
      <w:r w:rsidRPr="00834B27">
        <w:rPr>
          <w:rFonts w:ascii="Calibri" w:hAnsi="Calibri" w:cs="Calibri"/>
          <w:b/>
          <w:bCs/>
          <w:u w:val="single"/>
          <w:lang w:val="ro-RO"/>
        </w:rPr>
        <w:t>Cota de IV:</w:t>
      </w:r>
      <w:r w:rsidRPr="00834B27">
        <w:rPr>
          <w:rFonts w:ascii="Calibri" w:hAnsi="Calibri" w:cs="Calibri"/>
          <w:lang w:val="ro-RO"/>
        </w:rPr>
        <w:t xml:space="preserve"> 10% din venitul impozabil.</w:t>
      </w:r>
      <w:r w:rsidRPr="00834B27">
        <w:rPr>
          <w:rFonts w:ascii="Calibri" w:hAnsi="Calibri" w:cs="Calibri"/>
          <w:b/>
          <w:bCs/>
          <w:u w:val="single"/>
          <w:lang w:val="ro-RO"/>
        </w:rPr>
        <w:t xml:space="preserve">Baza de calcul: </w:t>
      </w:r>
    </w:p>
    <w:p w14:paraId="1BE26C58" w14:textId="362CE853" w:rsidR="00EA2AF2" w:rsidRPr="00834B27" w:rsidRDefault="00196E0E" w:rsidP="00B91E74">
      <w:pPr>
        <w:spacing w:line="276" w:lineRule="auto"/>
        <w:jc w:val="both"/>
        <w:rPr>
          <w:rFonts w:ascii="Calibri" w:hAnsi="Calibri" w:cs="Calibri"/>
          <w:lang w:val="ro-RO"/>
        </w:rPr>
      </w:pPr>
      <w:r w:rsidRPr="00834B27">
        <w:rPr>
          <w:rFonts w:ascii="Calibri" w:hAnsi="Calibri" w:cs="Calibri"/>
          <w:lang w:val="ro-RO"/>
        </w:rPr>
        <w:t>Venitul impoza</w:t>
      </w:r>
      <w:r w:rsidR="006C5B85" w:rsidRPr="00834B27">
        <w:rPr>
          <w:rFonts w:ascii="Calibri" w:hAnsi="Calibri" w:cs="Calibri"/>
          <w:lang w:val="ro-RO"/>
        </w:rPr>
        <w:t xml:space="preserve">bil </w:t>
      </w:r>
      <w:r w:rsidR="00BC2CE1" w:rsidRPr="00834B27">
        <w:rPr>
          <w:rFonts w:ascii="Calibri" w:hAnsi="Calibri" w:cs="Calibri"/>
          <w:lang w:val="ro-RO"/>
        </w:rPr>
        <w:t xml:space="preserve">se </w:t>
      </w:r>
      <w:r w:rsidR="009812B1" w:rsidRPr="00834B27">
        <w:rPr>
          <w:rFonts w:ascii="Calibri" w:hAnsi="Calibri" w:cs="Calibri"/>
          <w:lang w:val="ro-RO"/>
        </w:rPr>
        <w:t>calculează</w:t>
      </w:r>
      <w:r w:rsidR="00EA2AF2" w:rsidRPr="00834B27">
        <w:rPr>
          <w:rFonts w:ascii="Calibri" w:hAnsi="Calibri" w:cs="Calibri"/>
          <w:lang w:val="ro-RO"/>
        </w:rPr>
        <w:t>:</w:t>
      </w:r>
    </w:p>
    <w:p w14:paraId="5575B8D7" w14:textId="46C0DEEA" w:rsidR="00EA2AF2" w:rsidRPr="00834B27" w:rsidRDefault="009812B1" w:rsidP="005602C1">
      <w:pPr>
        <w:pStyle w:val="Listparagraf"/>
        <w:numPr>
          <w:ilvl w:val="0"/>
          <w:numId w:val="1"/>
        </w:numPr>
        <w:spacing w:line="276" w:lineRule="auto"/>
        <w:ind w:left="360"/>
        <w:contextualSpacing w:val="0"/>
        <w:jc w:val="both"/>
        <w:rPr>
          <w:rFonts w:ascii="Calibri" w:hAnsi="Calibri" w:cs="Calibri"/>
          <w:lang w:val="ro-RO"/>
        </w:rPr>
      </w:pPr>
      <w:r w:rsidRPr="00834B27">
        <w:rPr>
          <w:rFonts w:ascii="Calibri" w:hAnsi="Calibri" w:cs="Calibri"/>
          <w:lang w:val="ro-RO"/>
        </w:rPr>
        <w:t>î</w:t>
      </w:r>
      <w:r w:rsidR="00BC2CE1" w:rsidRPr="00834B27">
        <w:rPr>
          <w:rFonts w:ascii="Calibri" w:hAnsi="Calibri" w:cs="Calibri"/>
          <w:lang w:val="ro-RO"/>
        </w:rPr>
        <w:t>n principal</w:t>
      </w:r>
      <w:r w:rsidRPr="00834B27">
        <w:rPr>
          <w:rFonts w:ascii="Calibri" w:hAnsi="Calibri" w:cs="Calibri"/>
          <w:lang w:val="ro-RO"/>
        </w:rPr>
        <w:t>,</w:t>
      </w:r>
      <w:r w:rsidR="00BC2CE1" w:rsidRPr="00834B27">
        <w:rPr>
          <w:rFonts w:ascii="Calibri" w:hAnsi="Calibri" w:cs="Calibri"/>
          <w:lang w:val="ro-RO"/>
        </w:rPr>
        <w:t xml:space="preserve"> ca </w:t>
      </w:r>
      <w:r w:rsidRPr="00834B27">
        <w:rPr>
          <w:rFonts w:ascii="Calibri" w:hAnsi="Calibri" w:cs="Calibri"/>
          <w:lang w:val="ro-RO"/>
        </w:rPr>
        <w:t>diferen</w:t>
      </w:r>
      <w:r w:rsidR="00D77C4B" w:rsidRPr="00834B27">
        <w:rPr>
          <w:rFonts w:ascii="Calibri" w:hAnsi="Calibri" w:cs="Calibri"/>
          <w:lang w:val="ro-RO"/>
        </w:rPr>
        <w:t>ț</w:t>
      </w:r>
      <w:r w:rsidRPr="00834B27">
        <w:rPr>
          <w:rFonts w:ascii="Calibri" w:hAnsi="Calibri" w:cs="Calibri"/>
          <w:lang w:val="ro-RO"/>
        </w:rPr>
        <w:t>ă</w:t>
      </w:r>
      <w:r w:rsidR="00BC2CE1" w:rsidRPr="00834B27">
        <w:rPr>
          <w:rFonts w:ascii="Calibri" w:hAnsi="Calibri" w:cs="Calibri"/>
          <w:lang w:val="ro-RO"/>
        </w:rPr>
        <w:t xml:space="preserve"> dintre venitul brut </w:t>
      </w:r>
      <w:r w:rsidRPr="00834B27">
        <w:rPr>
          <w:rFonts w:ascii="Calibri" w:hAnsi="Calibri" w:cs="Calibri"/>
          <w:lang w:val="ro-RO"/>
        </w:rPr>
        <w:t>ș</w:t>
      </w:r>
      <w:r w:rsidR="00BC2CE1" w:rsidRPr="00834B27">
        <w:rPr>
          <w:rFonts w:ascii="Calibri" w:hAnsi="Calibri" w:cs="Calibri"/>
          <w:lang w:val="ro-RO"/>
        </w:rPr>
        <w:t>i cheltuielile deductibile (</w:t>
      </w:r>
      <w:r w:rsidR="00EA2AF2" w:rsidRPr="00834B27">
        <w:rPr>
          <w:rFonts w:ascii="Calibri" w:hAnsi="Calibri" w:cs="Calibri"/>
          <w:lang w:val="ro-RO"/>
        </w:rPr>
        <w:t>conform regulilor stabilite la art. 68 din CF);</w:t>
      </w:r>
    </w:p>
    <w:p w14:paraId="60C6BD69" w14:textId="14DBF076" w:rsidR="00DF24DA" w:rsidRPr="00834B27" w:rsidRDefault="00EA2AF2" w:rsidP="005602C1">
      <w:pPr>
        <w:pStyle w:val="Listparagraf"/>
        <w:numPr>
          <w:ilvl w:val="0"/>
          <w:numId w:val="1"/>
        </w:numPr>
        <w:spacing w:line="276" w:lineRule="auto"/>
        <w:ind w:left="360"/>
        <w:contextualSpacing w:val="0"/>
        <w:jc w:val="both"/>
        <w:rPr>
          <w:rFonts w:ascii="Calibri" w:hAnsi="Calibri" w:cs="Calibri"/>
          <w:lang w:val="ro-RO"/>
        </w:rPr>
      </w:pPr>
      <w:r w:rsidRPr="00834B27">
        <w:rPr>
          <w:rFonts w:ascii="Calibri" w:hAnsi="Calibri" w:cs="Calibri"/>
          <w:lang w:val="ro-RO"/>
        </w:rPr>
        <w:t>pe baza normelor de venit</w:t>
      </w:r>
      <w:r w:rsidR="00B21F6D" w:rsidRPr="00834B27">
        <w:rPr>
          <w:rFonts w:ascii="Calibri" w:hAnsi="Calibri" w:cs="Calibri"/>
          <w:lang w:val="ro-RO"/>
        </w:rPr>
        <w:t xml:space="preserve"> stabilite de </w:t>
      </w:r>
      <w:r w:rsidR="00B343EA" w:rsidRPr="00834B27">
        <w:rPr>
          <w:rFonts w:ascii="Calibri" w:hAnsi="Calibri" w:cs="Calibri"/>
          <w:lang w:val="ro-RO"/>
        </w:rPr>
        <w:t xml:space="preserve">MFP </w:t>
      </w:r>
      <w:r w:rsidR="009812B1" w:rsidRPr="00834B27">
        <w:rPr>
          <w:rFonts w:ascii="Calibri" w:hAnsi="Calibri" w:cs="Calibri"/>
          <w:lang w:val="ro-RO"/>
        </w:rPr>
        <w:t>ș</w:t>
      </w:r>
      <w:r w:rsidR="00B343EA" w:rsidRPr="00834B27">
        <w:rPr>
          <w:rFonts w:ascii="Calibri" w:hAnsi="Calibri" w:cs="Calibri"/>
          <w:lang w:val="ro-RO"/>
        </w:rPr>
        <w:t>i aprobate prin OMF, dac</w:t>
      </w:r>
      <w:r w:rsidR="009812B1" w:rsidRPr="00834B27">
        <w:rPr>
          <w:rFonts w:ascii="Calibri" w:hAnsi="Calibri" w:cs="Calibri"/>
          <w:lang w:val="ro-RO"/>
        </w:rPr>
        <w:t>ă</w:t>
      </w:r>
      <w:r w:rsidR="00B343EA" w:rsidRPr="00834B27">
        <w:rPr>
          <w:rFonts w:ascii="Calibri" w:hAnsi="Calibri" w:cs="Calibri"/>
          <w:lang w:val="ro-RO"/>
        </w:rPr>
        <w:t xml:space="preserve"> </w:t>
      </w:r>
      <w:r w:rsidR="00A874C9" w:rsidRPr="00834B27">
        <w:rPr>
          <w:rFonts w:ascii="Calibri" w:hAnsi="Calibri" w:cs="Calibri"/>
          <w:lang w:val="ro-RO"/>
        </w:rPr>
        <w:t xml:space="preserve">venitul brut anual </w:t>
      </w:r>
      <w:r w:rsidR="00F372D3" w:rsidRPr="00834B27">
        <w:rPr>
          <w:rFonts w:ascii="Calibri" w:hAnsi="Calibri" w:cs="Calibri"/>
          <w:lang w:val="ro-RO"/>
        </w:rPr>
        <w:t xml:space="preserve">nu </w:t>
      </w:r>
      <w:r w:rsidR="009812B1" w:rsidRPr="00834B27">
        <w:rPr>
          <w:rFonts w:ascii="Calibri" w:hAnsi="Calibri" w:cs="Calibri"/>
          <w:lang w:val="ro-RO"/>
        </w:rPr>
        <w:t>depășește</w:t>
      </w:r>
      <w:r w:rsidR="00F372D3" w:rsidRPr="00834B27">
        <w:rPr>
          <w:rFonts w:ascii="Calibri" w:hAnsi="Calibri" w:cs="Calibri"/>
          <w:lang w:val="ro-RO"/>
        </w:rPr>
        <w:t xml:space="preserve"> echivalentul a 25.000 euro. Veniturile </w:t>
      </w:r>
      <w:r w:rsidR="009812B1" w:rsidRPr="00834B27">
        <w:rPr>
          <w:rFonts w:ascii="Calibri" w:hAnsi="Calibri" w:cs="Calibri"/>
          <w:lang w:val="ro-RO"/>
        </w:rPr>
        <w:t>ob</w:t>
      </w:r>
      <w:r w:rsidR="00D77C4B" w:rsidRPr="00834B27">
        <w:rPr>
          <w:rFonts w:ascii="Calibri" w:hAnsi="Calibri" w:cs="Calibri"/>
          <w:lang w:val="ro-RO"/>
        </w:rPr>
        <w:t>ț</w:t>
      </w:r>
      <w:r w:rsidR="009812B1" w:rsidRPr="00834B27">
        <w:rPr>
          <w:rFonts w:ascii="Calibri" w:hAnsi="Calibri" w:cs="Calibri"/>
          <w:lang w:val="ro-RO"/>
        </w:rPr>
        <w:t>inute</w:t>
      </w:r>
      <w:r w:rsidR="00F372D3" w:rsidRPr="00834B27">
        <w:rPr>
          <w:rFonts w:ascii="Calibri" w:hAnsi="Calibri" w:cs="Calibri"/>
          <w:lang w:val="ro-RO"/>
        </w:rPr>
        <w:t xml:space="preserve"> din exercitarea unei profesii liberale nu pot fi impozitate pe baza normelor de venit</w:t>
      </w:r>
      <w:r w:rsidR="00E1023F" w:rsidRPr="00834B27">
        <w:rPr>
          <w:rFonts w:ascii="Calibri" w:hAnsi="Calibri" w:cs="Calibri"/>
          <w:lang w:val="ro-RO"/>
        </w:rPr>
        <w:t>;</w:t>
      </w:r>
    </w:p>
    <w:p w14:paraId="50942FA4" w14:textId="66D5E14B" w:rsidR="005A0696" w:rsidRPr="00834B27" w:rsidRDefault="005A0696" w:rsidP="005602C1">
      <w:pPr>
        <w:pStyle w:val="Listparagraf"/>
        <w:numPr>
          <w:ilvl w:val="0"/>
          <w:numId w:val="1"/>
        </w:numPr>
        <w:spacing w:line="276" w:lineRule="auto"/>
        <w:ind w:left="360"/>
        <w:contextualSpacing w:val="0"/>
        <w:jc w:val="both"/>
        <w:rPr>
          <w:rFonts w:ascii="Calibri" w:hAnsi="Calibri" w:cs="Calibri"/>
          <w:lang w:val="ro-RO"/>
        </w:rPr>
      </w:pPr>
      <w:r w:rsidRPr="00834B27">
        <w:rPr>
          <w:rFonts w:ascii="Calibri" w:hAnsi="Calibri" w:cs="Calibri"/>
          <w:lang w:val="ro-RO"/>
        </w:rPr>
        <w:t xml:space="preserve">Pe baza de cote forfetare </w:t>
      </w:r>
      <w:r w:rsidR="00F24070" w:rsidRPr="00834B27">
        <w:rPr>
          <w:rFonts w:ascii="Calibri" w:hAnsi="Calibri" w:cs="Calibri"/>
          <w:lang w:val="ro-RO"/>
        </w:rPr>
        <w:t xml:space="preserve">de 30% </w:t>
      </w:r>
      <w:r w:rsidRPr="00834B27">
        <w:rPr>
          <w:rFonts w:ascii="Calibri" w:hAnsi="Calibri" w:cs="Calibri"/>
          <w:lang w:val="ro-RO"/>
        </w:rPr>
        <w:t xml:space="preserve">pentru </w:t>
      </w:r>
      <w:r w:rsidR="00240EBC" w:rsidRPr="00834B27">
        <w:rPr>
          <w:rFonts w:ascii="Calibri" w:hAnsi="Calibri" w:cs="Calibri"/>
          <w:lang w:val="ro-RO"/>
        </w:rPr>
        <w:t>veniturile din prestarea serviciilor de cazare</w:t>
      </w:r>
      <w:r w:rsidR="00E1023F" w:rsidRPr="00834B27">
        <w:rPr>
          <w:rFonts w:ascii="Calibri" w:hAnsi="Calibri" w:cs="Calibri"/>
          <w:lang w:val="ro-RO"/>
        </w:rPr>
        <w:t>;</w:t>
      </w:r>
    </w:p>
    <w:p w14:paraId="5452D865" w14:textId="29475819" w:rsidR="00196E0E" w:rsidRPr="00834B27" w:rsidRDefault="00196E0E" w:rsidP="00B91E74">
      <w:pPr>
        <w:spacing w:line="276" w:lineRule="auto"/>
        <w:jc w:val="both"/>
        <w:rPr>
          <w:rFonts w:ascii="Calibri" w:hAnsi="Calibri" w:cs="Calibri"/>
          <w:lang w:val="ro-RO"/>
        </w:rPr>
      </w:pPr>
      <w:r w:rsidRPr="00834B27">
        <w:rPr>
          <w:rFonts w:ascii="Calibri" w:hAnsi="Calibri" w:cs="Calibri"/>
          <w:b/>
          <w:bCs/>
          <w:u w:val="single"/>
          <w:lang w:val="ro-RO"/>
        </w:rPr>
        <w:t>Plata:</w:t>
      </w:r>
      <w:r w:rsidRPr="00834B27">
        <w:rPr>
          <w:rFonts w:ascii="Calibri" w:hAnsi="Calibri" w:cs="Calibri"/>
          <w:lang w:val="ro-RO"/>
        </w:rPr>
        <w:t xml:space="preserve"> IV se</w:t>
      </w:r>
      <w:r w:rsidR="0016716D" w:rsidRPr="00834B27">
        <w:rPr>
          <w:rFonts w:ascii="Calibri" w:hAnsi="Calibri" w:cs="Calibri"/>
          <w:lang w:val="ro-RO"/>
        </w:rPr>
        <w:t xml:space="preserve"> </w:t>
      </w:r>
      <w:r w:rsidR="009812B1" w:rsidRPr="00834B27">
        <w:rPr>
          <w:rFonts w:ascii="Calibri" w:hAnsi="Calibri" w:cs="Calibri"/>
          <w:lang w:val="ro-RO"/>
        </w:rPr>
        <w:t>plătește</w:t>
      </w:r>
      <w:r w:rsidR="0016716D" w:rsidRPr="00834B27">
        <w:rPr>
          <w:rFonts w:ascii="Calibri" w:hAnsi="Calibri" w:cs="Calibri"/>
          <w:lang w:val="ro-RO"/>
        </w:rPr>
        <w:t xml:space="preserve"> de </w:t>
      </w:r>
      <w:r w:rsidR="009812B1" w:rsidRPr="00834B27">
        <w:rPr>
          <w:rFonts w:ascii="Calibri" w:hAnsi="Calibri" w:cs="Calibri"/>
          <w:lang w:val="ro-RO"/>
        </w:rPr>
        <w:t>către</w:t>
      </w:r>
      <w:r w:rsidR="0016716D" w:rsidRPr="00834B27">
        <w:rPr>
          <w:rFonts w:ascii="Calibri" w:hAnsi="Calibri" w:cs="Calibri"/>
          <w:lang w:val="ro-RO"/>
        </w:rPr>
        <w:t xml:space="preserve"> contribuabil </w:t>
      </w:r>
      <w:r w:rsidR="00854D1F" w:rsidRPr="00834B27">
        <w:rPr>
          <w:rFonts w:ascii="Calibri" w:hAnsi="Calibri" w:cs="Calibri"/>
          <w:lang w:val="ro-RO"/>
        </w:rPr>
        <w:t>la termenul de depunere al D</w:t>
      </w:r>
      <w:r w:rsidR="00611CBC" w:rsidRPr="00834B27">
        <w:rPr>
          <w:rFonts w:ascii="Calibri" w:hAnsi="Calibri" w:cs="Calibri"/>
          <w:lang w:val="ro-RO"/>
        </w:rPr>
        <w:t>212</w:t>
      </w:r>
      <w:r w:rsidR="003E040E" w:rsidRPr="00834B27">
        <w:rPr>
          <w:rFonts w:ascii="Calibri" w:hAnsi="Calibri" w:cs="Calibri"/>
          <w:lang w:val="ro-RO"/>
        </w:rPr>
        <w:t xml:space="preserve">, nu mai </w:t>
      </w:r>
      <w:r w:rsidR="009812B1" w:rsidRPr="00834B27">
        <w:rPr>
          <w:rFonts w:ascii="Calibri" w:hAnsi="Calibri" w:cs="Calibri"/>
          <w:lang w:val="ro-RO"/>
        </w:rPr>
        <w:t>târziu</w:t>
      </w:r>
      <w:r w:rsidR="003E040E" w:rsidRPr="00834B27">
        <w:rPr>
          <w:rFonts w:ascii="Calibri" w:hAnsi="Calibri" w:cs="Calibri"/>
          <w:lang w:val="ro-RO"/>
        </w:rPr>
        <w:t xml:space="preserve"> de 25 mai a anului </w:t>
      </w:r>
      <w:r w:rsidR="009812B1" w:rsidRPr="00834B27">
        <w:rPr>
          <w:rFonts w:ascii="Calibri" w:hAnsi="Calibri" w:cs="Calibri"/>
          <w:lang w:val="ro-RO"/>
        </w:rPr>
        <w:t>următor</w:t>
      </w:r>
      <w:r w:rsidR="003E040E" w:rsidRPr="00834B27">
        <w:rPr>
          <w:rFonts w:ascii="Calibri" w:hAnsi="Calibri" w:cs="Calibri"/>
          <w:lang w:val="ro-RO"/>
        </w:rPr>
        <w:t xml:space="preserve">. </w:t>
      </w:r>
      <w:r w:rsidR="00F12A07" w:rsidRPr="00834B27">
        <w:rPr>
          <w:rFonts w:ascii="Calibri" w:hAnsi="Calibri" w:cs="Calibri"/>
          <w:lang w:val="ro-RO"/>
        </w:rPr>
        <w:t xml:space="preserve">Nu se </w:t>
      </w:r>
      <w:r w:rsidR="009812B1" w:rsidRPr="00834B27">
        <w:rPr>
          <w:rFonts w:ascii="Calibri" w:hAnsi="Calibri" w:cs="Calibri"/>
          <w:lang w:val="ro-RO"/>
        </w:rPr>
        <w:t>datorează</w:t>
      </w:r>
      <w:r w:rsidR="00F12A07" w:rsidRPr="00834B27">
        <w:rPr>
          <w:rFonts w:ascii="Calibri" w:hAnsi="Calibri" w:cs="Calibri"/>
          <w:lang w:val="ro-RO"/>
        </w:rPr>
        <w:t xml:space="preserve"> </w:t>
      </w:r>
      <w:r w:rsidR="009812B1" w:rsidRPr="00834B27">
        <w:rPr>
          <w:rFonts w:ascii="Calibri" w:hAnsi="Calibri" w:cs="Calibri"/>
          <w:lang w:val="ro-RO"/>
        </w:rPr>
        <w:t>pl</w:t>
      </w:r>
      <w:r w:rsidR="00861BEA" w:rsidRPr="00834B27">
        <w:rPr>
          <w:rFonts w:ascii="Calibri" w:hAnsi="Calibri" w:cs="Calibri"/>
          <w:lang w:val="ro-RO"/>
        </w:rPr>
        <w:t>ă</w:t>
      </w:r>
      <w:r w:rsidR="00D77C4B" w:rsidRPr="00834B27">
        <w:rPr>
          <w:rFonts w:ascii="Calibri" w:hAnsi="Calibri" w:cs="Calibri"/>
          <w:lang w:val="ro-RO"/>
        </w:rPr>
        <w:t>ț</w:t>
      </w:r>
      <w:r w:rsidR="009812B1" w:rsidRPr="00834B27">
        <w:rPr>
          <w:rFonts w:ascii="Calibri" w:hAnsi="Calibri" w:cs="Calibri"/>
          <w:lang w:val="ro-RO"/>
        </w:rPr>
        <w:t>i</w:t>
      </w:r>
      <w:r w:rsidR="00F12A07" w:rsidRPr="00834B27">
        <w:rPr>
          <w:rFonts w:ascii="Calibri" w:hAnsi="Calibri" w:cs="Calibri"/>
          <w:lang w:val="ro-RO"/>
        </w:rPr>
        <w:t xml:space="preserve"> anticipate </w:t>
      </w:r>
      <w:r w:rsidR="009812B1" w:rsidRPr="00834B27">
        <w:rPr>
          <w:rFonts w:ascii="Calibri" w:hAnsi="Calibri" w:cs="Calibri"/>
          <w:lang w:val="ro-RO"/>
        </w:rPr>
        <w:t>î</w:t>
      </w:r>
      <w:r w:rsidR="00F12A07" w:rsidRPr="00834B27">
        <w:rPr>
          <w:rFonts w:ascii="Calibri" w:hAnsi="Calibri" w:cs="Calibri"/>
          <w:lang w:val="ro-RO"/>
        </w:rPr>
        <w:t>n cursul anului.</w:t>
      </w:r>
    </w:p>
    <w:p w14:paraId="42325A43" w14:textId="77777777" w:rsidR="009019B7" w:rsidRPr="00834B27" w:rsidRDefault="009019B7" w:rsidP="00B91E74">
      <w:pPr>
        <w:spacing w:line="276" w:lineRule="auto"/>
        <w:jc w:val="both"/>
        <w:rPr>
          <w:rFonts w:ascii="Calibri" w:hAnsi="Calibri" w:cs="Calibri"/>
          <w:lang w:val="ro-RO"/>
        </w:rPr>
      </w:pPr>
    </w:p>
    <w:p w14:paraId="05CED696" w14:textId="2E74FE0C" w:rsidR="004E6072" w:rsidRPr="00834B27" w:rsidRDefault="004E6072" w:rsidP="00B91E74">
      <w:pPr>
        <w:keepNext/>
        <w:spacing w:line="276" w:lineRule="auto"/>
        <w:jc w:val="both"/>
        <w:rPr>
          <w:rFonts w:ascii="Calibri" w:hAnsi="Calibri" w:cs="Calibri"/>
          <w:b/>
          <w:bCs/>
          <w:i/>
          <w:iCs/>
          <w:lang w:val="ro-RO"/>
        </w:rPr>
      </w:pPr>
      <w:r w:rsidRPr="00834B27">
        <w:rPr>
          <w:rFonts w:ascii="Calibri" w:hAnsi="Calibri" w:cs="Calibri"/>
          <w:b/>
          <w:bCs/>
          <w:i/>
          <w:iCs/>
          <w:lang w:val="ro-RO"/>
        </w:rPr>
        <w:t>Scurt istoric</w:t>
      </w:r>
    </w:p>
    <w:p w14:paraId="143B6C85" w14:textId="216D9A4F" w:rsidR="00625D3F" w:rsidRPr="00834B27" w:rsidRDefault="00625D3F" w:rsidP="00B91E74">
      <w:pPr>
        <w:keepNext/>
        <w:spacing w:line="276" w:lineRule="auto"/>
        <w:jc w:val="both"/>
        <w:rPr>
          <w:rFonts w:ascii="Calibri" w:hAnsi="Calibri" w:cs="Calibri"/>
          <w:i/>
          <w:iCs/>
          <w:lang w:val="ro-RO"/>
        </w:rPr>
      </w:pPr>
      <w:r w:rsidRPr="00834B27">
        <w:rPr>
          <w:rFonts w:ascii="Calibri" w:hAnsi="Calibri" w:cs="Calibri"/>
          <w:i/>
          <w:iCs/>
          <w:lang w:val="ro-RO"/>
        </w:rPr>
        <w:t>P</w:t>
      </w:r>
      <w:r w:rsidR="009812B1" w:rsidRPr="00834B27">
        <w:rPr>
          <w:rFonts w:ascii="Calibri" w:hAnsi="Calibri" w:cs="Calibri"/>
          <w:i/>
          <w:iCs/>
          <w:lang w:val="ro-RO"/>
        </w:rPr>
        <w:t>â</w:t>
      </w:r>
      <w:r w:rsidRPr="00834B27">
        <w:rPr>
          <w:rFonts w:ascii="Calibri" w:hAnsi="Calibri" w:cs="Calibri"/>
          <w:i/>
          <w:iCs/>
          <w:lang w:val="ro-RO"/>
        </w:rPr>
        <w:t>n</w:t>
      </w:r>
      <w:r w:rsidR="009812B1" w:rsidRPr="00834B27">
        <w:rPr>
          <w:rFonts w:ascii="Calibri" w:hAnsi="Calibri" w:cs="Calibri"/>
          <w:i/>
          <w:iCs/>
          <w:lang w:val="ro-RO"/>
        </w:rPr>
        <w:t>ă</w:t>
      </w:r>
      <w:r w:rsidRPr="00834B27">
        <w:rPr>
          <w:rFonts w:ascii="Calibri" w:hAnsi="Calibri" w:cs="Calibri"/>
          <w:i/>
          <w:iCs/>
          <w:lang w:val="ro-RO"/>
        </w:rPr>
        <w:t xml:space="preserve"> </w:t>
      </w:r>
      <w:r w:rsidR="009812B1" w:rsidRPr="00834B27">
        <w:rPr>
          <w:rFonts w:ascii="Calibri" w:hAnsi="Calibri" w:cs="Calibri"/>
          <w:i/>
          <w:iCs/>
          <w:lang w:val="ro-RO"/>
        </w:rPr>
        <w:t>î</w:t>
      </w:r>
      <w:r w:rsidRPr="00834B27">
        <w:rPr>
          <w:rFonts w:ascii="Calibri" w:hAnsi="Calibri" w:cs="Calibri"/>
          <w:i/>
          <w:iCs/>
          <w:lang w:val="ro-RO"/>
        </w:rPr>
        <w:t xml:space="preserve">n anul 2004, </w:t>
      </w:r>
      <w:r w:rsidR="005F13AC" w:rsidRPr="00834B27">
        <w:rPr>
          <w:rFonts w:ascii="Calibri" w:hAnsi="Calibri" w:cs="Calibri"/>
          <w:i/>
          <w:iCs/>
          <w:lang w:val="ro-RO"/>
        </w:rPr>
        <w:t xml:space="preserve">la fel ca </w:t>
      </w:r>
      <w:r w:rsidR="009812B1" w:rsidRPr="00834B27">
        <w:rPr>
          <w:rFonts w:ascii="Calibri" w:hAnsi="Calibri" w:cs="Calibri"/>
          <w:i/>
          <w:iCs/>
          <w:lang w:val="ro-RO"/>
        </w:rPr>
        <w:t>ș</w:t>
      </w:r>
      <w:r w:rsidR="005F13AC" w:rsidRPr="00834B27">
        <w:rPr>
          <w:rFonts w:ascii="Calibri" w:hAnsi="Calibri" w:cs="Calibri"/>
          <w:i/>
          <w:iCs/>
          <w:lang w:val="ro-RO"/>
        </w:rPr>
        <w:t xml:space="preserve">i </w:t>
      </w:r>
      <w:r w:rsidR="009812B1" w:rsidRPr="00834B27">
        <w:rPr>
          <w:rFonts w:ascii="Calibri" w:hAnsi="Calibri" w:cs="Calibri"/>
          <w:i/>
          <w:iCs/>
          <w:lang w:val="ro-RO"/>
        </w:rPr>
        <w:t>î</w:t>
      </w:r>
      <w:r w:rsidR="005F13AC" w:rsidRPr="00834B27">
        <w:rPr>
          <w:rFonts w:ascii="Calibri" w:hAnsi="Calibri" w:cs="Calibri"/>
          <w:i/>
          <w:iCs/>
          <w:lang w:val="ro-RO"/>
        </w:rPr>
        <w:t>n cazul salariilor</w:t>
      </w:r>
      <w:r w:rsidR="009812B1" w:rsidRPr="00834B27">
        <w:rPr>
          <w:rFonts w:ascii="Calibri" w:hAnsi="Calibri" w:cs="Calibri"/>
          <w:i/>
          <w:iCs/>
          <w:lang w:val="ro-RO"/>
        </w:rPr>
        <w:t>,</w:t>
      </w:r>
      <w:r w:rsidR="005F13AC" w:rsidRPr="00834B27">
        <w:rPr>
          <w:rFonts w:ascii="Calibri" w:hAnsi="Calibri" w:cs="Calibri"/>
          <w:i/>
          <w:iCs/>
          <w:lang w:val="ro-RO"/>
        </w:rPr>
        <w:t xml:space="preserve"> </w:t>
      </w:r>
      <w:r w:rsidRPr="00834B27">
        <w:rPr>
          <w:rFonts w:ascii="Calibri" w:hAnsi="Calibri" w:cs="Calibri"/>
          <w:i/>
          <w:iCs/>
          <w:lang w:val="ro-RO"/>
        </w:rPr>
        <w:t xml:space="preserve">veniturile din </w:t>
      </w:r>
      <w:r w:rsidR="009812B1" w:rsidRPr="00834B27">
        <w:rPr>
          <w:rFonts w:ascii="Calibri" w:hAnsi="Calibri" w:cs="Calibri"/>
          <w:i/>
          <w:iCs/>
          <w:lang w:val="ro-RO"/>
        </w:rPr>
        <w:t>activită</w:t>
      </w:r>
      <w:r w:rsidR="00D77C4B" w:rsidRPr="00834B27">
        <w:rPr>
          <w:rFonts w:ascii="Calibri" w:hAnsi="Calibri" w:cs="Calibri"/>
          <w:i/>
          <w:iCs/>
          <w:lang w:val="ro-RO"/>
        </w:rPr>
        <w:t>ț</w:t>
      </w:r>
      <w:r w:rsidR="009812B1" w:rsidRPr="00834B27">
        <w:rPr>
          <w:rFonts w:ascii="Calibri" w:hAnsi="Calibri" w:cs="Calibri"/>
          <w:i/>
          <w:iCs/>
          <w:lang w:val="ro-RO"/>
        </w:rPr>
        <w:t>i</w:t>
      </w:r>
      <w:r w:rsidRPr="00834B27">
        <w:rPr>
          <w:rFonts w:ascii="Calibri" w:hAnsi="Calibri" w:cs="Calibri"/>
          <w:i/>
          <w:iCs/>
          <w:lang w:val="ro-RO"/>
        </w:rPr>
        <w:t xml:space="preserve"> </w:t>
      </w:r>
      <w:r w:rsidR="009812B1" w:rsidRPr="00834B27">
        <w:rPr>
          <w:rFonts w:ascii="Calibri" w:hAnsi="Calibri" w:cs="Calibri"/>
          <w:i/>
          <w:iCs/>
          <w:lang w:val="ro-RO"/>
        </w:rPr>
        <w:t>independente</w:t>
      </w:r>
      <w:r w:rsidRPr="00834B27">
        <w:rPr>
          <w:rFonts w:ascii="Calibri" w:hAnsi="Calibri" w:cs="Calibri"/>
          <w:i/>
          <w:iCs/>
          <w:lang w:val="ro-RO"/>
        </w:rPr>
        <w:t xml:space="preserve"> au fost supuse unei </w:t>
      </w:r>
      <w:r w:rsidR="009812B1" w:rsidRPr="00834B27">
        <w:rPr>
          <w:rFonts w:ascii="Calibri" w:hAnsi="Calibri" w:cs="Calibri"/>
          <w:i/>
          <w:iCs/>
          <w:lang w:val="ro-RO"/>
        </w:rPr>
        <w:t>impozitări</w:t>
      </w:r>
      <w:r w:rsidRPr="00834B27">
        <w:rPr>
          <w:rFonts w:ascii="Calibri" w:hAnsi="Calibri" w:cs="Calibri"/>
          <w:i/>
          <w:iCs/>
          <w:lang w:val="ro-RO"/>
        </w:rPr>
        <w:t xml:space="preserve"> progresive, cu cote de 18%/23%/28%/34%/40%, cota maxim</w:t>
      </w:r>
      <w:r w:rsidR="009812B1" w:rsidRPr="00834B27">
        <w:rPr>
          <w:rFonts w:ascii="Calibri" w:hAnsi="Calibri" w:cs="Calibri"/>
          <w:i/>
          <w:iCs/>
          <w:lang w:val="ro-RO"/>
        </w:rPr>
        <w:t>ă</w:t>
      </w:r>
      <w:r w:rsidRPr="00834B27">
        <w:rPr>
          <w:rFonts w:ascii="Calibri" w:hAnsi="Calibri" w:cs="Calibri"/>
          <w:i/>
          <w:iCs/>
          <w:lang w:val="ro-RO"/>
        </w:rPr>
        <w:t xml:space="preserve"> fiind aplicabil</w:t>
      </w:r>
      <w:r w:rsidR="009812B1" w:rsidRPr="00834B27">
        <w:rPr>
          <w:rFonts w:ascii="Calibri" w:hAnsi="Calibri" w:cs="Calibri"/>
          <w:i/>
          <w:iCs/>
          <w:lang w:val="ro-RO"/>
        </w:rPr>
        <w:t>ă</w:t>
      </w:r>
      <w:r w:rsidRPr="00834B27">
        <w:rPr>
          <w:rFonts w:ascii="Calibri" w:hAnsi="Calibri" w:cs="Calibri"/>
          <w:i/>
          <w:iCs/>
          <w:lang w:val="ro-RO"/>
        </w:rPr>
        <w:t xml:space="preserve"> </w:t>
      </w:r>
      <w:r w:rsidR="009812B1" w:rsidRPr="00834B27">
        <w:rPr>
          <w:rFonts w:ascii="Calibri" w:hAnsi="Calibri" w:cs="Calibri"/>
          <w:i/>
          <w:iCs/>
          <w:lang w:val="ro-RO"/>
        </w:rPr>
        <w:t>începând</w:t>
      </w:r>
      <w:r w:rsidRPr="00834B27">
        <w:rPr>
          <w:rFonts w:ascii="Calibri" w:hAnsi="Calibri" w:cs="Calibri"/>
          <w:i/>
          <w:iCs/>
          <w:lang w:val="ro-RO"/>
        </w:rPr>
        <w:t xml:space="preserve"> de la un prag foarte </w:t>
      </w:r>
      <w:r w:rsidR="009812B1" w:rsidRPr="00834B27">
        <w:rPr>
          <w:rFonts w:ascii="Calibri" w:hAnsi="Calibri" w:cs="Calibri"/>
          <w:i/>
          <w:iCs/>
          <w:lang w:val="ro-RO"/>
        </w:rPr>
        <w:t>scăzut</w:t>
      </w:r>
      <w:r w:rsidRPr="00834B27">
        <w:rPr>
          <w:rFonts w:ascii="Calibri" w:hAnsi="Calibri" w:cs="Calibri"/>
          <w:i/>
          <w:iCs/>
          <w:lang w:val="ro-RO"/>
        </w:rPr>
        <w:t xml:space="preserve">, de aproximativ 350 </w:t>
      </w:r>
      <w:r w:rsidR="00285F1A" w:rsidRPr="00834B27">
        <w:rPr>
          <w:rFonts w:ascii="Calibri" w:hAnsi="Calibri" w:cs="Calibri"/>
          <w:i/>
          <w:iCs/>
          <w:lang w:val="ro-RO"/>
        </w:rPr>
        <w:t>e</w:t>
      </w:r>
      <w:r w:rsidRPr="00834B27">
        <w:rPr>
          <w:rFonts w:ascii="Calibri" w:hAnsi="Calibri" w:cs="Calibri"/>
          <w:i/>
          <w:iCs/>
          <w:lang w:val="ro-RO"/>
        </w:rPr>
        <w:t>ur</w:t>
      </w:r>
      <w:r w:rsidR="009812B1" w:rsidRPr="00834B27">
        <w:rPr>
          <w:rFonts w:ascii="Calibri" w:hAnsi="Calibri" w:cs="Calibri"/>
          <w:i/>
          <w:iCs/>
          <w:lang w:val="ro-RO"/>
        </w:rPr>
        <w:t>o</w:t>
      </w:r>
      <w:r w:rsidRPr="00834B27">
        <w:rPr>
          <w:rFonts w:ascii="Calibri" w:hAnsi="Calibri" w:cs="Calibri"/>
          <w:i/>
          <w:iCs/>
          <w:lang w:val="ro-RO"/>
        </w:rPr>
        <w:t>/lun</w:t>
      </w:r>
      <w:r w:rsidR="008E5946" w:rsidRPr="00834B27">
        <w:rPr>
          <w:rFonts w:ascii="Calibri" w:hAnsi="Calibri" w:cs="Calibri"/>
          <w:i/>
          <w:iCs/>
          <w:lang w:val="ro-RO"/>
        </w:rPr>
        <w:t>ă</w:t>
      </w:r>
      <w:r w:rsidRPr="00834B27">
        <w:rPr>
          <w:rFonts w:ascii="Calibri" w:hAnsi="Calibri" w:cs="Calibri"/>
          <w:i/>
          <w:iCs/>
          <w:lang w:val="ro-RO"/>
        </w:rPr>
        <w:t>.</w:t>
      </w:r>
    </w:p>
    <w:p w14:paraId="46BEF445" w14:textId="767D4561" w:rsidR="00625D3F" w:rsidRPr="00834B27" w:rsidRDefault="009812B1" w:rsidP="00B91E74">
      <w:pPr>
        <w:spacing w:line="276" w:lineRule="auto"/>
        <w:jc w:val="both"/>
        <w:rPr>
          <w:rFonts w:ascii="Calibri" w:hAnsi="Calibri" w:cs="Calibri"/>
          <w:i/>
          <w:iCs/>
          <w:lang w:val="ro-RO"/>
        </w:rPr>
      </w:pPr>
      <w:r w:rsidRPr="00834B27">
        <w:rPr>
          <w:rFonts w:ascii="Calibri" w:hAnsi="Calibri" w:cs="Calibri"/>
          <w:i/>
          <w:iCs/>
          <w:lang w:val="ro-RO"/>
        </w:rPr>
        <w:t>Începând</w:t>
      </w:r>
      <w:r w:rsidR="00625D3F" w:rsidRPr="00834B27">
        <w:rPr>
          <w:rFonts w:ascii="Calibri" w:hAnsi="Calibri" w:cs="Calibri"/>
          <w:i/>
          <w:iCs/>
          <w:lang w:val="ro-RO"/>
        </w:rPr>
        <w:t xml:space="preserve"> cu anul 2005, sistemul progresiv a fost </w:t>
      </w:r>
      <w:r w:rsidRPr="00834B27">
        <w:rPr>
          <w:rFonts w:ascii="Calibri" w:hAnsi="Calibri" w:cs="Calibri"/>
          <w:i/>
          <w:iCs/>
          <w:lang w:val="ro-RO"/>
        </w:rPr>
        <w:t>înlocuit</w:t>
      </w:r>
      <w:r w:rsidR="00625D3F" w:rsidRPr="00834B27">
        <w:rPr>
          <w:rFonts w:ascii="Calibri" w:hAnsi="Calibri" w:cs="Calibri"/>
          <w:i/>
          <w:iCs/>
          <w:lang w:val="ro-RO"/>
        </w:rPr>
        <w:t xml:space="preserve"> cu o cot</w:t>
      </w:r>
      <w:r w:rsidR="008E5946" w:rsidRPr="00834B27">
        <w:rPr>
          <w:rFonts w:ascii="Calibri" w:hAnsi="Calibri" w:cs="Calibri"/>
          <w:i/>
          <w:iCs/>
          <w:lang w:val="ro-RO"/>
        </w:rPr>
        <w:t>ă</w:t>
      </w:r>
      <w:r w:rsidR="00625D3F" w:rsidRPr="00834B27">
        <w:rPr>
          <w:rFonts w:ascii="Calibri" w:hAnsi="Calibri" w:cs="Calibri"/>
          <w:i/>
          <w:iCs/>
          <w:lang w:val="ro-RO"/>
        </w:rPr>
        <w:t xml:space="preserve"> unic</w:t>
      </w:r>
      <w:r w:rsidRPr="00834B27">
        <w:rPr>
          <w:rFonts w:ascii="Calibri" w:hAnsi="Calibri" w:cs="Calibri"/>
          <w:i/>
          <w:iCs/>
          <w:lang w:val="ro-RO"/>
        </w:rPr>
        <w:t>ă</w:t>
      </w:r>
      <w:r w:rsidR="00625D3F" w:rsidRPr="00834B27">
        <w:rPr>
          <w:rFonts w:ascii="Calibri" w:hAnsi="Calibri" w:cs="Calibri"/>
          <w:i/>
          <w:iCs/>
          <w:lang w:val="ro-RO"/>
        </w:rPr>
        <w:t xml:space="preserve"> de impozit de 16%, cot</w:t>
      </w:r>
      <w:r w:rsidRPr="00834B27">
        <w:rPr>
          <w:rFonts w:ascii="Calibri" w:hAnsi="Calibri" w:cs="Calibri"/>
          <w:i/>
          <w:iCs/>
          <w:lang w:val="ro-RO"/>
        </w:rPr>
        <w:t>ă</w:t>
      </w:r>
      <w:r w:rsidR="00625D3F" w:rsidRPr="00834B27">
        <w:rPr>
          <w:rFonts w:ascii="Calibri" w:hAnsi="Calibri" w:cs="Calibri"/>
          <w:i/>
          <w:iCs/>
          <w:lang w:val="ro-RO"/>
        </w:rPr>
        <w:t xml:space="preserve"> ce a fost </w:t>
      </w:r>
      <w:r w:rsidRPr="00834B27">
        <w:rPr>
          <w:rFonts w:ascii="Calibri" w:hAnsi="Calibri" w:cs="Calibri"/>
          <w:i/>
          <w:iCs/>
          <w:lang w:val="ro-RO"/>
        </w:rPr>
        <w:t>păstrată</w:t>
      </w:r>
      <w:r w:rsidR="00625D3F" w:rsidRPr="00834B27">
        <w:rPr>
          <w:rFonts w:ascii="Calibri" w:hAnsi="Calibri" w:cs="Calibri"/>
          <w:i/>
          <w:iCs/>
          <w:lang w:val="ro-RO"/>
        </w:rPr>
        <w:t xml:space="preserve"> p</w:t>
      </w:r>
      <w:r w:rsidRPr="00834B27">
        <w:rPr>
          <w:rFonts w:ascii="Calibri" w:hAnsi="Calibri" w:cs="Calibri"/>
          <w:i/>
          <w:iCs/>
          <w:lang w:val="ro-RO"/>
        </w:rPr>
        <w:t>â</w:t>
      </w:r>
      <w:r w:rsidR="00625D3F" w:rsidRPr="00834B27">
        <w:rPr>
          <w:rFonts w:ascii="Calibri" w:hAnsi="Calibri" w:cs="Calibri"/>
          <w:i/>
          <w:iCs/>
          <w:lang w:val="ro-RO"/>
        </w:rPr>
        <w:t>n</w:t>
      </w:r>
      <w:r w:rsidRPr="00834B27">
        <w:rPr>
          <w:rFonts w:ascii="Calibri" w:hAnsi="Calibri" w:cs="Calibri"/>
          <w:i/>
          <w:iCs/>
          <w:lang w:val="ro-RO"/>
        </w:rPr>
        <w:t>ă</w:t>
      </w:r>
      <w:r w:rsidR="00625D3F" w:rsidRPr="00834B27">
        <w:rPr>
          <w:rFonts w:ascii="Calibri" w:hAnsi="Calibri" w:cs="Calibri"/>
          <w:i/>
          <w:iCs/>
          <w:lang w:val="ro-RO"/>
        </w:rPr>
        <w:t xml:space="preserve"> </w:t>
      </w:r>
      <w:r w:rsidRPr="00834B27">
        <w:rPr>
          <w:rFonts w:ascii="Calibri" w:hAnsi="Calibri" w:cs="Calibri"/>
          <w:i/>
          <w:iCs/>
          <w:lang w:val="ro-RO"/>
        </w:rPr>
        <w:t>î</w:t>
      </w:r>
      <w:r w:rsidR="00625D3F" w:rsidRPr="00834B27">
        <w:rPr>
          <w:rFonts w:ascii="Calibri" w:hAnsi="Calibri" w:cs="Calibri"/>
          <w:i/>
          <w:iCs/>
          <w:lang w:val="ro-RO"/>
        </w:rPr>
        <w:t>n anul 2017 inclusiv.</w:t>
      </w:r>
    </w:p>
    <w:p w14:paraId="26ADDF9F" w14:textId="607E439A" w:rsidR="00625D3F" w:rsidRPr="00834B27" w:rsidRDefault="009812B1" w:rsidP="00B91E74">
      <w:pPr>
        <w:spacing w:line="276" w:lineRule="auto"/>
        <w:jc w:val="both"/>
        <w:rPr>
          <w:rFonts w:ascii="Calibri" w:hAnsi="Calibri" w:cs="Calibri"/>
          <w:i/>
          <w:iCs/>
          <w:lang w:val="ro-RO"/>
        </w:rPr>
      </w:pPr>
      <w:r w:rsidRPr="00834B27">
        <w:rPr>
          <w:rFonts w:ascii="Calibri" w:hAnsi="Calibri" w:cs="Calibri"/>
          <w:i/>
          <w:iCs/>
          <w:lang w:val="ro-RO"/>
        </w:rPr>
        <w:t>Începând</w:t>
      </w:r>
      <w:r w:rsidR="00625D3F" w:rsidRPr="00834B27">
        <w:rPr>
          <w:rFonts w:ascii="Calibri" w:hAnsi="Calibri" w:cs="Calibri"/>
          <w:i/>
          <w:iCs/>
          <w:lang w:val="ro-RO"/>
        </w:rPr>
        <w:t xml:space="preserve"> cu anul 2018, cota de impozit a fost redus</w:t>
      </w:r>
      <w:r w:rsidRPr="00834B27">
        <w:rPr>
          <w:rFonts w:ascii="Calibri" w:hAnsi="Calibri" w:cs="Calibri"/>
          <w:i/>
          <w:iCs/>
          <w:lang w:val="ro-RO"/>
        </w:rPr>
        <w:t>ă</w:t>
      </w:r>
      <w:r w:rsidR="00625D3F" w:rsidRPr="00834B27">
        <w:rPr>
          <w:rFonts w:ascii="Calibri" w:hAnsi="Calibri" w:cs="Calibri"/>
          <w:i/>
          <w:iCs/>
          <w:lang w:val="ro-RO"/>
        </w:rPr>
        <w:t xml:space="preserve"> la 10%. </w:t>
      </w:r>
      <w:r w:rsidR="005F13AC" w:rsidRPr="00834B27">
        <w:rPr>
          <w:rFonts w:ascii="Calibri" w:hAnsi="Calibri" w:cs="Calibri"/>
          <w:i/>
          <w:iCs/>
          <w:lang w:val="ro-RO"/>
        </w:rPr>
        <w:t>Spre de</w:t>
      </w:r>
      <w:r w:rsidR="001834CF" w:rsidRPr="00834B27">
        <w:rPr>
          <w:rFonts w:ascii="Calibri" w:hAnsi="Calibri" w:cs="Calibri"/>
          <w:i/>
          <w:iCs/>
          <w:lang w:val="ro-RO"/>
        </w:rPr>
        <w:t xml:space="preserve">osebire de salarii </w:t>
      </w:r>
      <w:r w:rsidR="00625D3F" w:rsidRPr="00834B27">
        <w:rPr>
          <w:rFonts w:ascii="Calibri" w:hAnsi="Calibri" w:cs="Calibri"/>
          <w:i/>
          <w:iCs/>
          <w:lang w:val="ro-RO"/>
        </w:rPr>
        <w:t xml:space="preserve">reducerea la 10%  a </w:t>
      </w:r>
      <w:r w:rsidRPr="00834B27">
        <w:rPr>
          <w:rFonts w:ascii="Calibri" w:hAnsi="Calibri" w:cs="Calibri"/>
          <w:i/>
          <w:iCs/>
          <w:lang w:val="ro-RO"/>
        </w:rPr>
        <w:t>însemnat</w:t>
      </w:r>
      <w:r w:rsidR="00625D3F" w:rsidRPr="00834B27">
        <w:rPr>
          <w:rFonts w:ascii="Calibri" w:hAnsi="Calibri" w:cs="Calibri"/>
          <w:i/>
          <w:iCs/>
          <w:lang w:val="ro-RO"/>
        </w:rPr>
        <w:t xml:space="preserve">  o reducere </w:t>
      </w:r>
      <w:r w:rsidR="001834CF" w:rsidRPr="00834B27">
        <w:rPr>
          <w:rFonts w:ascii="Calibri" w:hAnsi="Calibri" w:cs="Calibri"/>
          <w:i/>
          <w:iCs/>
          <w:lang w:val="ro-RO"/>
        </w:rPr>
        <w:t>semnificativ</w:t>
      </w:r>
      <w:r w:rsidRPr="00834B27">
        <w:rPr>
          <w:rFonts w:ascii="Calibri" w:hAnsi="Calibri" w:cs="Calibri"/>
          <w:i/>
          <w:iCs/>
          <w:lang w:val="ro-RO"/>
        </w:rPr>
        <w:t>ă</w:t>
      </w:r>
      <w:r w:rsidR="001834CF" w:rsidRPr="00834B27">
        <w:rPr>
          <w:rFonts w:ascii="Calibri" w:hAnsi="Calibri" w:cs="Calibri"/>
          <w:i/>
          <w:iCs/>
          <w:lang w:val="ro-RO"/>
        </w:rPr>
        <w:t xml:space="preserve"> </w:t>
      </w:r>
      <w:r w:rsidR="00625D3F" w:rsidRPr="00834B27">
        <w:rPr>
          <w:rFonts w:ascii="Calibri" w:hAnsi="Calibri" w:cs="Calibri"/>
          <w:i/>
          <w:iCs/>
          <w:lang w:val="ro-RO"/>
        </w:rPr>
        <w:t>a SFT</w:t>
      </w:r>
      <w:r w:rsidR="001834CF" w:rsidRPr="00834B27">
        <w:rPr>
          <w:rFonts w:ascii="Calibri" w:hAnsi="Calibri" w:cs="Calibri"/>
          <w:i/>
          <w:iCs/>
          <w:lang w:val="ro-RO"/>
        </w:rPr>
        <w:t>,</w:t>
      </w:r>
      <w:r w:rsidR="00625D3F" w:rsidRPr="00834B27">
        <w:rPr>
          <w:rFonts w:ascii="Calibri" w:hAnsi="Calibri" w:cs="Calibri"/>
          <w:i/>
          <w:iCs/>
          <w:lang w:val="ro-RO"/>
        </w:rPr>
        <w:t xml:space="preserve"> deoarece </w:t>
      </w:r>
      <w:r w:rsidR="001834CF" w:rsidRPr="00834B27">
        <w:rPr>
          <w:rFonts w:ascii="Calibri" w:hAnsi="Calibri" w:cs="Calibri"/>
          <w:i/>
          <w:iCs/>
          <w:lang w:val="ro-RO"/>
        </w:rPr>
        <w:t>chiar dac</w:t>
      </w:r>
      <w:r w:rsidRPr="00834B27">
        <w:rPr>
          <w:rFonts w:ascii="Calibri" w:hAnsi="Calibri" w:cs="Calibri"/>
          <w:i/>
          <w:iCs/>
          <w:lang w:val="ro-RO"/>
        </w:rPr>
        <w:t>ă</w:t>
      </w:r>
      <w:r w:rsidR="003C69C9" w:rsidRPr="00834B27">
        <w:rPr>
          <w:rFonts w:ascii="Calibri" w:hAnsi="Calibri" w:cs="Calibri"/>
          <w:i/>
          <w:iCs/>
          <w:lang w:val="ro-RO"/>
        </w:rPr>
        <w:t xml:space="preserve"> s-au majorat</w:t>
      </w:r>
      <w:r w:rsidR="001834CF" w:rsidRPr="00834B27">
        <w:rPr>
          <w:rFonts w:ascii="Calibri" w:hAnsi="Calibri" w:cs="Calibri"/>
          <w:i/>
          <w:iCs/>
          <w:lang w:val="ro-RO"/>
        </w:rPr>
        <w:t xml:space="preserve"> cotele de CAS </w:t>
      </w:r>
      <w:r w:rsidRPr="00834B27">
        <w:rPr>
          <w:rFonts w:ascii="Calibri" w:hAnsi="Calibri" w:cs="Calibri"/>
          <w:i/>
          <w:iCs/>
          <w:lang w:val="ro-RO"/>
        </w:rPr>
        <w:t>ș</w:t>
      </w:r>
      <w:r w:rsidR="001834CF" w:rsidRPr="00834B27">
        <w:rPr>
          <w:rFonts w:ascii="Calibri" w:hAnsi="Calibri" w:cs="Calibri"/>
          <w:i/>
          <w:iCs/>
          <w:lang w:val="ro-RO"/>
        </w:rPr>
        <w:t xml:space="preserve">i </w:t>
      </w:r>
      <w:r w:rsidR="00625D3F" w:rsidRPr="00834B27">
        <w:rPr>
          <w:rFonts w:ascii="Calibri" w:hAnsi="Calibri" w:cs="Calibri"/>
          <w:i/>
          <w:iCs/>
          <w:lang w:val="ro-RO"/>
        </w:rPr>
        <w:t xml:space="preserve">CASS </w:t>
      </w:r>
      <w:r w:rsidR="00064337" w:rsidRPr="00834B27">
        <w:rPr>
          <w:rFonts w:ascii="Calibri" w:hAnsi="Calibri" w:cs="Calibri"/>
          <w:i/>
          <w:iCs/>
          <w:lang w:val="ro-RO"/>
        </w:rPr>
        <w:t xml:space="preserve">de la 10,5% la </w:t>
      </w:r>
      <w:r w:rsidR="005F72ED" w:rsidRPr="00834B27">
        <w:rPr>
          <w:rFonts w:ascii="Calibri" w:hAnsi="Calibri" w:cs="Calibri"/>
          <w:i/>
          <w:iCs/>
          <w:lang w:val="ro-RO"/>
        </w:rPr>
        <w:t>25%, respectiv de la 5,5% la 10%, baza de calcul a</w:t>
      </w:r>
      <w:r w:rsidR="003C69C9" w:rsidRPr="00834B27">
        <w:rPr>
          <w:rFonts w:ascii="Calibri" w:hAnsi="Calibri" w:cs="Calibri"/>
          <w:i/>
          <w:iCs/>
          <w:lang w:val="ro-RO"/>
        </w:rPr>
        <w:t>l</w:t>
      </w:r>
      <w:r w:rsidR="005F72ED" w:rsidRPr="00834B27">
        <w:rPr>
          <w:rFonts w:ascii="Calibri" w:hAnsi="Calibri" w:cs="Calibri"/>
          <w:i/>
          <w:iCs/>
          <w:lang w:val="ro-RO"/>
        </w:rPr>
        <w:t xml:space="preserve"> acestora a fost redus</w:t>
      </w:r>
      <w:r w:rsidRPr="00834B27">
        <w:rPr>
          <w:rFonts w:ascii="Calibri" w:hAnsi="Calibri" w:cs="Calibri"/>
          <w:i/>
          <w:iCs/>
          <w:lang w:val="ro-RO"/>
        </w:rPr>
        <w:t>ă</w:t>
      </w:r>
      <w:r w:rsidR="005F72ED" w:rsidRPr="00834B27">
        <w:rPr>
          <w:rFonts w:ascii="Calibri" w:hAnsi="Calibri" w:cs="Calibri"/>
          <w:i/>
          <w:iCs/>
          <w:lang w:val="ro-RO"/>
        </w:rPr>
        <w:t xml:space="preserve"> semnificativ.</w:t>
      </w:r>
    </w:p>
    <w:p w14:paraId="2593CE9F" w14:textId="14D8A58A" w:rsidR="00DA7550" w:rsidRPr="00834B27" w:rsidRDefault="00821229" w:rsidP="00B91E74">
      <w:pPr>
        <w:spacing w:line="276" w:lineRule="auto"/>
        <w:jc w:val="both"/>
        <w:rPr>
          <w:rFonts w:ascii="Calibri" w:hAnsi="Calibri" w:cs="Calibri"/>
          <w:i/>
          <w:iCs/>
          <w:lang w:val="ro-RO"/>
        </w:rPr>
      </w:pPr>
      <w:r w:rsidRPr="00834B27">
        <w:rPr>
          <w:rFonts w:ascii="Calibri" w:hAnsi="Calibri" w:cs="Calibri"/>
          <w:i/>
          <w:iCs/>
          <w:lang w:val="ro-RO"/>
        </w:rPr>
        <w:lastRenderedPageBreak/>
        <w:t>P</w:t>
      </w:r>
      <w:r w:rsidR="009812B1" w:rsidRPr="00834B27">
        <w:rPr>
          <w:rFonts w:ascii="Calibri" w:hAnsi="Calibri" w:cs="Calibri"/>
          <w:i/>
          <w:iCs/>
          <w:lang w:val="ro-RO"/>
        </w:rPr>
        <w:t>â</w:t>
      </w:r>
      <w:r w:rsidRPr="00834B27">
        <w:rPr>
          <w:rFonts w:ascii="Calibri" w:hAnsi="Calibri" w:cs="Calibri"/>
          <w:i/>
          <w:iCs/>
          <w:lang w:val="ro-RO"/>
        </w:rPr>
        <w:t>n</w:t>
      </w:r>
      <w:r w:rsidR="009812B1" w:rsidRPr="00834B27">
        <w:rPr>
          <w:rFonts w:ascii="Calibri" w:hAnsi="Calibri" w:cs="Calibri"/>
          <w:i/>
          <w:iCs/>
          <w:lang w:val="ro-RO"/>
        </w:rPr>
        <w:t>ă</w:t>
      </w:r>
      <w:r w:rsidRPr="00834B27">
        <w:rPr>
          <w:rFonts w:ascii="Calibri" w:hAnsi="Calibri" w:cs="Calibri"/>
          <w:i/>
          <w:iCs/>
          <w:lang w:val="ro-RO"/>
        </w:rPr>
        <w:t xml:space="preserve"> </w:t>
      </w:r>
      <w:r w:rsidR="009812B1" w:rsidRPr="00834B27">
        <w:rPr>
          <w:rFonts w:ascii="Calibri" w:hAnsi="Calibri" w:cs="Calibri"/>
          <w:i/>
          <w:iCs/>
          <w:lang w:val="ro-RO"/>
        </w:rPr>
        <w:t>î</w:t>
      </w:r>
      <w:r w:rsidRPr="00834B27">
        <w:rPr>
          <w:rFonts w:ascii="Calibri" w:hAnsi="Calibri" w:cs="Calibri"/>
          <w:i/>
          <w:iCs/>
          <w:lang w:val="ro-RO"/>
        </w:rPr>
        <w:t xml:space="preserve">n anul 2024, </w:t>
      </w:r>
      <w:r w:rsidR="00B21FE1" w:rsidRPr="00834B27">
        <w:rPr>
          <w:rFonts w:ascii="Calibri" w:hAnsi="Calibri" w:cs="Calibri"/>
          <w:i/>
          <w:iCs/>
          <w:lang w:val="ro-RO"/>
        </w:rPr>
        <w:t>venitul impozabil putea fi calculat pe baza normelor de venit</w:t>
      </w:r>
      <w:r w:rsidR="00336242" w:rsidRPr="00834B27">
        <w:rPr>
          <w:rFonts w:ascii="Calibri" w:hAnsi="Calibri" w:cs="Calibri"/>
          <w:i/>
          <w:iCs/>
          <w:lang w:val="ro-RO"/>
        </w:rPr>
        <w:t xml:space="preserve"> pentru venituri brute de p</w:t>
      </w:r>
      <w:r w:rsidR="009812B1" w:rsidRPr="00834B27">
        <w:rPr>
          <w:rFonts w:ascii="Calibri" w:hAnsi="Calibri" w:cs="Calibri"/>
          <w:i/>
          <w:iCs/>
          <w:lang w:val="ro-RO"/>
        </w:rPr>
        <w:t>â</w:t>
      </w:r>
      <w:r w:rsidR="00336242" w:rsidRPr="00834B27">
        <w:rPr>
          <w:rFonts w:ascii="Calibri" w:hAnsi="Calibri" w:cs="Calibri"/>
          <w:i/>
          <w:iCs/>
          <w:lang w:val="ro-RO"/>
        </w:rPr>
        <w:t>n</w:t>
      </w:r>
      <w:r w:rsidR="009812B1" w:rsidRPr="00834B27">
        <w:rPr>
          <w:rFonts w:ascii="Calibri" w:hAnsi="Calibri" w:cs="Calibri"/>
          <w:i/>
          <w:iCs/>
          <w:lang w:val="ro-RO"/>
        </w:rPr>
        <w:t>ă</w:t>
      </w:r>
      <w:r w:rsidR="00336242" w:rsidRPr="00834B27">
        <w:rPr>
          <w:rFonts w:ascii="Calibri" w:hAnsi="Calibri" w:cs="Calibri"/>
          <w:i/>
          <w:iCs/>
          <w:lang w:val="ro-RO"/>
        </w:rPr>
        <w:t xml:space="preserve"> la 100.000 euro/</w:t>
      </w:r>
      <w:r w:rsidR="00FC54E1" w:rsidRPr="00834B27">
        <w:rPr>
          <w:rFonts w:ascii="Calibri" w:hAnsi="Calibri" w:cs="Calibri"/>
          <w:i/>
          <w:iCs/>
          <w:lang w:val="ro-RO"/>
        </w:rPr>
        <w:t>an, plafonul fiind redus pentru a se limita</w:t>
      </w:r>
      <w:r w:rsidR="00202727" w:rsidRPr="00834B27">
        <w:rPr>
          <w:rFonts w:ascii="Calibri" w:hAnsi="Calibri" w:cs="Calibri"/>
          <w:i/>
          <w:iCs/>
          <w:lang w:val="ro-RO"/>
        </w:rPr>
        <w:t xml:space="preserve"> folosirea acestei forme de impozitare</w:t>
      </w:r>
      <w:r w:rsidR="00DA7550" w:rsidRPr="00834B27">
        <w:rPr>
          <w:rFonts w:ascii="Calibri" w:hAnsi="Calibri" w:cs="Calibri"/>
          <w:i/>
          <w:iCs/>
          <w:lang w:val="ro-RO"/>
        </w:rPr>
        <w:t xml:space="preserve"> pentru arbitraj fiscal</w:t>
      </w:r>
      <w:r w:rsidR="005E3FFC" w:rsidRPr="00834B27">
        <w:rPr>
          <w:rFonts w:ascii="Calibri" w:hAnsi="Calibri" w:cs="Calibri"/>
          <w:i/>
          <w:iCs/>
          <w:lang w:val="ro-RO"/>
        </w:rPr>
        <w:t xml:space="preserve"> sau </w:t>
      </w:r>
      <w:r w:rsidR="00DA7550" w:rsidRPr="00834B27">
        <w:rPr>
          <w:rFonts w:ascii="Calibri" w:hAnsi="Calibri" w:cs="Calibri"/>
          <w:i/>
          <w:iCs/>
          <w:lang w:val="ro-RO"/>
        </w:rPr>
        <w:t>planificare fiscal</w:t>
      </w:r>
      <w:r w:rsidR="009812B1" w:rsidRPr="00834B27">
        <w:rPr>
          <w:rFonts w:ascii="Calibri" w:hAnsi="Calibri" w:cs="Calibri"/>
          <w:i/>
          <w:iCs/>
          <w:lang w:val="ro-RO"/>
        </w:rPr>
        <w:t>ă</w:t>
      </w:r>
      <w:r w:rsidR="00DA7550" w:rsidRPr="00834B27">
        <w:rPr>
          <w:rFonts w:ascii="Calibri" w:hAnsi="Calibri" w:cs="Calibri"/>
          <w:i/>
          <w:iCs/>
          <w:lang w:val="ro-RO"/>
        </w:rPr>
        <w:t>.</w:t>
      </w:r>
    </w:p>
    <w:p w14:paraId="3B363D65" w14:textId="77777777" w:rsidR="00DA7550" w:rsidRPr="00834B27" w:rsidRDefault="00DA7550" w:rsidP="00B91E74">
      <w:pPr>
        <w:spacing w:line="276" w:lineRule="auto"/>
        <w:jc w:val="both"/>
        <w:rPr>
          <w:rFonts w:ascii="Calibri" w:hAnsi="Calibri" w:cs="Calibri"/>
          <w:i/>
          <w:iCs/>
          <w:lang w:val="ro-RO"/>
        </w:rPr>
      </w:pPr>
    </w:p>
    <w:p w14:paraId="1510FBD2" w14:textId="2C2B1BED" w:rsidR="001973DD" w:rsidRPr="00834B27" w:rsidRDefault="0060272C" w:rsidP="00B91E74">
      <w:pPr>
        <w:pStyle w:val="Listparagraf"/>
        <w:numPr>
          <w:ilvl w:val="2"/>
          <w:numId w:val="24"/>
        </w:numPr>
        <w:spacing w:line="276" w:lineRule="auto"/>
        <w:contextualSpacing w:val="0"/>
        <w:jc w:val="both"/>
        <w:rPr>
          <w:rFonts w:ascii="Calibri" w:hAnsi="Calibri" w:cs="Calibri"/>
          <w:b/>
          <w:bCs/>
          <w:lang w:val="ro-RO"/>
        </w:rPr>
      </w:pPr>
      <w:r w:rsidRPr="00834B27">
        <w:rPr>
          <w:rFonts w:ascii="Calibri" w:hAnsi="Calibri" w:cs="Calibri"/>
          <w:b/>
          <w:bCs/>
          <w:lang w:val="ro-RO"/>
        </w:rPr>
        <w:t>CAS</w:t>
      </w:r>
    </w:p>
    <w:p w14:paraId="044813B0" w14:textId="77777777" w:rsidR="001973DD" w:rsidRPr="00834B27" w:rsidRDefault="001973DD" w:rsidP="00B91E74">
      <w:pPr>
        <w:spacing w:line="276" w:lineRule="auto"/>
        <w:jc w:val="both"/>
        <w:rPr>
          <w:rFonts w:ascii="Calibri" w:hAnsi="Calibri" w:cs="Calibri"/>
          <w:lang w:val="ro-RO"/>
        </w:rPr>
      </w:pPr>
      <w:r w:rsidRPr="00834B27">
        <w:rPr>
          <w:rFonts w:ascii="Calibri" w:hAnsi="Calibri" w:cs="Calibri"/>
          <w:b/>
          <w:bCs/>
          <w:u w:val="single"/>
          <w:lang w:val="ro-RO"/>
        </w:rPr>
        <w:t>Cota de CAS:</w:t>
      </w:r>
      <w:r w:rsidRPr="00834B27">
        <w:rPr>
          <w:rFonts w:ascii="Calibri" w:hAnsi="Calibri" w:cs="Calibri"/>
          <w:lang w:val="ro-RO"/>
        </w:rPr>
        <w:t xml:space="preserve"> 25%</w:t>
      </w:r>
    </w:p>
    <w:p w14:paraId="291743DB" w14:textId="399EADF3" w:rsidR="005C22C8" w:rsidRPr="00834B27" w:rsidRDefault="001973DD" w:rsidP="00B91E74">
      <w:pPr>
        <w:spacing w:line="276" w:lineRule="auto"/>
        <w:jc w:val="both"/>
        <w:rPr>
          <w:rFonts w:ascii="Calibri" w:hAnsi="Calibri" w:cs="Calibri"/>
          <w:lang w:val="ro-RO"/>
        </w:rPr>
      </w:pPr>
      <w:r w:rsidRPr="00834B27">
        <w:rPr>
          <w:rFonts w:ascii="Calibri" w:hAnsi="Calibri" w:cs="Calibri"/>
          <w:b/>
          <w:bCs/>
          <w:u w:val="single"/>
          <w:lang w:val="ro-RO"/>
        </w:rPr>
        <w:t>Baza de calcu</w:t>
      </w:r>
      <w:r w:rsidR="000B1CE7" w:rsidRPr="00834B27">
        <w:rPr>
          <w:rFonts w:ascii="Calibri" w:hAnsi="Calibri" w:cs="Calibri"/>
          <w:b/>
          <w:bCs/>
          <w:u w:val="single"/>
          <w:lang w:val="ro-RO"/>
        </w:rPr>
        <w:t>l</w:t>
      </w:r>
      <w:r w:rsidR="003C69C9" w:rsidRPr="00834B27">
        <w:rPr>
          <w:rFonts w:ascii="Calibri" w:hAnsi="Calibri" w:cs="Calibri"/>
          <w:b/>
          <w:bCs/>
          <w:u w:val="single"/>
          <w:lang w:val="ro-RO"/>
        </w:rPr>
        <w:t>:</w:t>
      </w:r>
      <w:r w:rsidR="003C69C9" w:rsidRPr="00834B27">
        <w:rPr>
          <w:rFonts w:ascii="Calibri" w:hAnsi="Calibri" w:cs="Calibri"/>
          <w:lang w:val="ro-RO"/>
        </w:rPr>
        <w:t xml:space="preserve"> </w:t>
      </w:r>
      <w:r w:rsidR="005C22C8" w:rsidRPr="00834B27">
        <w:rPr>
          <w:rFonts w:ascii="Calibri" w:hAnsi="Calibri" w:cs="Calibri"/>
          <w:lang w:val="ro-RO"/>
        </w:rPr>
        <w:t>depinde de venitul impozabil realizat:</w:t>
      </w:r>
    </w:p>
    <w:p w14:paraId="6ED0E741" w14:textId="74908FF0" w:rsidR="005C22C8" w:rsidRPr="00834B27" w:rsidRDefault="005C22C8" w:rsidP="00B91E74">
      <w:pPr>
        <w:pStyle w:val="Listparagraf"/>
        <w:numPr>
          <w:ilvl w:val="0"/>
          <w:numId w:val="1"/>
        </w:numPr>
        <w:spacing w:line="276" w:lineRule="auto"/>
        <w:ind w:left="360"/>
        <w:contextualSpacing w:val="0"/>
        <w:jc w:val="both"/>
        <w:rPr>
          <w:rFonts w:ascii="Calibri" w:hAnsi="Calibri" w:cs="Calibri"/>
          <w:lang w:val="ro-RO"/>
        </w:rPr>
      </w:pPr>
      <w:r w:rsidRPr="00834B27">
        <w:rPr>
          <w:rFonts w:ascii="Calibri" w:hAnsi="Calibri" w:cs="Calibri"/>
          <w:lang w:val="ro-RO"/>
        </w:rPr>
        <w:t>0, dac</w:t>
      </w:r>
      <w:r w:rsidR="009812B1" w:rsidRPr="00834B27">
        <w:rPr>
          <w:rFonts w:ascii="Calibri" w:hAnsi="Calibri" w:cs="Calibri"/>
          <w:lang w:val="ro-RO"/>
        </w:rPr>
        <w:t>ă</w:t>
      </w:r>
      <w:r w:rsidRPr="00834B27">
        <w:rPr>
          <w:rFonts w:ascii="Calibri" w:hAnsi="Calibri" w:cs="Calibri"/>
          <w:lang w:val="ro-RO"/>
        </w:rPr>
        <w:t xml:space="preserve"> venitul impozabil este mai mic de 12 </w:t>
      </w:r>
      <w:r w:rsidR="00187882" w:rsidRPr="00834B27">
        <w:rPr>
          <w:rFonts w:ascii="Calibri" w:hAnsi="Calibri" w:cs="Calibri"/>
          <w:lang w:val="ro-RO"/>
        </w:rPr>
        <w:t>SM</w:t>
      </w:r>
      <w:r w:rsidRPr="00834B27">
        <w:rPr>
          <w:rFonts w:ascii="Calibri" w:hAnsi="Calibri" w:cs="Calibri"/>
          <w:lang w:val="ro-RO"/>
        </w:rPr>
        <w:t>/an</w:t>
      </w:r>
      <w:r w:rsidR="009327A6" w:rsidRPr="00834B27">
        <w:rPr>
          <w:rFonts w:ascii="Calibri" w:hAnsi="Calibri" w:cs="Calibri"/>
          <w:lang w:val="ro-RO"/>
        </w:rPr>
        <w:t>. Exist</w:t>
      </w:r>
      <w:r w:rsidR="009812B1" w:rsidRPr="00834B27">
        <w:rPr>
          <w:rFonts w:ascii="Calibri" w:hAnsi="Calibri" w:cs="Calibri"/>
          <w:lang w:val="ro-RO"/>
        </w:rPr>
        <w:t>ă</w:t>
      </w:r>
      <w:r w:rsidR="009327A6" w:rsidRPr="00834B27">
        <w:rPr>
          <w:rFonts w:ascii="Calibri" w:hAnsi="Calibri" w:cs="Calibri"/>
          <w:lang w:val="ro-RO"/>
        </w:rPr>
        <w:t xml:space="preserve"> posibilitatea </w:t>
      </w:r>
      <w:r w:rsidR="009812B1" w:rsidRPr="00834B27">
        <w:rPr>
          <w:rFonts w:ascii="Calibri" w:hAnsi="Calibri" w:cs="Calibri"/>
          <w:lang w:val="ro-RO"/>
        </w:rPr>
        <w:t>asigurării</w:t>
      </w:r>
      <w:r w:rsidR="001A26EF" w:rsidRPr="00834B27">
        <w:rPr>
          <w:rFonts w:ascii="Calibri" w:hAnsi="Calibri" w:cs="Calibri"/>
          <w:lang w:val="ro-RO"/>
        </w:rPr>
        <w:t xml:space="preserve"> </w:t>
      </w:r>
      <w:r w:rsidR="009812B1" w:rsidRPr="00834B27">
        <w:rPr>
          <w:rFonts w:ascii="Calibri" w:hAnsi="Calibri" w:cs="Calibri"/>
          <w:lang w:val="ro-RO"/>
        </w:rPr>
        <w:t>op</w:t>
      </w:r>
      <w:r w:rsidR="00D77C4B" w:rsidRPr="00834B27">
        <w:rPr>
          <w:rFonts w:ascii="Calibri" w:hAnsi="Calibri" w:cs="Calibri"/>
          <w:lang w:val="ro-RO"/>
        </w:rPr>
        <w:t>ț</w:t>
      </w:r>
      <w:r w:rsidR="009812B1" w:rsidRPr="00834B27">
        <w:rPr>
          <w:rFonts w:ascii="Calibri" w:hAnsi="Calibri" w:cs="Calibri"/>
          <w:lang w:val="ro-RO"/>
        </w:rPr>
        <w:t>ionale</w:t>
      </w:r>
      <w:r w:rsidR="001A26EF" w:rsidRPr="00834B27">
        <w:rPr>
          <w:rFonts w:ascii="Calibri" w:hAnsi="Calibri" w:cs="Calibri"/>
          <w:lang w:val="ro-RO"/>
        </w:rPr>
        <w:t xml:space="preserve">, caz </w:t>
      </w:r>
      <w:r w:rsidR="009812B1" w:rsidRPr="00834B27">
        <w:rPr>
          <w:rFonts w:ascii="Calibri" w:hAnsi="Calibri" w:cs="Calibri"/>
          <w:lang w:val="ro-RO"/>
        </w:rPr>
        <w:t>î</w:t>
      </w:r>
      <w:r w:rsidR="001A26EF" w:rsidRPr="00834B27">
        <w:rPr>
          <w:rFonts w:ascii="Calibri" w:hAnsi="Calibri" w:cs="Calibri"/>
          <w:lang w:val="ro-RO"/>
        </w:rPr>
        <w:t xml:space="preserve">n care baza de calcul al CAS este </w:t>
      </w:r>
      <w:r w:rsidR="005C6364" w:rsidRPr="00834B27">
        <w:rPr>
          <w:rFonts w:ascii="Calibri" w:hAnsi="Calibri" w:cs="Calibri"/>
          <w:lang w:val="ro-RO"/>
        </w:rPr>
        <w:t xml:space="preserve">minim </w:t>
      </w:r>
      <w:r w:rsidR="001A26EF" w:rsidRPr="00834B27">
        <w:rPr>
          <w:rFonts w:ascii="Calibri" w:hAnsi="Calibri" w:cs="Calibri"/>
          <w:lang w:val="ro-RO"/>
        </w:rPr>
        <w:t>12 SM/an</w:t>
      </w:r>
      <w:r w:rsidRPr="00834B27">
        <w:rPr>
          <w:rFonts w:ascii="Calibri" w:hAnsi="Calibri" w:cs="Calibri"/>
          <w:lang w:val="ro-RO"/>
        </w:rPr>
        <w:t>;</w:t>
      </w:r>
    </w:p>
    <w:p w14:paraId="4D0A7341" w14:textId="35198DFB" w:rsidR="00B51B46" w:rsidRPr="00834B27" w:rsidRDefault="005C6364" w:rsidP="00B91E74">
      <w:pPr>
        <w:pStyle w:val="Listparagraf"/>
        <w:numPr>
          <w:ilvl w:val="0"/>
          <w:numId w:val="1"/>
        </w:numPr>
        <w:spacing w:line="276" w:lineRule="auto"/>
        <w:ind w:left="360"/>
        <w:contextualSpacing w:val="0"/>
        <w:jc w:val="both"/>
        <w:rPr>
          <w:rFonts w:ascii="Calibri" w:hAnsi="Calibri" w:cs="Calibri"/>
          <w:lang w:val="ro-RO"/>
        </w:rPr>
      </w:pPr>
      <w:r w:rsidRPr="00834B27">
        <w:rPr>
          <w:rFonts w:ascii="Calibri" w:hAnsi="Calibri" w:cs="Calibri"/>
          <w:lang w:val="ro-RO"/>
        </w:rPr>
        <w:t xml:space="preserve">Minim </w:t>
      </w:r>
      <w:r w:rsidR="005C22C8" w:rsidRPr="00834B27">
        <w:rPr>
          <w:rFonts w:ascii="Calibri" w:hAnsi="Calibri" w:cs="Calibri"/>
          <w:lang w:val="ro-RO"/>
        </w:rPr>
        <w:t xml:space="preserve">12 </w:t>
      </w:r>
      <w:r w:rsidR="00187882" w:rsidRPr="00834B27">
        <w:rPr>
          <w:rFonts w:ascii="Calibri" w:hAnsi="Calibri" w:cs="Calibri"/>
          <w:lang w:val="ro-RO"/>
        </w:rPr>
        <w:t>SM, dac</w:t>
      </w:r>
      <w:r w:rsidR="009812B1" w:rsidRPr="00834B27">
        <w:rPr>
          <w:rFonts w:ascii="Calibri" w:hAnsi="Calibri" w:cs="Calibri"/>
          <w:lang w:val="ro-RO"/>
        </w:rPr>
        <w:t>ă</w:t>
      </w:r>
      <w:r w:rsidR="00187882" w:rsidRPr="00834B27">
        <w:rPr>
          <w:rFonts w:ascii="Calibri" w:hAnsi="Calibri" w:cs="Calibri"/>
          <w:lang w:val="ro-RO"/>
        </w:rPr>
        <w:t xml:space="preserve"> venitul impozabil este cuprins </w:t>
      </w:r>
      <w:r w:rsidR="009812B1" w:rsidRPr="00834B27">
        <w:rPr>
          <w:rFonts w:ascii="Calibri" w:hAnsi="Calibri" w:cs="Calibri"/>
          <w:lang w:val="ro-RO"/>
        </w:rPr>
        <w:t>î</w:t>
      </w:r>
      <w:r w:rsidR="00187882" w:rsidRPr="00834B27">
        <w:rPr>
          <w:rFonts w:ascii="Calibri" w:hAnsi="Calibri" w:cs="Calibri"/>
          <w:lang w:val="ro-RO"/>
        </w:rPr>
        <w:t>n</w:t>
      </w:r>
      <w:r w:rsidR="00300E57" w:rsidRPr="00834B27">
        <w:rPr>
          <w:rFonts w:ascii="Calibri" w:hAnsi="Calibri" w:cs="Calibri"/>
          <w:lang w:val="ro-RO"/>
        </w:rPr>
        <w:t xml:space="preserve">tre 12 </w:t>
      </w:r>
      <w:r w:rsidR="009812B1" w:rsidRPr="00834B27">
        <w:rPr>
          <w:rFonts w:ascii="Calibri" w:hAnsi="Calibri" w:cs="Calibri"/>
          <w:lang w:val="ro-RO"/>
        </w:rPr>
        <w:t>ș</w:t>
      </w:r>
      <w:r w:rsidR="00300E57" w:rsidRPr="00834B27">
        <w:rPr>
          <w:rFonts w:ascii="Calibri" w:hAnsi="Calibri" w:cs="Calibri"/>
          <w:lang w:val="ro-RO"/>
        </w:rPr>
        <w:t>i 24 de SM/an;</w:t>
      </w:r>
    </w:p>
    <w:p w14:paraId="00391485" w14:textId="6791C7E5" w:rsidR="009327A6" w:rsidRPr="00834B27" w:rsidRDefault="005C6364" w:rsidP="00B91E74">
      <w:pPr>
        <w:pStyle w:val="Listparagraf"/>
        <w:numPr>
          <w:ilvl w:val="0"/>
          <w:numId w:val="1"/>
        </w:numPr>
        <w:spacing w:line="276" w:lineRule="auto"/>
        <w:ind w:left="360"/>
        <w:contextualSpacing w:val="0"/>
        <w:jc w:val="both"/>
        <w:rPr>
          <w:rFonts w:ascii="Calibri" w:hAnsi="Calibri" w:cs="Calibri"/>
          <w:lang w:val="ro-RO"/>
        </w:rPr>
      </w:pPr>
      <w:r w:rsidRPr="00834B27">
        <w:rPr>
          <w:rFonts w:ascii="Calibri" w:hAnsi="Calibri" w:cs="Calibri"/>
          <w:lang w:val="ro-RO"/>
        </w:rPr>
        <w:t xml:space="preserve">Minim </w:t>
      </w:r>
      <w:r w:rsidR="00300E57" w:rsidRPr="00834B27">
        <w:rPr>
          <w:rFonts w:ascii="Calibri" w:hAnsi="Calibri" w:cs="Calibri"/>
          <w:lang w:val="ro-RO"/>
        </w:rPr>
        <w:t>24 SM, dac</w:t>
      </w:r>
      <w:r w:rsidR="009812B1" w:rsidRPr="00834B27">
        <w:rPr>
          <w:rFonts w:ascii="Calibri" w:hAnsi="Calibri" w:cs="Calibri"/>
          <w:lang w:val="ro-RO"/>
        </w:rPr>
        <w:t>ă</w:t>
      </w:r>
      <w:r w:rsidR="00300E57" w:rsidRPr="00834B27">
        <w:rPr>
          <w:rFonts w:ascii="Calibri" w:hAnsi="Calibri" w:cs="Calibri"/>
          <w:lang w:val="ro-RO"/>
        </w:rPr>
        <w:t xml:space="preserve"> venitul impozabil este mai mare de 24 SM/an</w:t>
      </w:r>
      <w:r w:rsidR="001A71FB" w:rsidRPr="00834B27">
        <w:rPr>
          <w:rFonts w:ascii="Calibri" w:hAnsi="Calibri" w:cs="Calibri"/>
          <w:lang w:val="ro-RO"/>
        </w:rPr>
        <w:t>.</w:t>
      </w:r>
    </w:p>
    <w:p w14:paraId="6354FB04" w14:textId="54A4AE11" w:rsidR="005C6364" w:rsidRPr="00834B27" w:rsidRDefault="005C6364" w:rsidP="00B91E74">
      <w:pPr>
        <w:spacing w:line="276" w:lineRule="auto"/>
        <w:jc w:val="both"/>
        <w:rPr>
          <w:rFonts w:ascii="Calibri" w:hAnsi="Calibri" w:cs="Calibri"/>
          <w:u w:val="single"/>
          <w:lang w:val="ro-RO"/>
        </w:rPr>
      </w:pPr>
      <w:r w:rsidRPr="00834B27">
        <w:rPr>
          <w:rFonts w:ascii="Calibri" w:hAnsi="Calibri" w:cs="Calibri"/>
          <w:u w:val="single"/>
          <w:lang w:val="ro-RO"/>
        </w:rPr>
        <w:t>Contribuabilul poate alege o baz</w:t>
      </w:r>
      <w:r w:rsidR="00E1023F" w:rsidRPr="00834B27">
        <w:rPr>
          <w:rFonts w:ascii="Calibri" w:hAnsi="Calibri" w:cs="Calibri"/>
          <w:u w:val="single"/>
          <w:lang w:val="ro-RO"/>
        </w:rPr>
        <w:t>ă</w:t>
      </w:r>
      <w:r w:rsidRPr="00834B27">
        <w:rPr>
          <w:rFonts w:ascii="Calibri" w:hAnsi="Calibri" w:cs="Calibri"/>
          <w:u w:val="single"/>
          <w:lang w:val="ro-RO"/>
        </w:rPr>
        <w:t xml:space="preserve"> de calcul mai mare decât minimul impus conform celor de mai sus. </w:t>
      </w:r>
    </w:p>
    <w:p w14:paraId="71C78910" w14:textId="1095F141" w:rsidR="006C2E6C" w:rsidRPr="00834B27" w:rsidRDefault="00297DA5" w:rsidP="00B91E74">
      <w:pPr>
        <w:spacing w:line="276" w:lineRule="auto"/>
        <w:jc w:val="both"/>
        <w:rPr>
          <w:rFonts w:ascii="Calibri" w:hAnsi="Calibri" w:cs="Calibri"/>
          <w:lang w:val="ro-RO"/>
        </w:rPr>
      </w:pPr>
      <w:r w:rsidRPr="00834B27">
        <w:rPr>
          <w:rFonts w:ascii="Calibri" w:hAnsi="Calibri" w:cs="Calibri"/>
          <w:b/>
          <w:bCs/>
          <w:u w:val="single"/>
          <w:lang w:val="ro-RO"/>
        </w:rPr>
        <w:t>Plata:</w:t>
      </w:r>
      <w:r w:rsidRPr="00834B27">
        <w:rPr>
          <w:rFonts w:ascii="Calibri" w:hAnsi="Calibri" w:cs="Calibri"/>
          <w:lang w:val="ro-RO"/>
        </w:rPr>
        <w:t xml:space="preserve"> CAS se </w:t>
      </w:r>
      <w:r w:rsidR="009812B1" w:rsidRPr="00834B27">
        <w:rPr>
          <w:rFonts w:ascii="Calibri" w:hAnsi="Calibri" w:cs="Calibri"/>
          <w:lang w:val="ro-RO"/>
        </w:rPr>
        <w:t>plătește</w:t>
      </w:r>
      <w:r w:rsidR="00106BFE" w:rsidRPr="00834B27">
        <w:rPr>
          <w:rFonts w:ascii="Calibri" w:hAnsi="Calibri" w:cs="Calibri"/>
          <w:lang w:val="ro-RO"/>
        </w:rPr>
        <w:t xml:space="preserve"> anual de </w:t>
      </w:r>
      <w:r w:rsidR="009812B1" w:rsidRPr="00834B27">
        <w:rPr>
          <w:rFonts w:ascii="Calibri" w:hAnsi="Calibri" w:cs="Calibri"/>
          <w:lang w:val="ro-RO"/>
        </w:rPr>
        <w:t>către</w:t>
      </w:r>
      <w:r w:rsidR="00106BFE" w:rsidRPr="00834B27">
        <w:rPr>
          <w:rFonts w:ascii="Calibri" w:hAnsi="Calibri" w:cs="Calibri"/>
          <w:lang w:val="ro-RO"/>
        </w:rPr>
        <w:t xml:space="preserve"> contribuabil la termenul de depunere al </w:t>
      </w:r>
      <w:r w:rsidR="009812B1" w:rsidRPr="00834B27">
        <w:rPr>
          <w:rFonts w:ascii="Calibri" w:hAnsi="Calibri" w:cs="Calibri"/>
          <w:lang w:val="ro-RO"/>
        </w:rPr>
        <w:t>declara</w:t>
      </w:r>
      <w:r w:rsidR="00D77C4B" w:rsidRPr="00834B27">
        <w:rPr>
          <w:rFonts w:ascii="Calibri" w:hAnsi="Calibri" w:cs="Calibri"/>
          <w:lang w:val="ro-RO"/>
        </w:rPr>
        <w:t>ț</w:t>
      </w:r>
      <w:r w:rsidR="009812B1" w:rsidRPr="00834B27">
        <w:rPr>
          <w:rFonts w:ascii="Calibri" w:hAnsi="Calibri" w:cs="Calibri"/>
          <w:lang w:val="ro-RO"/>
        </w:rPr>
        <w:t>iei</w:t>
      </w:r>
      <w:r w:rsidR="00106BFE" w:rsidRPr="00834B27">
        <w:rPr>
          <w:rFonts w:ascii="Calibri" w:hAnsi="Calibri" w:cs="Calibri"/>
          <w:lang w:val="ro-RO"/>
        </w:rPr>
        <w:t xml:space="preserve"> D212. Fac </w:t>
      </w:r>
      <w:r w:rsidR="009812B1" w:rsidRPr="00834B27">
        <w:rPr>
          <w:rFonts w:ascii="Calibri" w:hAnsi="Calibri" w:cs="Calibri"/>
          <w:lang w:val="ro-RO"/>
        </w:rPr>
        <w:t>excep</w:t>
      </w:r>
      <w:r w:rsidR="00D77C4B" w:rsidRPr="00834B27">
        <w:rPr>
          <w:rFonts w:ascii="Calibri" w:hAnsi="Calibri" w:cs="Calibri"/>
          <w:lang w:val="ro-RO"/>
        </w:rPr>
        <w:t>ț</w:t>
      </w:r>
      <w:r w:rsidR="009812B1" w:rsidRPr="00834B27">
        <w:rPr>
          <w:rFonts w:ascii="Calibri" w:hAnsi="Calibri" w:cs="Calibri"/>
          <w:lang w:val="ro-RO"/>
        </w:rPr>
        <w:t>ie</w:t>
      </w:r>
      <w:r w:rsidR="00A67D8E" w:rsidRPr="00834B27">
        <w:rPr>
          <w:rFonts w:ascii="Calibri" w:hAnsi="Calibri" w:cs="Calibri"/>
          <w:lang w:val="ro-RO"/>
        </w:rPr>
        <w:t xml:space="preserve">, sportivii </w:t>
      </w:r>
      <w:r w:rsidR="009812B1" w:rsidRPr="00834B27">
        <w:rPr>
          <w:rFonts w:ascii="Calibri" w:hAnsi="Calibri" w:cs="Calibri"/>
          <w:lang w:val="ro-RO"/>
        </w:rPr>
        <w:t>profesioniști</w:t>
      </w:r>
      <w:r w:rsidR="00A67D8E" w:rsidRPr="00834B27">
        <w:rPr>
          <w:rFonts w:ascii="Calibri" w:hAnsi="Calibri" w:cs="Calibri"/>
          <w:lang w:val="ro-RO"/>
        </w:rPr>
        <w:t xml:space="preserve">, pentru care </w:t>
      </w:r>
      <w:r w:rsidR="009812B1" w:rsidRPr="00834B27">
        <w:rPr>
          <w:rFonts w:ascii="Calibri" w:hAnsi="Calibri" w:cs="Calibri"/>
          <w:lang w:val="ro-RO"/>
        </w:rPr>
        <w:t>plătitorul</w:t>
      </w:r>
      <w:r w:rsidR="00A67D8E" w:rsidRPr="00834B27">
        <w:rPr>
          <w:rFonts w:ascii="Calibri" w:hAnsi="Calibri" w:cs="Calibri"/>
          <w:lang w:val="ro-RO"/>
        </w:rPr>
        <w:t xml:space="preserve"> are </w:t>
      </w:r>
      <w:r w:rsidR="009812B1" w:rsidRPr="00834B27">
        <w:rPr>
          <w:rFonts w:ascii="Calibri" w:hAnsi="Calibri" w:cs="Calibri"/>
          <w:lang w:val="ro-RO"/>
        </w:rPr>
        <w:t>obliga</w:t>
      </w:r>
      <w:r w:rsidR="00D77C4B" w:rsidRPr="00834B27">
        <w:rPr>
          <w:rFonts w:ascii="Calibri" w:hAnsi="Calibri" w:cs="Calibri"/>
          <w:lang w:val="ro-RO"/>
        </w:rPr>
        <w:t>ț</w:t>
      </w:r>
      <w:r w:rsidR="009812B1" w:rsidRPr="00834B27">
        <w:rPr>
          <w:rFonts w:ascii="Calibri" w:hAnsi="Calibri" w:cs="Calibri"/>
          <w:lang w:val="ro-RO"/>
        </w:rPr>
        <w:t>ia</w:t>
      </w:r>
      <w:r w:rsidR="00A67D8E" w:rsidRPr="00834B27">
        <w:rPr>
          <w:rFonts w:ascii="Calibri" w:hAnsi="Calibri" w:cs="Calibri"/>
          <w:lang w:val="ro-RO"/>
        </w:rPr>
        <w:t xml:space="preserve"> de </w:t>
      </w:r>
      <w:r w:rsidR="009812B1" w:rsidRPr="00834B27">
        <w:rPr>
          <w:rFonts w:ascii="Calibri" w:hAnsi="Calibri" w:cs="Calibri"/>
          <w:lang w:val="ro-RO"/>
        </w:rPr>
        <w:t>re</w:t>
      </w:r>
      <w:r w:rsidR="00D77C4B" w:rsidRPr="00834B27">
        <w:rPr>
          <w:rFonts w:ascii="Calibri" w:hAnsi="Calibri" w:cs="Calibri"/>
          <w:lang w:val="ro-RO"/>
        </w:rPr>
        <w:t>ț</w:t>
      </w:r>
      <w:r w:rsidR="009812B1" w:rsidRPr="00834B27">
        <w:rPr>
          <w:rFonts w:ascii="Calibri" w:hAnsi="Calibri" w:cs="Calibri"/>
          <w:lang w:val="ro-RO"/>
        </w:rPr>
        <w:t>inere</w:t>
      </w:r>
      <w:r w:rsidR="00A67D8E" w:rsidRPr="00834B27">
        <w:rPr>
          <w:rFonts w:ascii="Calibri" w:hAnsi="Calibri" w:cs="Calibri"/>
          <w:lang w:val="ro-RO"/>
        </w:rPr>
        <w:t xml:space="preserve"> </w:t>
      </w:r>
      <w:r w:rsidR="009812B1" w:rsidRPr="00834B27">
        <w:rPr>
          <w:rFonts w:ascii="Calibri" w:hAnsi="Calibri" w:cs="Calibri"/>
          <w:lang w:val="ro-RO"/>
        </w:rPr>
        <w:t>ș</w:t>
      </w:r>
      <w:r w:rsidR="00A67D8E" w:rsidRPr="00834B27">
        <w:rPr>
          <w:rFonts w:ascii="Calibri" w:hAnsi="Calibri" w:cs="Calibri"/>
          <w:lang w:val="ro-RO"/>
        </w:rPr>
        <w:t xml:space="preserve">i </w:t>
      </w:r>
      <w:r w:rsidR="00BC507A" w:rsidRPr="00834B27">
        <w:rPr>
          <w:rFonts w:ascii="Calibri" w:hAnsi="Calibri" w:cs="Calibri"/>
          <w:lang w:val="ro-RO"/>
        </w:rPr>
        <w:t>plat</w:t>
      </w:r>
      <w:r w:rsidR="009812B1" w:rsidRPr="00834B27">
        <w:rPr>
          <w:rFonts w:ascii="Calibri" w:hAnsi="Calibri" w:cs="Calibri"/>
          <w:lang w:val="ro-RO"/>
        </w:rPr>
        <w:t>ă</w:t>
      </w:r>
      <w:r w:rsidR="00BC507A" w:rsidRPr="00834B27">
        <w:rPr>
          <w:rFonts w:ascii="Calibri" w:hAnsi="Calibri" w:cs="Calibri"/>
          <w:lang w:val="ro-RO"/>
        </w:rPr>
        <w:t xml:space="preserve"> a CAS, similar cu plata CAS la salarii</w:t>
      </w:r>
      <w:r w:rsidR="00874895" w:rsidRPr="00834B27">
        <w:rPr>
          <w:rFonts w:ascii="Calibri" w:hAnsi="Calibri" w:cs="Calibri"/>
          <w:lang w:val="ro-RO"/>
        </w:rPr>
        <w:t>, doar baza de calcul fiind diferit</w:t>
      </w:r>
      <w:r w:rsidR="009812B1" w:rsidRPr="00834B27">
        <w:rPr>
          <w:rFonts w:ascii="Calibri" w:hAnsi="Calibri" w:cs="Calibri"/>
          <w:lang w:val="ro-RO"/>
        </w:rPr>
        <w:t>ă</w:t>
      </w:r>
      <w:r w:rsidR="00874895" w:rsidRPr="00834B27">
        <w:rPr>
          <w:rFonts w:ascii="Calibri" w:hAnsi="Calibri" w:cs="Calibri"/>
          <w:lang w:val="ro-RO"/>
        </w:rPr>
        <w:t xml:space="preserve"> (</w:t>
      </w:r>
      <w:r w:rsidR="009327A6" w:rsidRPr="00834B27">
        <w:rPr>
          <w:rFonts w:ascii="Calibri" w:hAnsi="Calibri" w:cs="Calibri"/>
          <w:lang w:val="ro-RO"/>
        </w:rPr>
        <w:t>0/</w:t>
      </w:r>
      <w:r w:rsidR="00874895" w:rsidRPr="00834B27">
        <w:rPr>
          <w:rFonts w:ascii="Calibri" w:hAnsi="Calibri" w:cs="Calibri"/>
          <w:lang w:val="ro-RO"/>
        </w:rPr>
        <w:t>12/24 salarii minime)</w:t>
      </w:r>
      <w:r w:rsidR="009327A6" w:rsidRPr="00834B27">
        <w:rPr>
          <w:rFonts w:ascii="Calibri" w:hAnsi="Calibri" w:cs="Calibri"/>
          <w:lang w:val="ro-RO"/>
        </w:rPr>
        <w:t>.</w:t>
      </w:r>
    </w:p>
    <w:p w14:paraId="2AE153B4" w14:textId="71817365" w:rsidR="002E0DF0" w:rsidRPr="00834B27" w:rsidRDefault="009812B1" w:rsidP="00B91E74">
      <w:pPr>
        <w:spacing w:line="276" w:lineRule="auto"/>
        <w:jc w:val="both"/>
        <w:rPr>
          <w:rFonts w:ascii="Calibri" w:hAnsi="Calibri" w:cs="Calibri"/>
          <w:lang w:val="ro-RO"/>
        </w:rPr>
      </w:pPr>
      <w:r w:rsidRPr="00834B27">
        <w:rPr>
          <w:rFonts w:ascii="Calibri" w:hAnsi="Calibri" w:cs="Calibri"/>
          <w:lang w:val="ro-RO"/>
        </w:rPr>
        <w:t>Avoca</w:t>
      </w:r>
      <w:r w:rsidR="00D77C4B" w:rsidRPr="00834B27">
        <w:rPr>
          <w:rFonts w:ascii="Calibri" w:hAnsi="Calibri" w:cs="Calibri"/>
          <w:lang w:val="ro-RO"/>
        </w:rPr>
        <w:t>ț</w:t>
      </w:r>
      <w:r w:rsidRPr="00834B27">
        <w:rPr>
          <w:rFonts w:ascii="Calibri" w:hAnsi="Calibri" w:cs="Calibri"/>
          <w:lang w:val="ro-RO"/>
        </w:rPr>
        <w:t>ii</w:t>
      </w:r>
      <w:r w:rsidR="009031D1" w:rsidRPr="00834B27">
        <w:rPr>
          <w:rFonts w:ascii="Calibri" w:hAnsi="Calibri" w:cs="Calibri"/>
          <w:lang w:val="ro-RO"/>
        </w:rPr>
        <w:t xml:space="preserve"> </w:t>
      </w:r>
      <w:r w:rsidRPr="00834B27">
        <w:rPr>
          <w:rFonts w:ascii="Calibri" w:hAnsi="Calibri" w:cs="Calibri"/>
          <w:lang w:val="ro-RO"/>
        </w:rPr>
        <w:t>ș</w:t>
      </w:r>
      <w:r w:rsidR="009031D1" w:rsidRPr="00834B27">
        <w:rPr>
          <w:rFonts w:ascii="Calibri" w:hAnsi="Calibri" w:cs="Calibri"/>
          <w:lang w:val="ro-RO"/>
        </w:rPr>
        <w:t xml:space="preserve">i notarii nu </w:t>
      </w:r>
      <w:r w:rsidRPr="00834B27">
        <w:rPr>
          <w:rFonts w:ascii="Calibri" w:hAnsi="Calibri" w:cs="Calibri"/>
          <w:lang w:val="ro-RO"/>
        </w:rPr>
        <w:t>datorează</w:t>
      </w:r>
      <w:r w:rsidR="009031D1" w:rsidRPr="00834B27">
        <w:rPr>
          <w:rFonts w:ascii="Calibri" w:hAnsi="Calibri" w:cs="Calibri"/>
          <w:lang w:val="ro-RO"/>
        </w:rPr>
        <w:t xml:space="preserve"> CAS</w:t>
      </w:r>
      <w:r w:rsidR="00DC41F2" w:rsidRPr="00834B27">
        <w:rPr>
          <w:rFonts w:ascii="Calibri" w:hAnsi="Calibri" w:cs="Calibri"/>
          <w:lang w:val="ro-RO"/>
        </w:rPr>
        <w:t xml:space="preserve">, </w:t>
      </w:r>
      <w:r w:rsidRPr="00834B27">
        <w:rPr>
          <w:rFonts w:ascii="Calibri" w:hAnsi="Calibri" w:cs="Calibri"/>
          <w:lang w:val="ro-RO"/>
        </w:rPr>
        <w:t>având</w:t>
      </w:r>
      <w:r w:rsidR="00DC41F2" w:rsidRPr="00834B27">
        <w:rPr>
          <w:rFonts w:ascii="Calibri" w:hAnsi="Calibri" w:cs="Calibri"/>
          <w:lang w:val="ro-RO"/>
        </w:rPr>
        <w:t xml:space="preserve"> propriile case de pensie. Trebuie spus</w:t>
      </w:r>
      <w:r w:rsidR="00043E24" w:rsidRPr="00834B27">
        <w:rPr>
          <w:rFonts w:ascii="Calibri" w:hAnsi="Calibri" w:cs="Calibri"/>
          <w:lang w:val="ro-RO"/>
        </w:rPr>
        <w:t xml:space="preserve"> c</w:t>
      </w:r>
      <w:r w:rsidRPr="00834B27">
        <w:rPr>
          <w:rFonts w:ascii="Calibri" w:hAnsi="Calibri" w:cs="Calibri"/>
          <w:lang w:val="ro-RO"/>
        </w:rPr>
        <w:t>ă aceștia</w:t>
      </w:r>
      <w:r w:rsidR="00043E24" w:rsidRPr="00834B27">
        <w:rPr>
          <w:rFonts w:ascii="Calibri" w:hAnsi="Calibri" w:cs="Calibri"/>
          <w:lang w:val="ro-RO"/>
        </w:rPr>
        <w:t xml:space="preserve"> nu </w:t>
      </w:r>
      <w:r w:rsidRPr="00834B27">
        <w:rPr>
          <w:rFonts w:ascii="Calibri" w:hAnsi="Calibri" w:cs="Calibri"/>
          <w:lang w:val="ro-RO"/>
        </w:rPr>
        <w:t>beneficiază</w:t>
      </w:r>
      <w:r w:rsidR="00043E24" w:rsidRPr="00834B27">
        <w:rPr>
          <w:rFonts w:ascii="Calibri" w:hAnsi="Calibri" w:cs="Calibri"/>
          <w:lang w:val="ro-RO"/>
        </w:rPr>
        <w:t xml:space="preserve"> de niciun drept de pensie </w:t>
      </w:r>
      <w:r w:rsidR="00DE0D6A" w:rsidRPr="00834B27">
        <w:rPr>
          <w:rFonts w:ascii="Calibri" w:hAnsi="Calibri" w:cs="Calibri"/>
          <w:lang w:val="ro-RO"/>
        </w:rPr>
        <w:t>de la CNPP</w:t>
      </w:r>
      <w:r w:rsidRPr="00834B27">
        <w:rPr>
          <w:rFonts w:ascii="Calibri" w:hAnsi="Calibri" w:cs="Calibri"/>
          <w:lang w:val="ro-RO"/>
        </w:rPr>
        <w:t>,</w:t>
      </w:r>
      <w:r w:rsidR="00DE0D6A" w:rsidRPr="00834B27">
        <w:rPr>
          <w:rFonts w:ascii="Calibri" w:hAnsi="Calibri" w:cs="Calibri"/>
          <w:lang w:val="ro-RO"/>
        </w:rPr>
        <w:t xml:space="preserve"> iar </w:t>
      </w:r>
      <w:r w:rsidR="005E3FFC" w:rsidRPr="00834B27">
        <w:rPr>
          <w:rFonts w:ascii="Calibri" w:hAnsi="Calibri" w:cs="Calibri"/>
          <w:lang w:val="ro-RO"/>
        </w:rPr>
        <w:t>contribuțiile datorate la propriile sisteme de pensii pot fi, în funcție de opțiunea contribuabilului, comparabile sau chiar mai mari decât CAS-ul plătit de restul contribuabililor, deși nivelul minim obligatoriu este, de regulă, semnificativ mai mic</w:t>
      </w:r>
      <w:r w:rsidR="006E5D11" w:rsidRPr="00834B27">
        <w:rPr>
          <w:rFonts w:ascii="Calibri" w:hAnsi="Calibri" w:cs="Calibri"/>
          <w:lang w:val="ro-RO"/>
        </w:rPr>
        <w:t>.</w:t>
      </w:r>
      <w:r w:rsidR="00DC41F2" w:rsidRPr="00834B27">
        <w:rPr>
          <w:rFonts w:ascii="Calibri" w:hAnsi="Calibri" w:cs="Calibri"/>
          <w:lang w:val="ro-RO"/>
        </w:rPr>
        <w:t xml:space="preserve"> </w:t>
      </w:r>
    </w:p>
    <w:p w14:paraId="05DFE0D0" w14:textId="77777777" w:rsidR="009812B1" w:rsidRPr="00834B27" w:rsidRDefault="009812B1" w:rsidP="00B91E74">
      <w:pPr>
        <w:spacing w:line="276" w:lineRule="auto"/>
        <w:jc w:val="both"/>
        <w:rPr>
          <w:rFonts w:ascii="Calibri" w:hAnsi="Calibri" w:cs="Calibri"/>
          <w:lang w:val="ro-RO"/>
        </w:rPr>
      </w:pPr>
    </w:p>
    <w:p w14:paraId="3D3E42C5" w14:textId="2879EA6E" w:rsidR="00373A83" w:rsidRPr="00834B27" w:rsidRDefault="002E0DF0" w:rsidP="00B91E74">
      <w:pPr>
        <w:keepNext/>
        <w:spacing w:line="276" w:lineRule="auto"/>
        <w:jc w:val="both"/>
        <w:rPr>
          <w:rFonts w:ascii="Calibri" w:hAnsi="Calibri" w:cs="Calibri"/>
          <w:b/>
          <w:bCs/>
          <w:i/>
          <w:iCs/>
          <w:lang w:val="ro-RO"/>
        </w:rPr>
      </w:pPr>
      <w:r w:rsidRPr="00834B27">
        <w:rPr>
          <w:rFonts w:ascii="Calibri" w:hAnsi="Calibri" w:cs="Calibri"/>
          <w:b/>
          <w:bCs/>
          <w:i/>
          <w:iCs/>
          <w:lang w:val="ro-RO"/>
        </w:rPr>
        <w:t>Scurt istoric</w:t>
      </w:r>
    </w:p>
    <w:p w14:paraId="72FEF27F" w14:textId="26B7DB9D" w:rsidR="00105F87" w:rsidRPr="00834B27" w:rsidRDefault="00C11E69" w:rsidP="00B91E74">
      <w:pPr>
        <w:keepNext/>
        <w:spacing w:line="276" w:lineRule="auto"/>
        <w:jc w:val="both"/>
        <w:rPr>
          <w:rFonts w:ascii="Calibri" w:hAnsi="Calibri" w:cs="Calibri"/>
          <w:i/>
          <w:iCs/>
          <w:lang w:val="ro-RO"/>
        </w:rPr>
      </w:pPr>
      <w:r w:rsidRPr="00834B27">
        <w:rPr>
          <w:rFonts w:ascii="Calibri" w:hAnsi="Calibri" w:cs="Calibri"/>
          <w:i/>
          <w:iCs/>
          <w:lang w:val="ro-RO"/>
        </w:rPr>
        <w:t>P</w:t>
      </w:r>
      <w:r w:rsidR="009812B1" w:rsidRPr="00834B27">
        <w:rPr>
          <w:rFonts w:ascii="Calibri" w:hAnsi="Calibri" w:cs="Calibri"/>
          <w:i/>
          <w:iCs/>
          <w:lang w:val="ro-RO"/>
        </w:rPr>
        <w:t>â</w:t>
      </w:r>
      <w:r w:rsidRPr="00834B27">
        <w:rPr>
          <w:rFonts w:ascii="Calibri" w:hAnsi="Calibri" w:cs="Calibri"/>
          <w:i/>
          <w:iCs/>
          <w:lang w:val="ro-RO"/>
        </w:rPr>
        <w:t>n</w:t>
      </w:r>
      <w:r w:rsidR="009812B1" w:rsidRPr="00834B27">
        <w:rPr>
          <w:rFonts w:ascii="Calibri" w:hAnsi="Calibri" w:cs="Calibri"/>
          <w:i/>
          <w:iCs/>
          <w:lang w:val="ro-RO"/>
        </w:rPr>
        <w:t>ă</w:t>
      </w:r>
      <w:r w:rsidRPr="00834B27">
        <w:rPr>
          <w:rFonts w:ascii="Calibri" w:hAnsi="Calibri" w:cs="Calibri"/>
          <w:i/>
          <w:iCs/>
          <w:lang w:val="ro-RO"/>
        </w:rPr>
        <w:t xml:space="preserve"> </w:t>
      </w:r>
      <w:r w:rsidR="009812B1" w:rsidRPr="00834B27">
        <w:rPr>
          <w:rFonts w:ascii="Calibri" w:hAnsi="Calibri" w:cs="Calibri"/>
          <w:i/>
          <w:iCs/>
          <w:lang w:val="ro-RO"/>
        </w:rPr>
        <w:t>î</w:t>
      </w:r>
      <w:r w:rsidR="00043E24" w:rsidRPr="00834B27">
        <w:rPr>
          <w:rFonts w:ascii="Calibri" w:hAnsi="Calibri" w:cs="Calibri"/>
          <w:i/>
          <w:iCs/>
          <w:lang w:val="ro-RO"/>
        </w:rPr>
        <w:t xml:space="preserve">n </w:t>
      </w:r>
      <w:r w:rsidR="006E5D11" w:rsidRPr="00834B27">
        <w:rPr>
          <w:rFonts w:ascii="Calibri" w:hAnsi="Calibri" w:cs="Calibri"/>
          <w:i/>
          <w:iCs/>
          <w:lang w:val="ro-RO"/>
        </w:rPr>
        <w:t xml:space="preserve">2017 inclusiv, </w:t>
      </w:r>
      <w:r w:rsidR="00CA33DE" w:rsidRPr="00834B27">
        <w:rPr>
          <w:rFonts w:ascii="Calibri" w:hAnsi="Calibri" w:cs="Calibri"/>
          <w:i/>
          <w:iCs/>
          <w:lang w:val="ro-RO"/>
        </w:rPr>
        <w:t xml:space="preserve">contribuabilii datorau doar </w:t>
      </w:r>
      <w:r w:rsidR="009812B1" w:rsidRPr="00834B27">
        <w:rPr>
          <w:rFonts w:ascii="Calibri" w:hAnsi="Calibri" w:cs="Calibri"/>
          <w:i/>
          <w:iCs/>
          <w:lang w:val="ro-RO"/>
        </w:rPr>
        <w:t>contribu</w:t>
      </w:r>
      <w:r w:rsidR="00D77C4B" w:rsidRPr="00834B27">
        <w:rPr>
          <w:rFonts w:ascii="Calibri" w:hAnsi="Calibri" w:cs="Calibri"/>
          <w:i/>
          <w:iCs/>
          <w:lang w:val="ro-RO"/>
        </w:rPr>
        <w:t>ț</w:t>
      </w:r>
      <w:r w:rsidR="009812B1" w:rsidRPr="00834B27">
        <w:rPr>
          <w:rFonts w:ascii="Calibri" w:hAnsi="Calibri" w:cs="Calibri"/>
          <w:i/>
          <w:iCs/>
          <w:lang w:val="ro-RO"/>
        </w:rPr>
        <w:t>ia</w:t>
      </w:r>
      <w:r w:rsidR="00CA33DE" w:rsidRPr="00834B27">
        <w:rPr>
          <w:rFonts w:ascii="Calibri" w:hAnsi="Calibri" w:cs="Calibri"/>
          <w:i/>
          <w:iCs/>
          <w:lang w:val="ro-RO"/>
        </w:rPr>
        <w:t xml:space="preserve"> individual</w:t>
      </w:r>
      <w:r w:rsidR="009812B1" w:rsidRPr="00834B27">
        <w:rPr>
          <w:rFonts w:ascii="Calibri" w:hAnsi="Calibri" w:cs="Calibri"/>
          <w:i/>
          <w:iCs/>
          <w:lang w:val="ro-RO"/>
        </w:rPr>
        <w:t>ă</w:t>
      </w:r>
      <w:r w:rsidR="00CA33DE" w:rsidRPr="00834B27">
        <w:rPr>
          <w:rFonts w:ascii="Calibri" w:hAnsi="Calibri" w:cs="Calibri"/>
          <w:i/>
          <w:iCs/>
          <w:lang w:val="ro-RO"/>
        </w:rPr>
        <w:t xml:space="preserve"> </w:t>
      </w:r>
      <w:r w:rsidR="00285F1A" w:rsidRPr="00834B27">
        <w:rPr>
          <w:rFonts w:ascii="Calibri" w:hAnsi="Calibri" w:cs="Calibri"/>
          <w:i/>
          <w:iCs/>
          <w:lang w:val="ro-RO"/>
        </w:rPr>
        <w:t>de</w:t>
      </w:r>
      <w:r w:rsidR="00CA33DE" w:rsidRPr="00834B27">
        <w:rPr>
          <w:rFonts w:ascii="Calibri" w:hAnsi="Calibri" w:cs="Calibri"/>
          <w:i/>
          <w:iCs/>
          <w:lang w:val="ro-RO"/>
        </w:rPr>
        <w:t xml:space="preserve"> 10,5% calculat</w:t>
      </w:r>
      <w:r w:rsidR="009812B1" w:rsidRPr="00834B27">
        <w:rPr>
          <w:rFonts w:ascii="Calibri" w:hAnsi="Calibri" w:cs="Calibri"/>
          <w:i/>
          <w:iCs/>
          <w:lang w:val="ro-RO"/>
        </w:rPr>
        <w:t>ă</w:t>
      </w:r>
      <w:r w:rsidR="00CA33DE" w:rsidRPr="00834B27">
        <w:rPr>
          <w:rFonts w:ascii="Calibri" w:hAnsi="Calibri" w:cs="Calibri"/>
          <w:i/>
          <w:iCs/>
          <w:lang w:val="ro-RO"/>
        </w:rPr>
        <w:t xml:space="preserve"> la venitul asigurat</w:t>
      </w:r>
      <w:r w:rsidR="00D07612" w:rsidRPr="00834B27">
        <w:rPr>
          <w:rFonts w:ascii="Calibri" w:hAnsi="Calibri" w:cs="Calibri"/>
          <w:i/>
          <w:iCs/>
          <w:lang w:val="ro-RO"/>
        </w:rPr>
        <w:t xml:space="preserve">, nu mai </w:t>
      </w:r>
      <w:r w:rsidR="009812B1" w:rsidRPr="00834B27">
        <w:rPr>
          <w:rFonts w:ascii="Calibri" w:hAnsi="Calibri" w:cs="Calibri"/>
          <w:i/>
          <w:iCs/>
          <w:lang w:val="ro-RO"/>
        </w:rPr>
        <w:t>pu</w:t>
      </w:r>
      <w:r w:rsidR="00D77C4B" w:rsidRPr="00834B27">
        <w:rPr>
          <w:rFonts w:ascii="Calibri" w:hAnsi="Calibri" w:cs="Calibri"/>
          <w:i/>
          <w:iCs/>
          <w:lang w:val="ro-RO"/>
        </w:rPr>
        <w:t>ț</w:t>
      </w:r>
      <w:r w:rsidR="009812B1" w:rsidRPr="00834B27">
        <w:rPr>
          <w:rFonts w:ascii="Calibri" w:hAnsi="Calibri" w:cs="Calibri"/>
          <w:i/>
          <w:iCs/>
          <w:lang w:val="ro-RO"/>
        </w:rPr>
        <w:t>in</w:t>
      </w:r>
      <w:r w:rsidR="00D07612" w:rsidRPr="00834B27">
        <w:rPr>
          <w:rFonts w:ascii="Calibri" w:hAnsi="Calibri" w:cs="Calibri"/>
          <w:i/>
          <w:iCs/>
          <w:lang w:val="ro-RO"/>
        </w:rPr>
        <w:t xml:space="preserve"> de 35% din salariul mediu </w:t>
      </w:r>
      <w:r w:rsidR="009812B1" w:rsidRPr="00834B27">
        <w:rPr>
          <w:rFonts w:ascii="Calibri" w:hAnsi="Calibri" w:cs="Calibri"/>
          <w:i/>
          <w:iCs/>
          <w:lang w:val="ro-RO"/>
        </w:rPr>
        <w:t>ș</w:t>
      </w:r>
      <w:r w:rsidR="00D07612" w:rsidRPr="00834B27">
        <w:rPr>
          <w:rFonts w:ascii="Calibri" w:hAnsi="Calibri" w:cs="Calibri"/>
          <w:i/>
          <w:iCs/>
          <w:lang w:val="ro-RO"/>
        </w:rPr>
        <w:t xml:space="preserve">i nu mai mult de </w:t>
      </w:r>
      <w:r w:rsidR="00EA712F" w:rsidRPr="00834B27">
        <w:rPr>
          <w:rFonts w:ascii="Calibri" w:hAnsi="Calibri" w:cs="Calibri"/>
          <w:i/>
          <w:iCs/>
          <w:lang w:val="ro-RO"/>
        </w:rPr>
        <w:t xml:space="preserve">5 ori salariul mediu. </w:t>
      </w:r>
      <w:r w:rsidR="008140BB" w:rsidRPr="00834B27">
        <w:rPr>
          <w:rFonts w:ascii="Calibri" w:hAnsi="Calibri" w:cs="Calibri"/>
          <w:i/>
          <w:iCs/>
          <w:lang w:val="ro-RO"/>
        </w:rPr>
        <w:lastRenderedPageBreak/>
        <w:t xml:space="preserve">Deloc </w:t>
      </w:r>
      <w:r w:rsidR="009812B1" w:rsidRPr="00834B27">
        <w:rPr>
          <w:rFonts w:ascii="Calibri" w:hAnsi="Calibri" w:cs="Calibri"/>
          <w:i/>
          <w:iCs/>
          <w:lang w:val="ro-RO"/>
        </w:rPr>
        <w:t>surprinzător</w:t>
      </w:r>
      <w:r w:rsidR="008140BB" w:rsidRPr="00834B27">
        <w:rPr>
          <w:rFonts w:ascii="Calibri" w:hAnsi="Calibri" w:cs="Calibri"/>
          <w:i/>
          <w:iCs/>
          <w:lang w:val="ro-RO"/>
        </w:rPr>
        <w:t xml:space="preserve">, peste 95% din contractele de </w:t>
      </w:r>
      <w:r w:rsidR="009812B1" w:rsidRPr="00834B27">
        <w:rPr>
          <w:rFonts w:ascii="Calibri" w:hAnsi="Calibri" w:cs="Calibri"/>
          <w:i/>
          <w:iCs/>
          <w:lang w:val="ro-RO"/>
        </w:rPr>
        <w:t>asigurări</w:t>
      </w:r>
      <w:r w:rsidR="008140BB" w:rsidRPr="00834B27">
        <w:rPr>
          <w:rFonts w:ascii="Calibri" w:hAnsi="Calibri" w:cs="Calibri"/>
          <w:i/>
          <w:iCs/>
          <w:lang w:val="ro-RO"/>
        </w:rPr>
        <w:t xml:space="preserve"> </w:t>
      </w:r>
      <w:r w:rsidR="009812B1" w:rsidRPr="00834B27">
        <w:rPr>
          <w:rFonts w:ascii="Calibri" w:hAnsi="Calibri" w:cs="Calibri"/>
          <w:i/>
          <w:iCs/>
          <w:lang w:val="ro-RO"/>
        </w:rPr>
        <w:t>încheiate</w:t>
      </w:r>
      <w:r w:rsidR="008140BB" w:rsidRPr="00834B27">
        <w:rPr>
          <w:rFonts w:ascii="Calibri" w:hAnsi="Calibri" w:cs="Calibri"/>
          <w:i/>
          <w:iCs/>
          <w:lang w:val="ro-RO"/>
        </w:rPr>
        <w:t xml:space="preserve"> cu CNPP </w:t>
      </w:r>
      <w:r w:rsidR="00D62A9A" w:rsidRPr="00834B27">
        <w:rPr>
          <w:rFonts w:ascii="Calibri" w:hAnsi="Calibri" w:cs="Calibri"/>
          <w:i/>
          <w:iCs/>
          <w:lang w:val="ro-RO"/>
        </w:rPr>
        <w:t>au fost mereu la nivelul minim.</w:t>
      </w:r>
      <w:r w:rsidR="00AF2D76" w:rsidRPr="00834B27">
        <w:rPr>
          <w:rStyle w:val="Referinnotdesubsol"/>
          <w:rFonts w:ascii="Calibri" w:hAnsi="Calibri" w:cs="Calibri"/>
          <w:i/>
          <w:iCs/>
          <w:lang w:val="ro-RO"/>
        </w:rPr>
        <w:footnoteReference w:id="9"/>
      </w:r>
    </w:p>
    <w:p w14:paraId="04DEAB7E" w14:textId="65B48C2F" w:rsidR="00D62A9A" w:rsidRPr="00834B27" w:rsidRDefault="00D62A9A" w:rsidP="00B91E74">
      <w:pPr>
        <w:spacing w:line="276" w:lineRule="auto"/>
        <w:jc w:val="both"/>
        <w:rPr>
          <w:rFonts w:ascii="Calibri" w:hAnsi="Calibri" w:cs="Calibri"/>
          <w:i/>
          <w:iCs/>
          <w:lang w:val="ro-RO"/>
        </w:rPr>
      </w:pPr>
      <w:r w:rsidRPr="00834B27">
        <w:rPr>
          <w:rFonts w:ascii="Calibri" w:hAnsi="Calibri" w:cs="Calibri"/>
          <w:i/>
          <w:iCs/>
          <w:lang w:val="ro-RO"/>
        </w:rPr>
        <w:t xml:space="preserve">Din 2018, </w:t>
      </w:r>
      <w:r w:rsidR="009812B1" w:rsidRPr="00834B27">
        <w:rPr>
          <w:rFonts w:ascii="Calibri" w:hAnsi="Calibri" w:cs="Calibri"/>
          <w:i/>
          <w:iCs/>
          <w:lang w:val="ro-RO"/>
        </w:rPr>
        <w:t>odată</w:t>
      </w:r>
      <w:r w:rsidRPr="00834B27">
        <w:rPr>
          <w:rFonts w:ascii="Calibri" w:hAnsi="Calibri" w:cs="Calibri"/>
          <w:i/>
          <w:iCs/>
          <w:lang w:val="ro-RO"/>
        </w:rPr>
        <w:t xml:space="preserve"> </w:t>
      </w:r>
      <w:r w:rsidR="001665C9" w:rsidRPr="00834B27">
        <w:rPr>
          <w:rFonts w:ascii="Calibri" w:hAnsi="Calibri" w:cs="Calibri"/>
          <w:i/>
          <w:iCs/>
          <w:lang w:val="ro-RO"/>
        </w:rPr>
        <w:t xml:space="preserve">cu mutarea CAS </w:t>
      </w:r>
      <w:r w:rsidR="009812B1" w:rsidRPr="00834B27">
        <w:rPr>
          <w:rFonts w:ascii="Calibri" w:hAnsi="Calibri" w:cs="Calibri"/>
          <w:i/>
          <w:iCs/>
          <w:lang w:val="ro-RO"/>
        </w:rPr>
        <w:t>ș</w:t>
      </w:r>
      <w:r w:rsidR="001665C9" w:rsidRPr="00834B27">
        <w:rPr>
          <w:rFonts w:ascii="Calibri" w:hAnsi="Calibri" w:cs="Calibri"/>
          <w:i/>
          <w:iCs/>
          <w:lang w:val="ro-RO"/>
        </w:rPr>
        <w:t>i CASS de la angajator la angajat, cota individual</w:t>
      </w:r>
      <w:r w:rsidR="009812B1" w:rsidRPr="00834B27">
        <w:rPr>
          <w:rFonts w:ascii="Calibri" w:hAnsi="Calibri" w:cs="Calibri"/>
          <w:i/>
          <w:iCs/>
          <w:lang w:val="ro-RO"/>
        </w:rPr>
        <w:t>ă</w:t>
      </w:r>
      <w:r w:rsidR="001665C9" w:rsidRPr="00834B27">
        <w:rPr>
          <w:rFonts w:ascii="Calibri" w:hAnsi="Calibri" w:cs="Calibri"/>
          <w:i/>
          <w:iCs/>
          <w:lang w:val="ro-RO"/>
        </w:rPr>
        <w:t xml:space="preserve"> a fost majorat</w:t>
      </w:r>
      <w:r w:rsidR="009812B1" w:rsidRPr="00834B27">
        <w:rPr>
          <w:rFonts w:ascii="Calibri" w:hAnsi="Calibri" w:cs="Calibri"/>
          <w:i/>
          <w:iCs/>
          <w:lang w:val="ro-RO"/>
        </w:rPr>
        <w:t>ă</w:t>
      </w:r>
      <w:r w:rsidR="001665C9" w:rsidRPr="00834B27">
        <w:rPr>
          <w:rFonts w:ascii="Calibri" w:hAnsi="Calibri" w:cs="Calibri"/>
          <w:i/>
          <w:iCs/>
          <w:lang w:val="ro-RO"/>
        </w:rPr>
        <w:t xml:space="preserve">, </w:t>
      </w:r>
      <w:r w:rsidR="009812B1" w:rsidRPr="00834B27">
        <w:rPr>
          <w:rFonts w:ascii="Calibri" w:hAnsi="Calibri" w:cs="Calibri"/>
          <w:i/>
          <w:iCs/>
          <w:lang w:val="ro-RO"/>
        </w:rPr>
        <w:t>rezultând</w:t>
      </w:r>
      <w:r w:rsidR="00493B65" w:rsidRPr="00834B27">
        <w:rPr>
          <w:rFonts w:ascii="Calibri" w:hAnsi="Calibri" w:cs="Calibri"/>
          <w:i/>
          <w:iCs/>
          <w:lang w:val="ro-RO"/>
        </w:rPr>
        <w:t xml:space="preserve"> o </w:t>
      </w:r>
      <w:r w:rsidR="009812B1" w:rsidRPr="00834B27">
        <w:rPr>
          <w:rFonts w:ascii="Calibri" w:hAnsi="Calibri" w:cs="Calibri"/>
          <w:i/>
          <w:iCs/>
          <w:lang w:val="ro-RO"/>
        </w:rPr>
        <w:t>creștere</w:t>
      </w:r>
      <w:r w:rsidR="00493B65" w:rsidRPr="00834B27">
        <w:rPr>
          <w:rFonts w:ascii="Calibri" w:hAnsi="Calibri" w:cs="Calibri"/>
          <w:i/>
          <w:iCs/>
          <w:lang w:val="ro-RO"/>
        </w:rPr>
        <w:t xml:space="preserve"> a </w:t>
      </w:r>
      <w:r w:rsidR="009812B1" w:rsidRPr="00834B27">
        <w:rPr>
          <w:rFonts w:ascii="Calibri" w:hAnsi="Calibri" w:cs="Calibri"/>
          <w:i/>
          <w:iCs/>
          <w:lang w:val="ro-RO"/>
        </w:rPr>
        <w:t>obliga</w:t>
      </w:r>
      <w:r w:rsidR="00D77C4B" w:rsidRPr="00834B27">
        <w:rPr>
          <w:rFonts w:ascii="Calibri" w:hAnsi="Calibri" w:cs="Calibri"/>
          <w:i/>
          <w:iCs/>
          <w:lang w:val="ro-RO"/>
        </w:rPr>
        <w:t>ț</w:t>
      </w:r>
      <w:r w:rsidR="009812B1" w:rsidRPr="00834B27">
        <w:rPr>
          <w:rFonts w:ascii="Calibri" w:hAnsi="Calibri" w:cs="Calibri"/>
          <w:i/>
          <w:iCs/>
          <w:lang w:val="ro-RO"/>
        </w:rPr>
        <w:t>iilor</w:t>
      </w:r>
      <w:r w:rsidR="00493B65" w:rsidRPr="00834B27">
        <w:rPr>
          <w:rFonts w:ascii="Calibri" w:hAnsi="Calibri" w:cs="Calibri"/>
          <w:i/>
          <w:iCs/>
          <w:lang w:val="ro-RO"/>
        </w:rPr>
        <w:t xml:space="preserve"> de plat</w:t>
      </w:r>
      <w:r w:rsidR="009812B1" w:rsidRPr="00834B27">
        <w:rPr>
          <w:rFonts w:ascii="Calibri" w:hAnsi="Calibri" w:cs="Calibri"/>
          <w:i/>
          <w:iCs/>
          <w:lang w:val="ro-RO"/>
        </w:rPr>
        <w:t>ă</w:t>
      </w:r>
      <w:r w:rsidR="00493B65" w:rsidRPr="00834B27">
        <w:rPr>
          <w:rFonts w:ascii="Calibri" w:hAnsi="Calibri" w:cs="Calibri"/>
          <w:i/>
          <w:iCs/>
          <w:lang w:val="ro-RO"/>
        </w:rPr>
        <w:t xml:space="preserve"> a CAS. </w:t>
      </w:r>
      <w:r w:rsidR="009812B1" w:rsidRPr="00834B27">
        <w:rPr>
          <w:rFonts w:ascii="Calibri" w:hAnsi="Calibri" w:cs="Calibri"/>
          <w:i/>
          <w:iCs/>
          <w:lang w:val="ro-RO"/>
        </w:rPr>
        <w:t>Î</w:t>
      </w:r>
      <w:r w:rsidR="00493B65" w:rsidRPr="00834B27">
        <w:rPr>
          <w:rFonts w:ascii="Calibri" w:hAnsi="Calibri" w:cs="Calibri"/>
          <w:i/>
          <w:iCs/>
          <w:lang w:val="ro-RO"/>
        </w:rPr>
        <w:t xml:space="preserve">n </w:t>
      </w:r>
      <w:r w:rsidR="001F6588" w:rsidRPr="00834B27">
        <w:rPr>
          <w:rFonts w:ascii="Calibri" w:hAnsi="Calibri" w:cs="Calibri"/>
          <w:i/>
          <w:iCs/>
          <w:lang w:val="ro-RO"/>
        </w:rPr>
        <w:t>cea mai mare parte  a cazurilor</w:t>
      </w:r>
      <w:r w:rsidR="001E3D8A" w:rsidRPr="00834B27">
        <w:rPr>
          <w:rFonts w:ascii="Calibri" w:hAnsi="Calibri" w:cs="Calibri"/>
          <w:i/>
          <w:iCs/>
          <w:lang w:val="ro-RO"/>
        </w:rPr>
        <w:t>, aceast</w:t>
      </w:r>
      <w:r w:rsidR="009812B1" w:rsidRPr="00834B27">
        <w:rPr>
          <w:rFonts w:ascii="Calibri" w:hAnsi="Calibri" w:cs="Calibri"/>
          <w:i/>
          <w:iCs/>
          <w:lang w:val="ro-RO"/>
        </w:rPr>
        <w:t>ă</w:t>
      </w:r>
      <w:r w:rsidR="001E3D8A" w:rsidRPr="00834B27">
        <w:rPr>
          <w:rFonts w:ascii="Calibri" w:hAnsi="Calibri" w:cs="Calibri"/>
          <w:i/>
          <w:iCs/>
          <w:lang w:val="ro-RO"/>
        </w:rPr>
        <w:t xml:space="preserve"> </w:t>
      </w:r>
      <w:r w:rsidR="009812B1" w:rsidRPr="00834B27">
        <w:rPr>
          <w:rFonts w:ascii="Calibri" w:hAnsi="Calibri" w:cs="Calibri"/>
          <w:i/>
          <w:iCs/>
          <w:lang w:val="ro-RO"/>
        </w:rPr>
        <w:t>creștere</w:t>
      </w:r>
      <w:r w:rsidR="001E3D8A" w:rsidRPr="00834B27">
        <w:rPr>
          <w:rFonts w:ascii="Calibri" w:hAnsi="Calibri" w:cs="Calibri"/>
          <w:i/>
          <w:iCs/>
          <w:lang w:val="ro-RO"/>
        </w:rPr>
        <w:t xml:space="preserve"> nu a dus </w:t>
      </w:r>
      <w:r w:rsidR="009812B1" w:rsidRPr="00834B27">
        <w:rPr>
          <w:rFonts w:ascii="Calibri" w:hAnsi="Calibri" w:cs="Calibri"/>
          <w:i/>
          <w:iCs/>
          <w:lang w:val="ro-RO"/>
        </w:rPr>
        <w:t>ș</w:t>
      </w:r>
      <w:r w:rsidR="001E3D8A" w:rsidRPr="00834B27">
        <w:rPr>
          <w:rFonts w:ascii="Calibri" w:hAnsi="Calibri" w:cs="Calibri"/>
          <w:i/>
          <w:iCs/>
          <w:lang w:val="ro-RO"/>
        </w:rPr>
        <w:t xml:space="preserve">i la </w:t>
      </w:r>
      <w:r w:rsidR="009812B1" w:rsidRPr="00834B27">
        <w:rPr>
          <w:rFonts w:ascii="Calibri" w:hAnsi="Calibri" w:cs="Calibri"/>
          <w:i/>
          <w:iCs/>
          <w:lang w:val="ro-RO"/>
        </w:rPr>
        <w:t>creșterea</w:t>
      </w:r>
      <w:r w:rsidR="001E3D8A" w:rsidRPr="00834B27">
        <w:rPr>
          <w:rFonts w:ascii="Calibri" w:hAnsi="Calibri" w:cs="Calibri"/>
          <w:i/>
          <w:iCs/>
          <w:lang w:val="ro-RO"/>
        </w:rPr>
        <w:t xml:space="preserve"> SFT</w:t>
      </w:r>
      <w:r w:rsidR="000C0371" w:rsidRPr="00834B27">
        <w:rPr>
          <w:rFonts w:ascii="Calibri" w:hAnsi="Calibri" w:cs="Calibri"/>
          <w:i/>
          <w:iCs/>
          <w:lang w:val="ro-RO"/>
        </w:rPr>
        <w:t xml:space="preserve">, baza de calcul al CAS fiind plafonată la 24 de </w:t>
      </w:r>
      <w:r w:rsidR="00314C7D" w:rsidRPr="00834B27">
        <w:rPr>
          <w:rFonts w:ascii="Calibri" w:hAnsi="Calibri" w:cs="Calibri"/>
          <w:i/>
          <w:iCs/>
          <w:lang w:val="ro-RO"/>
        </w:rPr>
        <w:t>SM</w:t>
      </w:r>
      <w:r w:rsidR="000C0371" w:rsidRPr="00834B27">
        <w:rPr>
          <w:rFonts w:ascii="Calibri" w:hAnsi="Calibri" w:cs="Calibri"/>
          <w:i/>
          <w:iCs/>
          <w:lang w:val="ro-RO"/>
        </w:rPr>
        <w:t>/an.</w:t>
      </w:r>
    </w:p>
    <w:p w14:paraId="0209883C" w14:textId="77777777" w:rsidR="006C5C00" w:rsidRPr="00834B27" w:rsidRDefault="006C5C00" w:rsidP="00B91E74">
      <w:pPr>
        <w:spacing w:line="276" w:lineRule="auto"/>
        <w:jc w:val="both"/>
        <w:rPr>
          <w:rFonts w:ascii="Calibri" w:hAnsi="Calibri" w:cs="Calibri"/>
          <w:i/>
          <w:iCs/>
          <w:lang w:val="ro-RO"/>
        </w:rPr>
      </w:pPr>
    </w:p>
    <w:p w14:paraId="42C99F22" w14:textId="2A254A43" w:rsidR="006C5C00" w:rsidRPr="00834B27" w:rsidRDefault="001A4E56" w:rsidP="00B91E74">
      <w:pPr>
        <w:pStyle w:val="Listparagraf"/>
        <w:numPr>
          <w:ilvl w:val="2"/>
          <w:numId w:val="24"/>
        </w:numPr>
        <w:spacing w:line="276" w:lineRule="auto"/>
        <w:contextualSpacing w:val="0"/>
        <w:jc w:val="both"/>
        <w:rPr>
          <w:rFonts w:ascii="Calibri" w:hAnsi="Calibri" w:cs="Calibri"/>
          <w:b/>
          <w:bCs/>
          <w:lang w:val="ro-RO"/>
        </w:rPr>
      </w:pPr>
      <w:r w:rsidRPr="00834B27">
        <w:rPr>
          <w:rFonts w:ascii="Calibri" w:hAnsi="Calibri" w:cs="Calibri"/>
          <w:b/>
          <w:bCs/>
          <w:lang w:val="ro-RO"/>
        </w:rPr>
        <w:t>CASS</w:t>
      </w:r>
    </w:p>
    <w:p w14:paraId="50295840" w14:textId="70CB5FA5" w:rsidR="00272F73" w:rsidRPr="00834B27" w:rsidRDefault="00272F73" w:rsidP="00B91E74">
      <w:pPr>
        <w:spacing w:line="276" w:lineRule="auto"/>
        <w:jc w:val="both"/>
        <w:rPr>
          <w:rFonts w:ascii="Calibri" w:hAnsi="Calibri" w:cs="Calibri"/>
          <w:lang w:val="ro-RO"/>
        </w:rPr>
      </w:pPr>
      <w:r w:rsidRPr="00834B27">
        <w:rPr>
          <w:rFonts w:ascii="Calibri" w:hAnsi="Calibri" w:cs="Calibri"/>
          <w:b/>
          <w:bCs/>
          <w:u w:val="single"/>
          <w:lang w:val="ro-RO"/>
        </w:rPr>
        <w:t>Cota de CASS:</w:t>
      </w:r>
      <w:r w:rsidRPr="00834B27">
        <w:rPr>
          <w:rFonts w:ascii="Calibri" w:hAnsi="Calibri" w:cs="Calibri"/>
          <w:lang w:val="ro-RO"/>
        </w:rPr>
        <w:t xml:space="preserve"> 10%</w:t>
      </w:r>
      <w:r w:rsidR="00F755EF" w:rsidRPr="00834B27">
        <w:rPr>
          <w:rFonts w:ascii="Calibri" w:hAnsi="Calibri" w:cs="Calibri"/>
          <w:lang w:val="ro-RO"/>
        </w:rPr>
        <w:t>;</w:t>
      </w:r>
    </w:p>
    <w:p w14:paraId="255EFB32" w14:textId="76025014" w:rsidR="00F755EF" w:rsidRPr="00834B27" w:rsidRDefault="00F755EF" w:rsidP="00B91E74">
      <w:pPr>
        <w:spacing w:line="276" w:lineRule="auto"/>
        <w:jc w:val="both"/>
        <w:rPr>
          <w:rFonts w:ascii="Calibri" w:hAnsi="Calibri" w:cs="Calibri"/>
          <w:lang w:val="ro-RO"/>
        </w:rPr>
      </w:pPr>
      <w:r w:rsidRPr="00834B27">
        <w:rPr>
          <w:rFonts w:ascii="Calibri" w:hAnsi="Calibri" w:cs="Calibri"/>
          <w:b/>
          <w:bCs/>
          <w:u w:val="single"/>
          <w:lang w:val="ro-RO"/>
        </w:rPr>
        <w:t>Baza de calcul:</w:t>
      </w:r>
      <w:r w:rsidRPr="00834B27">
        <w:rPr>
          <w:rFonts w:ascii="Calibri" w:hAnsi="Calibri" w:cs="Calibri"/>
          <w:lang w:val="ro-RO"/>
        </w:rPr>
        <w:t xml:space="preserve"> </w:t>
      </w:r>
      <w:r w:rsidR="00742D14" w:rsidRPr="00834B27">
        <w:rPr>
          <w:rFonts w:ascii="Calibri" w:hAnsi="Calibri" w:cs="Calibri"/>
          <w:lang w:val="ro-RO"/>
        </w:rPr>
        <w:t>venitul impozabil, dar nu mai mult de 60</w:t>
      </w:r>
      <w:r w:rsidR="00285F1A" w:rsidRPr="00834B27">
        <w:rPr>
          <w:rFonts w:ascii="Calibri" w:hAnsi="Calibri" w:cs="Calibri"/>
          <w:lang w:val="ro-RO"/>
        </w:rPr>
        <w:t xml:space="preserve"> </w:t>
      </w:r>
      <w:r w:rsidR="00742D14" w:rsidRPr="00834B27">
        <w:rPr>
          <w:rFonts w:ascii="Calibri" w:hAnsi="Calibri" w:cs="Calibri"/>
          <w:lang w:val="ro-RO"/>
        </w:rPr>
        <w:t>SM/an (72 SM/an din 2026)</w:t>
      </w:r>
      <w:r w:rsidR="00124269" w:rsidRPr="00834B27">
        <w:rPr>
          <w:rFonts w:ascii="Calibri" w:hAnsi="Calibri" w:cs="Calibri"/>
          <w:lang w:val="ro-RO"/>
        </w:rPr>
        <w:t>;</w:t>
      </w:r>
    </w:p>
    <w:p w14:paraId="18904775" w14:textId="4712E84E" w:rsidR="00124269" w:rsidRPr="00834B27" w:rsidRDefault="00124269" w:rsidP="00B91E74">
      <w:pPr>
        <w:spacing w:line="276" w:lineRule="auto"/>
        <w:jc w:val="both"/>
        <w:rPr>
          <w:rFonts w:ascii="Calibri" w:hAnsi="Calibri" w:cs="Calibri"/>
          <w:lang w:val="ro-RO"/>
        </w:rPr>
      </w:pPr>
      <w:r w:rsidRPr="00834B27">
        <w:rPr>
          <w:rFonts w:ascii="Calibri" w:hAnsi="Calibri" w:cs="Calibri"/>
          <w:b/>
          <w:bCs/>
          <w:u w:val="single"/>
          <w:lang w:val="ro-RO"/>
        </w:rPr>
        <w:t>Plata:</w:t>
      </w:r>
      <w:r w:rsidRPr="00834B27">
        <w:rPr>
          <w:rFonts w:ascii="Calibri" w:hAnsi="Calibri" w:cs="Calibri"/>
          <w:lang w:val="ro-RO"/>
        </w:rPr>
        <w:t xml:space="preserve"> CASS se </w:t>
      </w:r>
      <w:r w:rsidR="00B91E74" w:rsidRPr="00834B27">
        <w:rPr>
          <w:rFonts w:ascii="Calibri" w:hAnsi="Calibri" w:cs="Calibri"/>
          <w:lang w:val="ro-RO"/>
        </w:rPr>
        <w:t>plătește</w:t>
      </w:r>
      <w:r w:rsidRPr="00834B27">
        <w:rPr>
          <w:rFonts w:ascii="Calibri" w:hAnsi="Calibri" w:cs="Calibri"/>
          <w:lang w:val="ro-RO"/>
        </w:rPr>
        <w:t xml:space="preserve"> anual de </w:t>
      </w:r>
      <w:r w:rsidR="00B91E74" w:rsidRPr="00834B27">
        <w:rPr>
          <w:rFonts w:ascii="Calibri" w:hAnsi="Calibri" w:cs="Calibri"/>
          <w:lang w:val="ro-RO"/>
        </w:rPr>
        <w:t>către</w:t>
      </w:r>
      <w:r w:rsidRPr="00834B27">
        <w:rPr>
          <w:rFonts w:ascii="Calibri" w:hAnsi="Calibri" w:cs="Calibri"/>
          <w:lang w:val="ro-RO"/>
        </w:rPr>
        <w:t xml:space="preserve"> contribuabil la termenul de depunere al </w:t>
      </w:r>
      <w:r w:rsidR="00B91E74" w:rsidRPr="00834B27">
        <w:rPr>
          <w:rFonts w:ascii="Calibri" w:hAnsi="Calibri" w:cs="Calibri"/>
          <w:lang w:val="ro-RO"/>
        </w:rPr>
        <w:t>declara</w:t>
      </w:r>
      <w:r w:rsidR="00D77C4B" w:rsidRPr="00834B27">
        <w:rPr>
          <w:rFonts w:ascii="Calibri" w:hAnsi="Calibri" w:cs="Calibri"/>
          <w:lang w:val="ro-RO"/>
        </w:rPr>
        <w:t>ț</w:t>
      </w:r>
      <w:r w:rsidR="00B91E74" w:rsidRPr="00834B27">
        <w:rPr>
          <w:rFonts w:ascii="Calibri" w:hAnsi="Calibri" w:cs="Calibri"/>
          <w:lang w:val="ro-RO"/>
        </w:rPr>
        <w:t>iei</w:t>
      </w:r>
      <w:r w:rsidRPr="00834B27">
        <w:rPr>
          <w:rFonts w:ascii="Calibri" w:hAnsi="Calibri" w:cs="Calibri"/>
          <w:lang w:val="ro-RO"/>
        </w:rPr>
        <w:t xml:space="preserve"> D212. </w:t>
      </w:r>
    </w:p>
    <w:p w14:paraId="521AC40C" w14:textId="4929B04F" w:rsidR="00336202" w:rsidRPr="00834B27" w:rsidRDefault="00336202">
      <w:pPr>
        <w:rPr>
          <w:rFonts w:ascii="Calibri" w:hAnsi="Calibri" w:cs="Calibri"/>
          <w:b/>
          <w:bCs/>
          <w:i/>
          <w:iCs/>
          <w:lang w:val="ro-RO"/>
        </w:rPr>
      </w:pPr>
    </w:p>
    <w:p w14:paraId="7CB7CB17" w14:textId="5CB620F2" w:rsidR="00124269" w:rsidRPr="00834B27" w:rsidRDefault="00BF1261" w:rsidP="00B91E74">
      <w:pPr>
        <w:spacing w:line="276" w:lineRule="auto"/>
        <w:jc w:val="both"/>
        <w:rPr>
          <w:rFonts w:ascii="Calibri" w:hAnsi="Calibri" w:cs="Calibri"/>
          <w:b/>
          <w:bCs/>
          <w:i/>
          <w:iCs/>
          <w:lang w:val="ro-RO"/>
        </w:rPr>
      </w:pPr>
      <w:r w:rsidRPr="00834B27">
        <w:rPr>
          <w:rFonts w:ascii="Calibri" w:hAnsi="Calibri" w:cs="Calibri"/>
          <w:b/>
          <w:bCs/>
          <w:i/>
          <w:iCs/>
          <w:lang w:val="ro-RO"/>
        </w:rPr>
        <w:t>Scurt istoric</w:t>
      </w:r>
    </w:p>
    <w:p w14:paraId="7D38CE5C" w14:textId="6F75CAED" w:rsidR="000B2C01" w:rsidRPr="00834B27" w:rsidRDefault="00BF1261" w:rsidP="00B91E74">
      <w:pPr>
        <w:spacing w:line="276" w:lineRule="auto"/>
        <w:jc w:val="both"/>
        <w:rPr>
          <w:rFonts w:ascii="Calibri" w:hAnsi="Calibri" w:cs="Calibri"/>
          <w:i/>
          <w:iCs/>
          <w:lang w:val="ro-RO"/>
        </w:rPr>
      </w:pPr>
      <w:r w:rsidRPr="00834B27">
        <w:rPr>
          <w:rFonts w:ascii="Calibri" w:hAnsi="Calibri" w:cs="Calibri"/>
          <w:i/>
          <w:iCs/>
          <w:lang w:val="ro-RO"/>
        </w:rPr>
        <w:t xml:space="preserve">La fel ca </w:t>
      </w:r>
      <w:r w:rsidR="00B91E74" w:rsidRPr="00834B27">
        <w:rPr>
          <w:rFonts w:ascii="Calibri" w:hAnsi="Calibri" w:cs="Calibri"/>
          <w:i/>
          <w:iCs/>
          <w:lang w:val="ro-RO"/>
        </w:rPr>
        <w:t>î</w:t>
      </w:r>
      <w:r w:rsidRPr="00834B27">
        <w:rPr>
          <w:rFonts w:ascii="Calibri" w:hAnsi="Calibri" w:cs="Calibri"/>
          <w:i/>
          <w:iCs/>
          <w:lang w:val="ro-RO"/>
        </w:rPr>
        <w:t>n cazul CAS, p</w:t>
      </w:r>
      <w:r w:rsidR="00B91E74" w:rsidRPr="00834B27">
        <w:rPr>
          <w:rFonts w:ascii="Calibri" w:hAnsi="Calibri" w:cs="Calibri"/>
          <w:i/>
          <w:iCs/>
          <w:lang w:val="ro-RO"/>
        </w:rPr>
        <w:t>â</w:t>
      </w:r>
      <w:r w:rsidRPr="00834B27">
        <w:rPr>
          <w:rFonts w:ascii="Calibri" w:hAnsi="Calibri" w:cs="Calibri"/>
          <w:i/>
          <w:iCs/>
          <w:lang w:val="ro-RO"/>
        </w:rPr>
        <w:t>n</w:t>
      </w:r>
      <w:r w:rsidR="00B91E74" w:rsidRPr="00834B27">
        <w:rPr>
          <w:rFonts w:ascii="Calibri" w:hAnsi="Calibri" w:cs="Calibri"/>
          <w:i/>
          <w:iCs/>
          <w:lang w:val="ro-RO"/>
        </w:rPr>
        <w:t>ă</w:t>
      </w:r>
      <w:r w:rsidRPr="00834B27">
        <w:rPr>
          <w:rFonts w:ascii="Calibri" w:hAnsi="Calibri" w:cs="Calibri"/>
          <w:i/>
          <w:iCs/>
          <w:lang w:val="ro-RO"/>
        </w:rPr>
        <w:t xml:space="preserve"> </w:t>
      </w:r>
      <w:r w:rsidR="00B91E74" w:rsidRPr="00834B27">
        <w:rPr>
          <w:rFonts w:ascii="Calibri" w:hAnsi="Calibri" w:cs="Calibri"/>
          <w:i/>
          <w:iCs/>
          <w:lang w:val="ro-RO"/>
        </w:rPr>
        <w:t>î</w:t>
      </w:r>
      <w:r w:rsidRPr="00834B27">
        <w:rPr>
          <w:rFonts w:ascii="Calibri" w:hAnsi="Calibri" w:cs="Calibri"/>
          <w:i/>
          <w:iCs/>
          <w:lang w:val="ro-RO"/>
        </w:rPr>
        <w:t>n anul 2017 inclusiv</w:t>
      </w:r>
      <w:r w:rsidR="0027212A" w:rsidRPr="00834B27">
        <w:rPr>
          <w:rFonts w:ascii="Calibri" w:hAnsi="Calibri" w:cs="Calibri"/>
          <w:i/>
          <w:iCs/>
          <w:lang w:val="ro-RO"/>
        </w:rPr>
        <w:t>, contribuabilii datorau doar cota individual</w:t>
      </w:r>
      <w:r w:rsidR="00B91E74" w:rsidRPr="00834B27">
        <w:rPr>
          <w:rFonts w:ascii="Calibri" w:hAnsi="Calibri" w:cs="Calibri"/>
          <w:i/>
          <w:iCs/>
          <w:lang w:val="ro-RO"/>
        </w:rPr>
        <w:t>ă</w:t>
      </w:r>
      <w:r w:rsidR="0027212A" w:rsidRPr="00834B27">
        <w:rPr>
          <w:rFonts w:ascii="Calibri" w:hAnsi="Calibri" w:cs="Calibri"/>
          <w:i/>
          <w:iCs/>
          <w:lang w:val="ro-RO"/>
        </w:rPr>
        <w:t xml:space="preserve"> de 5,5% din venitul impozabil</w:t>
      </w:r>
      <w:r w:rsidR="000B2C01" w:rsidRPr="00834B27">
        <w:rPr>
          <w:rFonts w:ascii="Calibri" w:hAnsi="Calibri" w:cs="Calibri"/>
          <w:i/>
          <w:iCs/>
          <w:lang w:val="ro-RO"/>
        </w:rPr>
        <w:t xml:space="preserve">, aceasta </w:t>
      </w:r>
      <w:r w:rsidR="00B91E74" w:rsidRPr="00834B27">
        <w:rPr>
          <w:rFonts w:ascii="Calibri" w:hAnsi="Calibri" w:cs="Calibri"/>
          <w:i/>
          <w:iCs/>
          <w:lang w:val="ro-RO"/>
        </w:rPr>
        <w:t>crescând</w:t>
      </w:r>
      <w:r w:rsidR="000B2C01" w:rsidRPr="00834B27">
        <w:rPr>
          <w:rFonts w:ascii="Calibri" w:hAnsi="Calibri" w:cs="Calibri"/>
          <w:i/>
          <w:iCs/>
          <w:lang w:val="ro-RO"/>
        </w:rPr>
        <w:t xml:space="preserve"> la 10% </w:t>
      </w:r>
      <w:r w:rsidR="00B91E74" w:rsidRPr="00834B27">
        <w:rPr>
          <w:rFonts w:ascii="Calibri" w:hAnsi="Calibri" w:cs="Calibri"/>
          <w:i/>
          <w:iCs/>
          <w:lang w:val="ro-RO"/>
        </w:rPr>
        <w:t>odată</w:t>
      </w:r>
      <w:r w:rsidR="000B2C01" w:rsidRPr="00834B27">
        <w:rPr>
          <w:rFonts w:ascii="Calibri" w:hAnsi="Calibri" w:cs="Calibri"/>
          <w:i/>
          <w:iCs/>
          <w:lang w:val="ro-RO"/>
        </w:rPr>
        <w:t xml:space="preserve"> cu transferul </w:t>
      </w:r>
      <w:r w:rsidR="00B91E74" w:rsidRPr="00834B27">
        <w:rPr>
          <w:rFonts w:ascii="Calibri" w:hAnsi="Calibri" w:cs="Calibri"/>
          <w:i/>
          <w:iCs/>
          <w:lang w:val="ro-RO"/>
        </w:rPr>
        <w:t>contribu</w:t>
      </w:r>
      <w:r w:rsidR="00D77C4B" w:rsidRPr="00834B27">
        <w:rPr>
          <w:rFonts w:ascii="Calibri" w:hAnsi="Calibri" w:cs="Calibri"/>
          <w:i/>
          <w:iCs/>
          <w:lang w:val="ro-RO"/>
        </w:rPr>
        <w:t>ț</w:t>
      </w:r>
      <w:r w:rsidR="00B91E74" w:rsidRPr="00834B27">
        <w:rPr>
          <w:rFonts w:ascii="Calibri" w:hAnsi="Calibri" w:cs="Calibri"/>
          <w:i/>
          <w:iCs/>
          <w:lang w:val="ro-RO"/>
        </w:rPr>
        <w:t>iilor</w:t>
      </w:r>
      <w:r w:rsidR="00AD58B3" w:rsidRPr="00834B27">
        <w:rPr>
          <w:rFonts w:ascii="Calibri" w:hAnsi="Calibri" w:cs="Calibri"/>
          <w:i/>
          <w:iCs/>
          <w:lang w:val="ro-RO"/>
        </w:rPr>
        <w:t xml:space="preserve"> de la angajator la angajat</w:t>
      </w:r>
      <w:r w:rsidR="00D80118" w:rsidRPr="00834B27">
        <w:rPr>
          <w:rFonts w:ascii="Calibri" w:hAnsi="Calibri" w:cs="Calibri"/>
          <w:i/>
          <w:iCs/>
          <w:lang w:val="ro-RO"/>
        </w:rPr>
        <w:t>.</w:t>
      </w:r>
    </w:p>
    <w:p w14:paraId="624B2016" w14:textId="18C1F2DB" w:rsidR="00D80118" w:rsidRPr="00834B27" w:rsidRDefault="00D80118" w:rsidP="00B91E74">
      <w:pPr>
        <w:spacing w:line="276" w:lineRule="auto"/>
        <w:jc w:val="both"/>
        <w:rPr>
          <w:rFonts w:ascii="Calibri" w:hAnsi="Calibri" w:cs="Calibri"/>
          <w:i/>
          <w:iCs/>
          <w:lang w:val="ro-RO"/>
        </w:rPr>
      </w:pPr>
      <w:r w:rsidRPr="00834B27">
        <w:rPr>
          <w:rFonts w:ascii="Calibri" w:hAnsi="Calibri" w:cs="Calibri"/>
          <w:i/>
          <w:iCs/>
          <w:lang w:val="ro-RO"/>
        </w:rPr>
        <w:t>P</w:t>
      </w:r>
      <w:r w:rsidR="00FE15AD" w:rsidRPr="00834B27">
        <w:rPr>
          <w:rFonts w:ascii="Calibri" w:hAnsi="Calibri" w:cs="Calibri"/>
          <w:i/>
          <w:iCs/>
          <w:lang w:val="ro-RO"/>
        </w:rPr>
        <w:t>â</w:t>
      </w:r>
      <w:r w:rsidRPr="00834B27">
        <w:rPr>
          <w:rFonts w:ascii="Calibri" w:hAnsi="Calibri" w:cs="Calibri"/>
          <w:i/>
          <w:iCs/>
          <w:lang w:val="ro-RO"/>
        </w:rPr>
        <w:t>n</w:t>
      </w:r>
      <w:r w:rsidR="00FE15AD" w:rsidRPr="00834B27">
        <w:rPr>
          <w:rFonts w:ascii="Calibri" w:hAnsi="Calibri" w:cs="Calibri"/>
          <w:i/>
          <w:iCs/>
          <w:lang w:val="ro-RO"/>
        </w:rPr>
        <w:t>ă</w:t>
      </w:r>
      <w:r w:rsidRPr="00834B27">
        <w:rPr>
          <w:rFonts w:ascii="Calibri" w:hAnsi="Calibri" w:cs="Calibri"/>
          <w:i/>
          <w:iCs/>
          <w:lang w:val="ro-RO"/>
        </w:rPr>
        <w:t xml:space="preserve"> </w:t>
      </w:r>
      <w:r w:rsidR="00B91E74" w:rsidRPr="00834B27">
        <w:rPr>
          <w:rFonts w:ascii="Calibri" w:hAnsi="Calibri" w:cs="Calibri"/>
          <w:i/>
          <w:iCs/>
          <w:lang w:val="ro-RO"/>
        </w:rPr>
        <w:t>î</w:t>
      </w:r>
      <w:r w:rsidRPr="00834B27">
        <w:rPr>
          <w:rFonts w:ascii="Calibri" w:hAnsi="Calibri" w:cs="Calibri"/>
          <w:i/>
          <w:iCs/>
          <w:lang w:val="ro-RO"/>
        </w:rPr>
        <w:t>n anul 2016 inclusiv, baza de calcul al CASS era neplafonat</w:t>
      </w:r>
      <w:r w:rsidR="00B91E74" w:rsidRPr="00834B27">
        <w:rPr>
          <w:rFonts w:ascii="Calibri" w:hAnsi="Calibri" w:cs="Calibri"/>
          <w:i/>
          <w:iCs/>
          <w:lang w:val="ro-RO"/>
        </w:rPr>
        <w:t>ă</w:t>
      </w:r>
      <w:r w:rsidRPr="00834B27">
        <w:rPr>
          <w:rFonts w:ascii="Calibri" w:hAnsi="Calibri" w:cs="Calibri"/>
          <w:i/>
          <w:iCs/>
          <w:lang w:val="ro-RO"/>
        </w:rPr>
        <w:t xml:space="preserve">, dar </w:t>
      </w:r>
      <w:r w:rsidR="00B91E74" w:rsidRPr="00834B27">
        <w:rPr>
          <w:rFonts w:ascii="Calibri" w:hAnsi="Calibri" w:cs="Calibri"/>
          <w:i/>
          <w:iCs/>
          <w:lang w:val="ro-RO"/>
        </w:rPr>
        <w:t>ș</w:t>
      </w:r>
      <w:r w:rsidRPr="00834B27">
        <w:rPr>
          <w:rFonts w:ascii="Calibri" w:hAnsi="Calibri" w:cs="Calibri"/>
          <w:i/>
          <w:iCs/>
          <w:lang w:val="ro-RO"/>
        </w:rPr>
        <w:t xml:space="preserve">i gradul de conformare </w:t>
      </w:r>
      <w:r w:rsidR="00522686" w:rsidRPr="00834B27">
        <w:rPr>
          <w:rFonts w:ascii="Calibri" w:hAnsi="Calibri" w:cs="Calibri"/>
          <w:i/>
          <w:iCs/>
          <w:lang w:val="ro-RO"/>
        </w:rPr>
        <w:t xml:space="preserve">a fost unul extrem de redus, </w:t>
      </w:r>
      <w:r w:rsidR="00B91E74" w:rsidRPr="00834B27">
        <w:rPr>
          <w:rFonts w:ascii="Calibri" w:hAnsi="Calibri" w:cs="Calibri"/>
          <w:i/>
          <w:iCs/>
          <w:lang w:val="ro-RO"/>
        </w:rPr>
        <w:t>î</w:t>
      </w:r>
      <w:r w:rsidR="00522686" w:rsidRPr="00834B27">
        <w:rPr>
          <w:rFonts w:ascii="Calibri" w:hAnsi="Calibri" w:cs="Calibri"/>
          <w:i/>
          <w:iCs/>
          <w:lang w:val="ro-RO"/>
        </w:rPr>
        <w:t>n special p</w:t>
      </w:r>
      <w:r w:rsidR="00B91E74" w:rsidRPr="00834B27">
        <w:rPr>
          <w:rFonts w:ascii="Calibri" w:hAnsi="Calibri" w:cs="Calibri"/>
          <w:i/>
          <w:iCs/>
          <w:lang w:val="ro-RO"/>
        </w:rPr>
        <w:t>â</w:t>
      </w:r>
      <w:r w:rsidR="00522686" w:rsidRPr="00834B27">
        <w:rPr>
          <w:rFonts w:ascii="Calibri" w:hAnsi="Calibri" w:cs="Calibri"/>
          <w:i/>
          <w:iCs/>
          <w:lang w:val="ro-RO"/>
        </w:rPr>
        <w:t>n</w:t>
      </w:r>
      <w:r w:rsidR="00B91E74" w:rsidRPr="00834B27">
        <w:rPr>
          <w:rFonts w:ascii="Calibri" w:hAnsi="Calibri" w:cs="Calibri"/>
          <w:i/>
          <w:iCs/>
          <w:lang w:val="ro-RO"/>
        </w:rPr>
        <w:t>ă</w:t>
      </w:r>
      <w:r w:rsidR="00522686" w:rsidRPr="00834B27">
        <w:rPr>
          <w:rFonts w:ascii="Calibri" w:hAnsi="Calibri" w:cs="Calibri"/>
          <w:i/>
          <w:iCs/>
          <w:lang w:val="ro-RO"/>
        </w:rPr>
        <w:t xml:space="preserve"> </w:t>
      </w:r>
      <w:r w:rsidR="00B91E74" w:rsidRPr="00834B27">
        <w:rPr>
          <w:rFonts w:ascii="Calibri" w:hAnsi="Calibri" w:cs="Calibri"/>
          <w:i/>
          <w:iCs/>
          <w:lang w:val="ro-RO"/>
        </w:rPr>
        <w:t>î</w:t>
      </w:r>
      <w:r w:rsidR="00522686" w:rsidRPr="00834B27">
        <w:rPr>
          <w:rFonts w:ascii="Calibri" w:hAnsi="Calibri" w:cs="Calibri"/>
          <w:i/>
          <w:iCs/>
          <w:lang w:val="ro-RO"/>
        </w:rPr>
        <w:t>n 2012</w:t>
      </w:r>
      <w:r w:rsidR="00B91E74" w:rsidRPr="00834B27">
        <w:rPr>
          <w:rFonts w:ascii="Calibri" w:hAnsi="Calibri" w:cs="Calibri"/>
          <w:i/>
          <w:iCs/>
          <w:lang w:val="ro-RO"/>
        </w:rPr>
        <w:t>,</w:t>
      </w:r>
      <w:r w:rsidR="00522686" w:rsidRPr="00834B27">
        <w:rPr>
          <w:rFonts w:ascii="Calibri" w:hAnsi="Calibri" w:cs="Calibri"/>
          <w:i/>
          <w:iCs/>
          <w:lang w:val="ro-RO"/>
        </w:rPr>
        <w:t xml:space="preserve"> </w:t>
      </w:r>
      <w:r w:rsidR="00B91E74" w:rsidRPr="00834B27">
        <w:rPr>
          <w:rFonts w:ascii="Calibri" w:hAnsi="Calibri" w:cs="Calibri"/>
          <w:i/>
          <w:iCs/>
          <w:lang w:val="ro-RO"/>
        </w:rPr>
        <w:t>când</w:t>
      </w:r>
      <w:r w:rsidR="00522686" w:rsidRPr="00834B27">
        <w:rPr>
          <w:rFonts w:ascii="Calibri" w:hAnsi="Calibri" w:cs="Calibri"/>
          <w:i/>
          <w:iCs/>
          <w:lang w:val="ro-RO"/>
        </w:rPr>
        <w:t xml:space="preserve"> administrarea modului de calcul </w:t>
      </w:r>
      <w:r w:rsidR="00B91E74" w:rsidRPr="00834B27">
        <w:rPr>
          <w:rFonts w:ascii="Calibri" w:hAnsi="Calibri" w:cs="Calibri"/>
          <w:i/>
          <w:iCs/>
          <w:lang w:val="ro-RO"/>
        </w:rPr>
        <w:t>ș</w:t>
      </w:r>
      <w:r w:rsidR="00522686" w:rsidRPr="00834B27">
        <w:rPr>
          <w:rFonts w:ascii="Calibri" w:hAnsi="Calibri" w:cs="Calibri"/>
          <w:i/>
          <w:iCs/>
          <w:lang w:val="ro-RO"/>
        </w:rPr>
        <w:t>i de plat</w:t>
      </w:r>
      <w:r w:rsidR="00285F1A" w:rsidRPr="00834B27">
        <w:rPr>
          <w:rFonts w:ascii="Calibri" w:hAnsi="Calibri" w:cs="Calibri"/>
          <w:i/>
          <w:iCs/>
          <w:lang w:val="ro-RO"/>
        </w:rPr>
        <w:t>ă</w:t>
      </w:r>
      <w:r w:rsidR="00522686" w:rsidRPr="00834B27">
        <w:rPr>
          <w:rFonts w:ascii="Calibri" w:hAnsi="Calibri" w:cs="Calibri"/>
          <w:i/>
          <w:iCs/>
          <w:lang w:val="ro-RO"/>
        </w:rPr>
        <w:t xml:space="preserve"> al</w:t>
      </w:r>
      <w:r w:rsidR="00285F1A" w:rsidRPr="00834B27">
        <w:rPr>
          <w:rFonts w:ascii="Calibri" w:hAnsi="Calibri" w:cs="Calibri"/>
          <w:i/>
          <w:iCs/>
          <w:lang w:val="ro-RO"/>
        </w:rPr>
        <w:t>e</w:t>
      </w:r>
      <w:r w:rsidR="00522686" w:rsidRPr="00834B27">
        <w:rPr>
          <w:rFonts w:ascii="Calibri" w:hAnsi="Calibri" w:cs="Calibri"/>
          <w:i/>
          <w:iCs/>
          <w:lang w:val="ro-RO"/>
        </w:rPr>
        <w:t xml:space="preserve"> CASS a fost preluat</w:t>
      </w:r>
      <w:r w:rsidR="00285F1A" w:rsidRPr="00834B27">
        <w:rPr>
          <w:rFonts w:ascii="Calibri" w:hAnsi="Calibri" w:cs="Calibri"/>
          <w:i/>
          <w:iCs/>
          <w:lang w:val="ro-RO"/>
        </w:rPr>
        <w:t>ă</w:t>
      </w:r>
      <w:r w:rsidR="00522686" w:rsidRPr="00834B27">
        <w:rPr>
          <w:rFonts w:ascii="Calibri" w:hAnsi="Calibri" w:cs="Calibri"/>
          <w:i/>
          <w:iCs/>
          <w:lang w:val="ro-RO"/>
        </w:rPr>
        <w:t xml:space="preserve"> de ANAF (</w:t>
      </w:r>
      <w:r w:rsidR="00B91E74" w:rsidRPr="00834B27">
        <w:rPr>
          <w:rFonts w:ascii="Calibri" w:hAnsi="Calibri" w:cs="Calibri"/>
          <w:i/>
          <w:iCs/>
          <w:lang w:val="ro-RO"/>
        </w:rPr>
        <w:t>opera</w:t>
      </w:r>
      <w:r w:rsidR="00D77C4B" w:rsidRPr="00834B27">
        <w:rPr>
          <w:rFonts w:ascii="Calibri" w:hAnsi="Calibri" w:cs="Calibri"/>
          <w:i/>
          <w:iCs/>
          <w:lang w:val="ro-RO"/>
        </w:rPr>
        <w:t>ț</w:t>
      </w:r>
      <w:r w:rsidR="00B91E74" w:rsidRPr="00834B27">
        <w:rPr>
          <w:rFonts w:ascii="Calibri" w:hAnsi="Calibri" w:cs="Calibri"/>
          <w:i/>
          <w:iCs/>
          <w:lang w:val="ro-RO"/>
        </w:rPr>
        <w:t>ionalizat</w:t>
      </w:r>
      <w:r w:rsidR="00522686" w:rsidRPr="00834B27">
        <w:rPr>
          <w:rFonts w:ascii="Calibri" w:hAnsi="Calibri" w:cs="Calibri"/>
          <w:i/>
          <w:iCs/>
          <w:lang w:val="ro-RO"/>
        </w:rPr>
        <w:t xml:space="preserve"> </w:t>
      </w:r>
      <w:r w:rsidR="00B91E74" w:rsidRPr="00834B27">
        <w:rPr>
          <w:rFonts w:ascii="Calibri" w:hAnsi="Calibri" w:cs="Calibri"/>
          <w:i/>
          <w:iCs/>
          <w:lang w:val="ro-RO"/>
        </w:rPr>
        <w:t>însă</w:t>
      </w:r>
      <w:r w:rsidR="00522686" w:rsidRPr="00834B27">
        <w:rPr>
          <w:rFonts w:ascii="Calibri" w:hAnsi="Calibri" w:cs="Calibri"/>
          <w:i/>
          <w:iCs/>
          <w:lang w:val="ro-RO"/>
        </w:rPr>
        <w:t xml:space="preserve"> abia </w:t>
      </w:r>
      <w:r w:rsidR="00B91E74" w:rsidRPr="00834B27">
        <w:rPr>
          <w:rFonts w:ascii="Calibri" w:hAnsi="Calibri" w:cs="Calibri"/>
          <w:i/>
          <w:iCs/>
          <w:lang w:val="ro-RO"/>
        </w:rPr>
        <w:t>î</w:t>
      </w:r>
      <w:r w:rsidR="00522686" w:rsidRPr="00834B27">
        <w:rPr>
          <w:rFonts w:ascii="Calibri" w:hAnsi="Calibri" w:cs="Calibri"/>
          <w:i/>
          <w:iCs/>
          <w:lang w:val="ro-RO"/>
        </w:rPr>
        <w:t xml:space="preserve">n 2017, </w:t>
      </w:r>
      <w:r w:rsidR="00B91E74" w:rsidRPr="00834B27">
        <w:rPr>
          <w:rFonts w:ascii="Calibri" w:hAnsi="Calibri" w:cs="Calibri"/>
          <w:i/>
          <w:iCs/>
          <w:lang w:val="ro-RO"/>
        </w:rPr>
        <w:t>când</w:t>
      </w:r>
      <w:r w:rsidR="00522686" w:rsidRPr="00834B27">
        <w:rPr>
          <w:rFonts w:ascii="Calibri" w:hAnsi="Calibri" w:cs="Calibri"/>
          <w:i/>
          <w:iCs/>
          <w:lang w:val="ro-RO"/>
        </w:rPr>
        <w:t xml:space="preserve"> au fost emise </w:t>
      </w:r>
      <w:r w:rsidR="005030D8" w:rsidRPr="00834B27">
        <w:rPr>
          <w:rFonts w:ascii="Calibri" w:hAnsi="Calibri" w:cs="Calibri"/>
          <w:i/>
          <w:iCs/>
          <w:lang w:val="ro-RO"/>
        </w:rPr>
        <w:t>ș</w:t>
      </w:r>
      <w:r w:rsidR="004D3A41" w:rsidRPr="00834B27">
        <w:rPr>
          <w:rFonts w:ascii="Calibri" w:hAnsi="Calibri" w:cs="Calibri"/>
          <w:i/>
          <w:iCs/>
          <w:lang w:val="ro-RO"/>
        </w:rPr>
        <w:t xml:space="preserve">i un </w:t>
      </w:r>
      <w:r w:rsidR="005030D8" w:rsidRPr="00834B27">
        <w:rPr>
          <w:rFonts w:ascii="Calibri" w:hAnsi="Calibri" w:cs="Calibri"/>
          <w:i/>
          <w:iCs/>
          <w:lang w:val="ro-RO"/>
        </w:rPr>
        <w:t>număr</w:t>
      </w:r>
      <w:r w:rsidR="004D3A41" w:rsidRPr="00834B27">
        <w:rPr>
          <w:rFonts w:ascii="Calibri" w:hAnsi="Calibri" w:cs="Calibri"/>
          <w:i/>
          <w:iCs/>
          <w:lang w:val="ro-RO"/>
        </w:rPr>
        <w:t xml:space="preserve"> semnificativ de decizii de impunere pentru perioada neprescris</w:t>
      </w:r>
      <w:r w:rsidR="005030D8" w:rsidRPr="00834B27">
        <w:rPr>
          <w:rFonts w:ascii="Calibri" w:hAnsi="Calibri" w:cs="Calibri"/>
          <w:i/>
          <w:iCs/>
          <w:lang w:val="ro-RO"/>
        </w:rPr>
        <w:t>ă</w:t>
      </w:r>
      <w:r w:rsidR="004D3A41" w:rsidRPr="00834B27">
        <w:rPr>
          <w:rFonts w:ascii="Calibri" w:hAnsi="Calibri" w:cs="Calibri"/>
          <w:i/>
          <w:iCs/>
          <w:lang w:val="ro-RO"/>
        </w:rPr>
        <w:t>).</w:t>
      </w:r>
    </w:p>
    <w:p w14:paraId="01D6E57A" w14:textId="6DD66D43" w:rsidR="004D3A41" w:rsidRPr="00834B27" w:rsidRDefault="005030D8" w:rsidP="00B91E74">
      <w:pPr>
        <w:spacing w:line="276" w:lineRule="auto"/>
        <w:jc w:val="both"/>
        <w:rPr>
          <w:rFonts w:ascii="Calibri" w:hAnsi="Calibri" w:cs="Calibri"/>
          <w:i/>
          <w:iCs/>
          <w:lang w:val="ro-RO"/>
        </w:rPr>
      </w:pPr>
      <w:r w:rsidRPr="00834B27">
        <w:rPr>
          <w:rFonts w:ascii="Calibri" w:hAnsi="Calibri" w:cs="Calibri"/>
          <w:i/>
          <w:iCs/>
          <w:lang w:val="ro-RO"/>
        </w:rPr>
        <w:t>Î</w:t>
      </w:r>
      <w:r w:rsidR="00835867" w:rsidRPr="00834B27">
        <w:rPr>
          <w:rFonts w:ascii="Calibri" w:hAnsi="Calibri" w:cs="Calibri"/>
          <w:i/>
          <w:iCs/>
          <w:lang w:val="ro-RO"/>
        </w:rPr>
        <w:t xml:space="preserve">n 2017 a intrat </w:t>
      </w:r>
      <w:r w:rsidRPr="00834B27">
        <w:rPr>
          <w:rFonts w:ascii="Calibri" w:hAnsi="Calibri" w:cs="Calibri"/>
          <w:i/>
          <w:iCs/>
          <w:lang w:val="ro-RO"/>
        </w:rPr>
        <w:t>î</w:t>
      </w:r>
      <w:r w:rsidR="00835867" w:rsidRPr="00834B27">
        <w:rPr>
          <w:rFonts w:ascii="Calibri" w:hAnsi="Calibri" w:cs="Calibri"/>
          <w:i/>
          <w:iCs/>
          <w:lang w:val="ro-RO"/>
        </w:rPr>
        <w:t>n vigoare plafonarea bazei de calcul al CASS la 5 salarii medii</w:t>
      </w:r>
      <w:r w:rsidR="009D2084" w:rsidRPr="00834B27">
        <w:rPr>
          <w:rFonts w:ascii="Calibri" w:hAnsi="Calibri" w:cs="Calibri"/>
          <w:i/>
          <w:iCs/>
          <w:lang w:val="ro-RO"/>
        </w:rPr>
        <w:t>, plafonare care nu a fost eliminat</w:t>
      </w:r>
      <w:r w:rsidRPr="00834B27">
        <w:rPr>
          <w:rFonts w:ascii="Calibri" w:hAnsi="Calibri" w:cs="Calibri"/>
          <w:i/>
          <w:iCs/>
          <w:lang w:val="ro-RO"/>
        </w:rPr>
        <w:t>ă</w:t>
      </w:r>
      <w:r w:rsidR="009D2084" w:rsidRPr="00834B27">
        <w:rPr>
          <w:rFonts w:ascii="Calibri" w:hAnsi="Calibri" w:cs="Calibri"/>
          <w:i/>
          <w:iCs/>
          <w:lang w:val="ro-RO"/>
        </w:rPr>
        <w:t xml:space="preserve"> odat</w:t>
      </w:r>
      <w:r w:rsidRPr="00834B27">
        <w:rPr>
          <w:rFonts w:ascii="Calibri" w:hAnsi="Calibri" w:cs="Calibri"/>
          <w:i/>
          <w:iCs/>
          <w:lang w:val="ro-RO"/>
        </w:rPr>
        <w:t>ă</w:t>
      </w:r>
      <w:r w:rsidR="009D2084" w:rsidRPr="00834B27">
        <w:rPr>
          <w:rFonts w:ascii="Calibri" w:hAnsi="Calibri" w:cs="Calibri"/>
          <w:i/>
          <w:iCs/>
          <w:lang w:val="ro-RO"/>
        </w:rPr>
        <w:t xml:space="preserve"> cu eliminarea </w:t>
      </w:r>
      <w:r w:rsidRPr="00834B27">
        <w:rPr>
          <w:rFonts w:ascii="Calibri" w:hAnsi="Calibri" w:cs="Calibri"/>
          <w:i/>
          <w:iCs/>
          <w:lang w:val="ro-RO"/>
        </w:rPr>
        <w:t>plafonării</w:t>
      </w:r>
      <w:r w:rsidR="009D2084" w:rsidRPr="00834B27">
        <w:rPr>
          <w:rFonts w:ascii="Calibri" w:hAnsi="Calibri" w:cs="Calibri"/>
          <w:i/>
          <w:iCs/>
          <w:lang w:val="ro-RO"/>
        </w:rPr>
        <w:t xml:space="preserve"> bazei de calcul al CASS la </w:t>
      </w:r>
      <w:r w:rsidRPr="00834B27">
        <w:rPr>
          <w:rFonts w:ascii="Calibri" w:hAnsi="Calibri" w:cs="Calibri"/>
          <w:i/>
          <w:iCs/>
          <w:lang w:val="ro-RO"/>
        </w:rPr>
        <w:t>contribu</w:t>
      </w:r>
      <w:r w:rsidR="00D77C4B" w:rsidRPr="00834B27">
        <w:rPr>
          <w:rFonts w:ascii="Calibri" w:hAnsi="Calibri" w:cs="Calibri"/>
          <w:i/>
          <w:iCs/>
          <w:lang w:val="ro-RO"/>
        </w:rPr>
        <w:t>ț</w:t>
      </w:r>
      <w:r w:rsidRPr="00834B27">
        <w:rPr>
          <w:rFonts w:ascii="Calibri" w:hAnsi="Calibri" w:cs="Calibri"/>
          <w:i/>
          <w:iCs/>
          <w:lang w:val="ro-RO"/>
        </w:rPr>
        <w:t>iile</w:t>
      </w:r>
      <w:r w:rsidR="00B37B49" w:rsidRPr="00834B27">
        <w:rPr>
          <w:rFonts w:ascii="Calibri" w:hAnsi="Calibri" w:cs="Calibri"/>
          <w:i/>
          <w:iCs/>
          <w:lang w:val="ro-RO"/>
        </w:rPr>
        <w:t xml:space="preserve"> individuale la CAS </w:t>
      </w:r>
      <w:r w:rsidRPr="00834B27">
        <w:rPr>
          <w:rFonts w:ascii="Calibri" w:hAnsi="Calibri" w:cs="Calibri"/>
          <w:i/>
          <w:iCs/>
          <w:lang w:val="ro-RO"/>
        </w:rPr>
        <w:t>ș</w:t>
      </w:r>
      <w:r w:rsidR="00B37B49" w:rsidRPr="00834B27">
        <w:rPr>
          <w:rFonts w:ascii="Calibri" w:hAnsi="Calibri" w:cs="Calibri"/>
          <w:i/>
          <w:iCs/>
          <w:lang w:val="ro-RO"/>
        </w:rPr>
        <w:t xml:space="preserve">i CASS </w:t>
      </w:r>
      <w:r w:rsidRPr="00834B27">
        <w:rPr>
          <w:rFonts w:ascii="Calibri" w:hAnsi="Calibri" w:cs="Calibri"/>
          <w:i/>
          <w:iCs/>
          <w:lang w:val="ro-RO"/>
        </w:rPr>
        <w:t>î</w:t>
      </w:r>
      <w:r w:rsidR="00B37B49" w:rsidRPr="00834B27">
        <w:rPr>
          <w:rFonts w:ascii="Calibri" w:hAnsi="Calibri" w:cs="Calibri"/>
          <w:i/>
          <w:iCs/>
          <w:lang w:val="ro-RO"/>
        </w:rPr>
        <w:t xml:space="preserve">n cazul </w:t>
      </w:r>
      <w:r w:rsidRPr="00834B27">
        <w:rPr>
          <w:rFonts w:ascii="Calibri" w:hAnsi="Calibri" w:cs="Calibri"/>
          <w:i/>
          <w:iCs/>
          <w:lang w:val="ro-RO"/>
        </w:rPr>
        <w:t>salaria</w:t>
      </w:r>
      <w:r w:rsidR="00D77C4B" w:rsidRPr="00834B27">
        <w:rPr>
          <w:rFonts w:ascii="Calibri" w:hAnsi="Calibri" w:cs="Calibri"/>
          <w:i/>
          <w:iCs/>
          <w:lang w:val="ro-RO"/>
        </w:rPr>
        <w:t>ț</w:t>
      </w:r>
      <w:r w:rsidRPr="00834B27">
        <w:rPr>
          <w:rFonts w:ascii="Calibri" w:hAnsi="Calibri" w:cs="Calibri"/>
          <w:i/>
          <w:iCs/>
          <w:lang w:val="ro-RO"/>
        </w:rPr>
        <w:t>ilor</w:t>
      </w:r>
      <w:r w:rsidR="007E7361" w:rsidRPr="00834B27">
        <w:rPr>
          <w:rFonts w:ascii="Calibri" w:hAnsi="Calibri" w:cs="Calibri"/>
          <w:i/>
          <w:iCs/>
          <w:lang w:val="ro-RO"/>
        </w:rPr>
        <w:t>.</w:t>
      </w:r>
    </w:p>
    <w:p w14:paraId="7A7C47E4" w14:textId="3D12FA58" w:rsidR="00BE38AE" w:rsidRPr="00834B27" w:rsidRDefault="007E7361" w:rsidP="00B91E74">
      <w:pPr>
        <w:spacing w:line="276" w:lineRule="auto"/>
        <w:jc w:val="both"/>
        <w:rPr>
          <w:rFonts w:ascii="Calibri" w:hAnsi="Calibri" w:cs="Calibri"/>
          <w:i/>
          <w:iCs/>
          <w:lang w:val="ro-RO"/>
        </w:rPr>
      </w:pPr>
      <w:r w:rsidRPr="00834B27">
        <w:rPr>
          <w:rFonts w:ascii="Calibri" w:hAnsi="Calibri" w:cs="Calibri"/>
          <w:i/>
          <w:iCs/>
          <w:lang w:val="ro-RO"/>
        </w:rPr>
        <w:t xml:space="preserve">Din 2018, </w:t>
      </w:r>
      <w:r w:rsidR="009F1636" w:rsidRPr="00834B27">
        <w:rPr>
          <w:rFonts w:ascii="Calibri" w:hAnsi="Calibri" w:cs="Calibri"/>
          <w:i/>
          <w:iCs/>
          <w:lang w:val="ro-RO"/>
        </w:rPr>
        <w:t xml:space="preserve">veniturile din </w:t>
      </w:r>
      <w:r w:rsidR="005030D8" w:rsidRPr="00834B27">
        <w:rPr>
          <w:rFonts w:ascii="Calibri" w:hAnsi="Calibri" w:cs="Calibri"/>
          <w:i/>
          <w:iCs/>
          <w:lang w:val="ro-RO"/>
        </w:rPr>
        <w:t>activită</w:t>
      </w:r>
      <w:r w:rsidR="00D77C4B" w:rsidRPr="00834B27">
        <w:rPr>
          <w:rFonts w:ascii="Calibri" w:hAnsi="Calibri" w:cs="Calibri"/>
          <w:i/>
          <w:iCs/>
          <w:lang w:val="ro-RO"/>
        </w:rPr>
        <w:t>ț</w:t>
      </w:r>
      <w:r w:rsidR="005030D8" w:rsidRPr="00834B27">
        <w:rPr>
          <w:rFonts w:ascii="Calibri" w:hAnsi="Calibri" w:cs="Calibri"/>
          <w:i/>
          <w:iCs/>
          <w:lang w:val="ro-RO"/>
        </w:rPr>
        <w:t>i</w:t>
      </w:r>
      <w:r w:rsidR="009F1636" w:rsidRPr="00834B27">
        <w:rPr>
          <w:rFonts w:ascii="Calibri" w:hAnsi="Calibri" w:cs="Calibri"/>
          <w:i/>
          <w:iCs/>
          <w:lang w:val="ro-RO"/>
        </w:rPr>
        <w:t xml:space="preserve"> independente au fost introdus</w:t>
      </w:r>
      <w:r w:rsidR="00021050" w:rsidRPr="00834B27">
        <w:rPr>
          <w:rFonts w:ascii="Calibri" w:hAnsi="Calibri" w:cs="Calibri"/>
          <w:i/>
          <w:iCs/>
          <w:lang w:val="ro-RO"/>
        </w:rPr>
        <w:t xml:space="preserve">e </w:t>
      </w:r>
      <w:r w:rsidR="005030D8" w:rsidRPr="00834B27">
        <w:rPr>
          <w:rFonts w:ascii="Calibri" w:hAnsi="Calibri" w:cs="Calibri"/>
          <w:i/>
          <w:iCs/>
          <w:lang w:val="ro-RO"/>
        </w:rPr>
        <w:t>î</w:t>
      </w:r>
      <w:r w:rsidR="00021050" w:rsidRPr="00834B27">
        <w:rPr>
          <w:rFonts w:ascii="Calibri" w:hAnsi="Calibri" w:cs="Calibri"/>
          <w:i/>
          <w:iCs/>
          <w:lang w:val="ro-RO"/>
        </w:rPr>
        <w:t xml:space="preserve">ntr-un </w:t>
      </w:r>
      <w:r w:rsidR="005030D8" w:rsidRPr="00834B27">
        <w:rPr>
          <w:rFonts w:ascii="Calibri" w:hAnsi="Calibri" w:cs="Calibri"/>
          <w:i/>
          <w:iCs/>
          <w:lang w:val="ro-RO"/>
        </w:rPr>
        <w:t>„</w:t>
      </w:r>
      <w:r w:rsidR="00021050" w:rsidRPr="00834B27">
        <w:rPr>
          <w:rFonts w:ascii="Calibri" w:hAnsi="Calibri" w:cs="Calibri"/>
          <w:i/>
          <w:iCs/>
          <w:lang w:val="ro-RO"/>
        </w:rPr>
        <w:t>co</w:t>
      </w:r>
      <w:r w:rsidR="005030D8" w:rsidRPr="00834B27">
        <w:rPr>
          <w:rFonts w:ascii="Calibri" w:hAnsi="Calibri" w:cs="Calibri"/>
          <w:i/>
          <w:iCs/>
          <w:lang w:val="ro-RO"/>
        </w:rPr>
        <w:t>ș</w:t>
      </w:r>
      <w:r w:rsidR="00021050" w:rsidRPr="00834B27">
        <w:rPr>
          <w:rFonts w:ascii="Calibri" w:hAnsi="Calibri" w:cs="Calibri"/>
          <w:i/>
          <w:iCs/>
          <w:lang w:val="ro-RO"/>
        </w:rPr>
        <w:t xml:space="preserve">” de venituri, </w:t>
      </w:r>
      <w:r w:rsidR="005030D8" w:rsidRPr="00834B27">
        <w:rPr>
          <w:rFonts w:ascii="Calibri" w:hAnsi="Calibri" w:cs="Calibri"/>
          <w:i/>
          <w:iCs/>
          <w:lang w:val="ro-RO"/>
        </w:rPr>
        <w:t>împreună</w:t>
      </w:r>
      <w:r w:rsidR="00021050" w:rsidRPr="00834B27">
        <w:rPr>
          <w:rFonts w:ascii="Calibri" w:hAnsi="Calibri" w:cs="Calibri"/>
          <w:i/>
          <w:iCs/>
          <w:lang w:val="ro-RO"/>
        </w:rPr>
        <w:t xml:space="preserve"> cu veniturile din chirii, </w:t>
      </w:r>
      <w:r w:rsidR="005030D8" w:rsidRPr="00834B27">
        <w:rPr>
          <w:rFonts w:ascii="Calibri" w:hAnsi="Calibri" w:cs="Calibri"/>
          <w:i/>
          <w:iCs/>
          <w:lang w:val="ro-RO"/>
        </w:rPr>
        <w:t>dobânzi</w:t>
      </w:r>
      <w:r w:rsidR="00021050" w:rsidRPr="00834B27">
        <w:rPr>
          <w:rFonts w:ascii="Calibri" w:hAnsi="Calibri" w:cs="Calibri"/>
          <w:i/>
          <w:iCs/>
          <w:lang w:val="ro-RO"/>
        </w:rPr>
        <w:t>, dividende</w:t>
      </w:r>
      <w:r w:rsidR="00D24188" w:rsidRPr="00834B27">
        <w:rPr>
          <w:rFonts w:ascii="Calibri" w:hAnsi="Calibri" w:cs="Calibri"/>
          <w:i/>
          <w:iCs/>
          <w:lang w:val="ro-RO"/>
        </w:rPr>
        <w:t xml:space="preserve">, </w:t>
      </w:r>
      <w:r w:rsidR="005030D8" w:rsidRPr="00834B27">
        <w:rPr>
          <w:rFonts w:ascii="Calibri" w:hAnsi="Calibri" w:cs="Calibri"/>
          <w:i/>
          <w:iCs/>
          <w:lang w:val="ro-RO"/>
        </w:rPr>
        <w:t>câștiguri</w:t>
      </w:r>
      <w:r w:rsidR="00D24188" w:rsidRPr="00834B27">
        <w:rPr>
          <w:rFonts w:ascii="Calibri" w:hAnsi="Calibri" w:cs="Calibri"/>
          <w:i/>
          <w:iCs/>
          <w:lang w:val="ro-RO"/>
        </w:rPr>
        <w:t xml:space="preserve"> de capital, alte venituri, iar baza de calcul al CASS </w:t>
      </w:r>
      <w:r w:rsidR="00E433C7" w:rsidRPr="00834B27">
        <w:rPr>
          <w:rFonts w:ascii="Calibri" w:hAnsi="Calibri" w:cs="Calibri"/>
          <w:i/>
          <w:iCs/>
          <w:lang w:val="ro-RO"/>
        </w:rPr>
        <w:t xml:space="preserve">nu putea </w:t>
      </w:r>
      <w:r w:rsidR="005030D8" w:rsidRPr="00834B27">
        <w:rPr>
          <w:rFonts w:ascii="Calibri" w:hAnsi="Calibri" w:cs="Calibri"/>
          <w:i/>
          <w:iCs/>
          <w:lang w:val="ro-RO"/>
        </w:rPr>
        <w:t>depăși</w:t>
      </w:r>
      <w:r w:rsidR="00E433C7" w:rsidRPr="00834B27">
        <w:rPr>
          <w:rFonts w:ascii="Calibri" w:hAnsi="Calibri" w:cs="Calibri"/>
          <w:i/>
          <w:iCs/>
          <w:lang w:val="ro-RO"/>
        </w:rPr>
        <w:t xml:space="preserve"> 12 SM (pentru suma tuturor veniturilor din </w:t>
      </w:r>
      <w:r w:rsidR="005030D8" w:rsidRPr="00834B27">
        <w:rPr>
          <w:rFonts w:ascii="Calibri" w:hAnsi="Calibri" w:cs="Calibri"/>
          <w:i/>
          <w:iCs/>
          <w:lang w:val="ro-RO"/>
        </w:rPr>
        <w:t>„</w:t>
      </w:r>
      <w:r w:rsidR="00E433C7" w:rsidRPr="00834B27">
        <w:rPr>
          <w:rFonts w:ascii="Calibri" w:hAnsi="Calibri" w:cs="Calibri"/>
          <w:i/>
          <w:iCs/>
          <w:lang w:val="ro-RO"/>
        </w:rPr>
        <w:t>co</w:t>
      </w:r>
      <w:r w:rsidR="005030D8" w:rsidRPr="00834B27">
        <w:rPr>
          <w:rFonts w:ascii="Calibri" w:hAnsi="Calibri" w:cs="Calibri"/>
          <w:i/>
          <w:iCs/>
          <w:lang w:val="ro-RO"/>
        </w:rPr>
        <w:t>ș</w:t>
      </w:r>
      <w:r w:rsidR="00E433C7" w:rsidRPr="00834B27">
        <w:rPr>
          <w:rFonts w:ascii="Calibri" w:hAnsi="Calibri" w:cs="Calibri"/>
          <w:i/>
          <w:iCs/>
          <w:lang w:val="ro-RO"/>
        </w:rPr>
        <w:t>”!)</w:t>
      </w:r>
    </w:p>
    <w:p w14:paraId="0C22B211" w14:textId="3C5ED3B1" w:rsidR="007E7361" w:rsidRPr="00834B27" w:rsidRDefault="00E433C7" w:rsidP="00B91E74">
      <w:pPr>
        <w:spacing w:line="276" w:lineRule="auto"/>
        <w:jc w:val="both"/>
        <w:rPr>
          <w:rFonts w:ascii="Calibri" w:hAnsi="Calibri" w:cs="Calibri"/>
          <w:i/>
          <w:iCs/>
          <w:lang w:val="ro-RO"/>
        </w:rPr>
      </w:pPr>
      <w:r w:rsidRPr="00834B27">
        <w:rPr>
          <w:rFonts w:ascii="Calibri" w:hAnsi="Calibri" w:cs="Calibri"/>
          <w:i/>
          <w:iCs/>
          <w:lang w:val="ro-RO"/>
        </w:rPr>
        <w:t xml:space="preserve">Astfel, </w:t>
      </w:r>
      <w:r w:rsidR="005030D8" w:rsidRPr="00834B27">
        <w:rPr>
          <w:rFonts w:ascii="Calibri" w:hAnsi="Calibri" w:cs="Calibri"/>
          <w:i/>
          <w:iCs/>
          <w:lang w:val="ro-RO"/>
        </w:rPr>
        <w:t>deși</w:t>
      </w:r>
      <w:r w:rsidR="007E7361" w:rsidRPr="00834B27">
        <w:rPr>
          <w:rFonts w:ascii="Calibri" w:hAnsi="Calibri" w:cs="Calibri"/>
          <w:i/>
          <w:iCs/>
          <w:lang w:val="ro-RO"/>
        </w:rPr>
        <w:t xml:space="preserve"> cota de CASS a fost aproape dublat</w:t>
      </w:r>
      <w:r w:rsidR="005030D8" w:rsidRPr="00834B27">
        <w:rPr>
          <w:rFonts w:ascii="Calibri" w:hAnsi="Calibri" w:cs="Calibri"/>
          <w:i/>
          <w:iCs/>
          <w:lang w:val="ro-RO"/>
        </w:rPr>
        <w:t>ă</w:t>
      </w:r>
      <w:r w:rsidR="007E7361" w:rsidRPr="00834B27">
        <w:rPr>
          <w:rFonts w:ascii="Calibri" w:hAnsi="Calibri" w:cs="Calibri"/>
          <w:i/>
          <w:iCs/>
          <w:lang w:val="ro-RO"/>
        </w:rPr>
        <w:t xml:space="preserve"> (</w:t>
      </w:r>
      <w:r w:rsidR="00BE38AE" w:rsidRPr="00834B27">
        <w:rPr>
          <w:rFonts w:ascii="Calibri" w:hAnsi="Calibri" w:cs="Calibri"/>
          <w:i/>
          <w:iCs/>
          <w:lang w:val="ro-RO"/>
        </w:rPr>
        <w:t>de la 5,5% la 10%)</w:t>
      </w:r>
      <w:r w:rsidRPr="00834B27">
        <w:rPr>
          <w:rFonts w:ascii="Calibri" w:hAnsi="Calibri" w:cs="Calibri"/>
          <w:i/>
          <w:iCs/>
          <w:lang w:val="ro-RO"/>
        </w:rPr>
        <w:t xml:space="preserve">, </w:t>
      </w:r>
      <w:r w:rsidR="005030D8" w:rsidRPr="00834B27">
        <w:rPr>
          <w:rFonts w:ascii="Calibri" w:hAnsi="Calibri" w:cs="Calibri"/>
          <w:i/>
          <w:iCs/>
          <w:lang w:val="ro-RO"/>
        </w:rPr>
        <w:t>atât</w:t>
      </w:r>
      <w:r w:rsidRPr="00834B27">
        <w:rPr>
          <w:rFonts w:ascii="Calibri" w:hAnsi="Calibri" w:cs="Calibri"/>
          <w:i/>
          <w:iCs/>
          <w:lang w:val="ro-RO"/>
        </w:rPr>
        <w:t xml:space="preserve"> CASS c</w:t>
      </w:r>
      <w:r w:rsidR="005030D8" w:rsidRPr="00834B27">
        <w:rPr>
          <w:rFonts w:ascii="Calibri" w:hAnsi="Calibri" w:cs="Calibri"/>
          <w:i/>
          <w:iCs/>
          <w:lang w:val="ro-RO"/>
        </w:rPr>
        <w:t>â</w:t>
      </w:r>
      <w:r w:rsidRPr="00834B27">
        <w:rPr>
          <w:rFonts w:ascii="Calibri" w:hAnsi="Calibri" w:cs="Calibri"/>
          <w:i/>
          <w:iCs/>
          <w:lang w:val="ro-RO"/>
        </w:rPr>
        <w:t xml:space="preserve">t </w:t>
      </w:r>
      <w:r w:rsidR="005030D8" w:rsidRPr="00834B27">
        <w:rPr>
          <w:rFonts w:ascii="Calibri" w:hAnsi="Calibri" w:cs="Calibri"/>
          <w:i/>
          <w:iCs/>
          <w:lang w:val="ro-RO"/>
        </w:rPr>
        <w:t>ș</w:t>
      </w:r>
      <w:r w:rsidRPr="00834B27">
        <w:rPr>
          <w:rFonts w:ascii="Calibri" w:hAnsi="Calibri" w:cs="Calibri"/>
          <w:i/>
          <w:iCs/>
          <w:lang w:val="ro-RO"/>
        </w:rPr>
        <w:t xml:space="preserve">i SFT au </w:t>
      </w:r>
      <w:r w:rsidR="005030D8" w:rsidRPr="00834B27">
        <w:rPr>
          <w:rFonts w:ascii="Calibri" w:hAnsi="Calibri" w:cs="Calibri"/>
          <w:i/>
          <w:iCs/>
          <w:lang w:val="ro-RO"/>
        </w:rPr>
        <w:t>scăzut</w:t>
      </w:r>
      <w:r w:rsidRPr="00834B27">
        <w:rPr>
          <w:rFonts w:ascii="Calibri" w:hAnsi="Calibri" w:cs="Calibri"/>
          <w:i/>
          <w:iCs/>
          <w:lang w:val="ro-RO"/>
        </w:rPr>
        <w:t xml:space="preserve"> </w:t>
      </w:r>
      <w:r w:rsidR="0008206C" w:rsidRPr="00834B27">
        <w:rPr>
          <w:rFonts w:ascii="Calibri" w:hAnsi="Calibri" w:cs="Calibri"/>
          <w:i/>
          <w:iCs/>
          <w:lang w:val="ro-RO"/>
        </w:rPr>
        <w:t xml:space="preserve">semnificativ, </w:t>
      </w:r>
      <w:r w:rsidR="005030D8" w:rsidRPr="00834B27">
        <w:rPr>
          <w:rFonts w:ascii="Calibri" w:hAnsi="Calibri" w:cs="Calibri"/>
          <w:i/>
          <w:iCs/>
          <w:lang w:val="ro-RO"/>
        </w:rPr>
        <w:t>î</w:t>
      </w:r>
      <w:r w:rsidR="0008206C" w:rsidRPr="00834B27">
        <w:rPr>
          <w:rFonts w:ascii="Calibri" w:hAnsi="Calibri" w:cs="Calibri"/>
          <w:i/>
          <w:iCs/>
          <w:lang w:val="ro-RO"/>
        </w:rPr>
        <w:t>ntr-un mod evident nesustenabil</w:t>
      </w:r>
      <w:r w:rsidR="006908AA" w:rsidRPr="00834B27">
        <w:rPr>
          <w:rFonts w:ascii="Calibri" w:hAnsi="Calibri" w:cs="Calibri"/>
          <w:i/>
          <w:iCs/>
          <w:lang w:val="ro-RO"/>
        </w:rPr>
        <w:t xml:space="preserve"> pentru bugetul </w:t>
      </w:r>
      <w:r w:rsidR="00E82313" w:rsidRPr="00834B27">
        <w:rPr>
          <w:rFonts w:ascii="Calibri" w:hAnsi="Calibri" w:cs="Calibri"/>
          <w:i/>
          <w:iCs/>
          <w:lang w:val="ro-RO"/>
        </w:rPr>
        <w:t xml:space="preserve">CNASS </w:t>
      </w:r>
      <w:r w:rsidR="00861BEA" w:rsidRPr="00834B27">
        <w:rPr>
          <w:rFonts w:ascii="Calibri" w:hAnsi="Calibri" w:cs="Calibri"/>
          <w:i/>
          <w:iCs/>
          <w:lang w:val="ro-RO"/>
        </w:rPr>
        <w:t>ș</w:t>
      </w:r>
      <w:r w:rsidR="00E82313" w:rsidRPr="00834B27">
        <w:rPr>
          <w:rFonts w:ascii="Calibri" w:hAnsi="Calibri" w:cs="Calibri"/>
          <w:i/>
          <w:iCs/>
          <w:lang w:val="ro-RO"/>
        </w:rPr>
        <w:t>i</w:t>
      </w:r>
      <w:r w:rsidR="006A3D7F" w:rsidRPr="00834B27">
        <w:rPr>
          <w:rFonts w:ascii="Calibri" w:hAnsi="Calibri" w:cs="Calibri"/>
          <w:i/>
          <w:iCs/>
          <w:lang w:val="ro-RO"/>
        </w:rPr>
        <w:t xml:space="preserve">, </w:t>
      </w:r>
      <w:r w:rsidR="00E82313" w:rsidRPr="00834B27">
        <w:rPr>
          <w:rFonts w:ascii="Calibri" w:hAnsi="Calibri" w:cs="Calibri"/>
          <w:i/>
          <w:iCs/>
          <w:lang w:val="ro-RO"/>
        </w:rPr>
        <w:t>implicit, pentru bugetul de stat</w:t>
      </w:r>
      <w:r w:rsidR="0008206C" w:rsidRPr="00834B27">
        <w:rPr>
          <w:rFonts w:ascii="Calibri" w:hAnsi="Calibri" w:cs="Calibri"/>
          <w:i/>
          <w:iCs/>
          <w:lang w:val="ro-RO"/>
        </w:rPr>
        <w:t>.</w:t>
      </w:r>
    </w:p>
    <w:p w14:paraId="30B46434" w14:textId="5EFFACC6" w:rsidR="0008206C" w:rsidRPr="00834B27" w:rsidRDefault="0008206C" w:rsidP="00B91E74">
      <w:pPr>
        <w:spacing w:line="276" w:lineRule="auto"/>
        <w:jc w:val="both"/>
        <w:rPr>
          <w:rFonts w:ascii="Calibri" w:hAnsi="Calibri" w:cs="Calibri"/>
          <w:i/>
          <w:iCs/>
          <w:lang w:val="ro-RO"/>
        </w:rPr>
      </w:pPr>
      <w:r w:rsidRPr="00834B27">
        <w:rPr>
          <w:rFonts w:ascii="Calibri" w:hAnsi="Calibri" w:cs="Calibri"/>
          <w:i/>
          <w:iCs/>
          <w:lang w:val="ro-RO"/>
        </w:rPr>
        <w:t>Din 2023</w:t>
      </w:r>
      <w:r w:rsidR="00421E42" w:rsidRPr="00834B27">
        <w:rPr>
          <w:rFonts w:ascii="Calibri" w:hAnsi="Calibri" w:cs="Calibri"/>
          <w:i/>
          <w:iCs/>
          <w:lang w:val="ro-RO"/>
        </w:rPr>
        <w:t xml:space="preserve">, baza de calcul al CASS pentru veniturile din </w:t>
      </w:r>
      <w:r w:rsidR="005030D8" w:rsidRPr="00834B27">
        <w:rPr>
          <w:rFonts w:ascii="Calibri" w:hAnsi="Calibri" w:cs="Calibri"/>
          <w:i/>
          <w:iCs/>
          <w:lang w:val="ro-RO"/>
        </w:rPr>
        <w:t>„</w:t>
      </w:r>
      <w:r w:rsidR="00421E42" w:rsidRPr="00834B27">
        <w:rPr>
          <w:rFonts w:ascii="Calibri" w:hAnsi="Calibri" w:cs="Calibri"/>
          <w:i/>
          <w:iCs/>
          <w:lang w:val="ro-RO"/>
        </w:rPr>
        <w:t>co</w:t>
      </w:r>
      <w:r w:rsidR="005030D8" w:rsidRPr="00834B27">
        <w:rPr>
          <w:rFonts w:ascii="Calibri" w:hAnsi="Calibri" w:cs="Calibri"/>
          <w:i/>
          <w:iCs/>
          <w:lang w:val="ro-RO"/>
        </w:rPr>
        <w:t>ș</w:t>
      </w:r>
      <w:r w:rsidR="00421E42" w:rsidRPr="00834B27">
        <w:rPr>
          <w:rFonts w:ascii="Calibri" w:hAnsi="Calibri" w:cs="Calibri"/>
          <w:i/>
          <w:iCs/>
          <w:lang w:val="ro-RO"/>
        </w:rPr>
        <w:t xml:space="preserve">” </w:t>
      </w:r>
      <w:r w:rsidR="00CC46D0" w:rsidRPr="00834B27">
        <w:rPr>
          <w:rFonts w:ascii="Calibri" w:hAnsi="Calibri" w:cs="Calibri"/>
          <w:i/>
          <w:iCs/>
          <w:lang w:val="ro-RO"/>
        </w:rPr>
        <w:t>a fost majorat</w:t>
      </w:r>
      <w:r w:rsidR="005030D8" w:rsidRPr="00834B27">
        <w:rPr>
          <w:rFonts w:ascii="Calibri" w:hAnsi="Calibri" w:cs="Calibri"/>
          <w:i/>
          <w:iCs/>
          <w:lang w:val="ro-RO"/>
        </w:rPr>
        <w:t>ă</w:t>
      </w:r>
      <w:r w:rsidR="00CC46D0" w:rsidRPr="00834B27">
        <w:rPr>
          <w:rFonts w:ascii="Calibri" w:hAnsi="Calibri" w:cs="Calibri"/>
          <w:i/>
          <w:iCs/>
          <w:lang w:val="ro-RO"/>
        </w:rPr>
        <w:t xml:space="preserve"> la maxim 24 SM</w:t>
      </w:r>
      <w:r w:rsidR="000E4FA0" w:rsidRPr="00834B27">
        <w:rPr>
          <w:rFonts w:ascii="Calibri" w:hAnsi="Calibri" w:cs="Calibri"/>
          <w:i/>
          <w:iCs/>
          <w:lang w:val="ro-RO"/>
        </w:rPr>
        <w:t>.</w:t>
      </w:r>
    </w:p>
    <w:p w14:paraId="711712D0" w14:textId="74DB2245" w:rsidR="000E4FA0" w:rsidRPr="00834B27" w:rsidRDefault="000E4FA0" w:rsidP="00B91E74">
      <w:pPr>
        <w:spacing w:line="276" w:lineRule="auto"/>
        <w:jc w:val="both"/>
        <w:rPr>
          <w:rFonts w:ascii="Calibri" w:hAnsi="Calibri" w:cs="Calibri"/>
          <w:i/>
          <w:iCs/>
          <w:lang w:val="ro-RO"/>
        </w:rPr>
      </w:pPr>
      <w:r w:rsidRPr="00834B27">
        <w:rPr>
          <w:rFonts w:ascii="Calibri" w:hAnsi="Calibri" w:cs="Calibri"/>
          <w:i/>
          <w:iCs/>
          <w:lang w:val="ro-RO"/>
        </w:rPr>
        <w:lastRenderedPageBreak/>
        <w:t xml:space="preserve">Din 2024, veniturile din </w:t>
      </w:r>
      <w:r w:rsidR="005030D8" w:rsidRPr="00834B27">
        <w:rPr>
          <w:rFonts w:ascii="Calibri" w:hAnsi="Calibri" w:cs="Calibri"/>
          <w:i/>
          <w:iCs/>
          <w:lang w:val="ro-RO"/>
        </w:rPr>
        <w:t>activită</w:t>
      </w:r>
      <w:r w:rsidR="00D77C4B" w:rsidRPr="00834B27">
        <w:rPr>
          <w:rFonts w:ascii="Calibri" w:hAnsi="Calibri" w:cs="Calibri"/>
          <w:i/>
          <w:iCs/>
          <w:lang w:val="ro-RO"/>
        </w:rPr>
        <w:t>ț</w:t>
      </w:r>
      <w:r w:rsidR="005030D8" w:rsidRPr="00834B27">
        <w:rPr>
          <w:rFonts w:ascii="Calibri" w:hAnsi="Calibri" w:cs="Calibri"/>
          <w:i/>
          <w:iCs/>
          <w:lang w:val="ro-RO"/>
        </w:rPr>
        <w:t>i</w:t>
      </w:r>
      <w:r w:rsidRPr="00834B27">
        <w:rPr>
          <w:rFonts w:ascii="Calibri" w:hAnsi="Calibri" w:cs="Calibri"/>
          <w:i/>
          <w:iCs/>
          <w:lang w:val="ro-RO"/>
        </w:rPr>
        <w:t xml:space="preserve"> independente au fost scoase din </w:t>
      </w:r>
      <w:r w:rsidR="005030D8" w:rsidRPr="00834B27">
        <w:rPr>
          <w:rFonts w:ascii="Calibri" w:hAnsi="Calibri" w:cs="Calibri"/>
          <w:i/>
          <w:iCs/>
          <w:lang w:val="ro-RO"/>
        </w:rPr>
        <w:t>„</w:t>
      </w:r>
      <w:r w:rsidRPr="00834B27">
        <w:rPr>
          <w:rFonts w:ascii="Calibri" w:hAnsi="Calibri" w:cs="Calibri"/>
          <w:i/>
          <w:iCs/>
          <w:lang w:val="ro-RO"/>
        </w:rPr>
        <w:t>co</w:t>
      </w:r>
      <w:r w:rsidR="005030D8" w:rsidRPr="00834B27">
        <w:rPr>
          <w:rFonts w:ascii="Calibri" w:hAnsi="Calibri" w:cs="Calibri"/>
          <w:i/>
          <w:iCs/>
          <w:lang w:val="ro-RO"/>
        </w:rPr>
        <w:t>ș</w:t>
      </w:r>
      <w:r w:rsidRPr="00834B27">
        <w:rPr>
          <w:rFonts w:ascii="Calibri" w:hAnsi="Calibri" w:cs="Calibri"/>
          <w:i/>
          <w:iCs/>
          <w:lang w:val="ro-RO"/>
        </w:rPr>
        <w:t>”</w:t>
      </w:r>
      <w:r w:rsidR="00FF6119" w:rsidRPr="00834B27">
        <w:rPr>
          <w:rFonts w:ascii="Calibri" w:hAnsi="Calibri" w:cs="Calibri"/>
          <w:i/>
          <w:iCs/>
          <w:lang w:val="ro-RO"/>
        </w:rPr>
        <w:t xml:space="preserve">, </w:t>
      </w:r>
      <w:r w:rsidR="00E23425" w:rsidRPr="00834B27">
        <w:rPr>
          <w:rFonts w:ascii="Calibri" w:hAnsi="Calibri" w:cs="Calibri"/>
          <w:i/>
          <w:iCs/>
          <w:lang w:val="ro-RO"/>
        </w:rPr>
        <w:t xml:space="preserve">iar baza de calcul al CASS </w:t>
      </w:r>
      <w:r w:rsidR="00E5799A" w:rsidRPr="00834B27">
        <w:rPr>
          <w:rFonts w:ascii="Calibri" w:hAnsi="Calibri" w:cs="Calibri"/>
          <w:i/>
          <w:iCs/>
          <w:lang w:val="ro-RO"/>
        </w:rPr>
        <w:t>a redevenit egal</w:t>
      </w:r>
      <w:r w:rsidR="005030D8" w:rsidRPr="00834B27">
        <w:rPr>
          <w:rFonts w:ascii="Calibri" w:hAnsi="Calibri" w:cs="Calibri"/>
          <w:i/>
          <w:iCs/>
          <w:lang w:val="ro-RO"/>
        </w:rPr>
        <w:t>ă</w:t>
      </w:r>
      <w:r w:rsidR="00E5799A" w:rsidRPr="00834B27">
        <w:rPr>
          <w:rFonts w:ascii="Calibri" w:hAnsi="Calibri" w:cs="Calibri"/>
          <w:i/>
          <w:iCs/>
          <w:lang w:val="ro-RO"/>
        </w:rPr>
        <w:t xml:space="preserve"> cu venitul impozabil, </w:t>
      </w:r>
      <w:r w:rsidR="005030D8" w:rsidRPr="00834B27">
        <w:rPr>
          <w:rFonts w:ascii="Calibri" w:hAnsi="Calibri" w:cs="Calibri"/>
          <w:i/>
          <w:iCs/>
          <w:lang w:val="ro-RO"/>
        </w:rPr>
        <w:t>fără</w:t>
      </w:r>
      <w:r w:rsidR="00E5799A" w:rsidRPr="00834B27">
        <w:rPr>
          <w:rFonts w:ascii="Calibri" w:hAnsi="Calibri" w:cs="Calibri"/>
          <w:i/>
          <w:iCs/>
          <w:lang w:val="ro-RO"/>
        </w:rPr>
        <w:t xml:space="preserve"> a </w:t>
      </w:r>
      <w:r w:rsidR="005030D8" w:rsidRPr="00834B27">
        <w:rPr>
          <w:rFonts w:ascii="Calibri" w:hAnsi="Calibri" w:cs="Calibri"/>
          <w:i/>
          <w:iCs/>
          <w:lang w:val="ro-RO"/>
        </w:rPr>
        <w:t>depăși</w:t>
      </w:r>
      <w:r w:rsidR="00E5799A" w:rsidRPr="00834B27">
        <w:rPr>
          <w:rFonts w:ascii="Calibri" w:hAnsi="Calibri" w:cs="Calibri"/>
          <w:i/>
          <w:iCs/>
          <w:lang w:val="ro-RO"/>
        </w:rPr>
        <w:t xml:space="preserve"> 60SM (</w:t>
      </w:r>
      <w:r w:rsidR="005030D8" w:rsidRPr="00834B27">
        <w:rPr>
          <w:rFonts w:ascii="Calibri" w:hAnsi="Calibri" w:cs="Calibri"/>
          <w:i/>
          <w:iCs/>
          <w:lang w:val="ro-RO"/>
        </w:rPr>
        <w:t>deși</w:t>
      </w:r>
      <w:r w:rsidR="00E5799A" w:rsidRPr="00834B27">
        <w:rPr>
          <w:rFonts w:ascii="Calibri" w:hAnsi="Calibri" w:cs="Calibri"/>
          <w:i/>
          <w:iCs/>
          <w:lang w:val="ro-RO"/>
        </w:rPr>
        <w:t xml:space="preserve"> </w:t>
      </w:r>
      <w:r w:rsidR="00213A33" w:rsidRPr="00834B27">
        <w:rPr>
          <w:rFonts w:ascii="Calibri" w:hAnsi="Calibri" w:cs="Calibri"/>
          <w:i/>
          <w:iCs/>
          <w:lang w:val="ro-RO"/>
        </w:rPr>
        <w:t xml:space="preserve">propunerea </w:t>
      </w:r>
      <w:r w:rsidR="005030D8" w:rsidRPr="00834B27">
        <w:rPr>
          <w:rFonts w:ascii="Calibri" w:hAnsi="Calibri" w:cs="Calibri"/>
          <w:i/>
          <w:iCs/>
          <w:lang w:val="ro-RO"/>
        </w:rPr>
        <w:t>ini</w:t>
      </w:r>
      <w:r w:rsidR="00D77C4B" w:rsidRPr="00834B27">
        <w:rPr>
          <w:rFonts w:ascii="Calibri" w:hAnsi="Calibri" w:cs="Calibri"/>
          <w:i/>
          <w:iCs/>
          <w:lang w:val="ro-RO"/>
        </w:rPr>
        <w:t>ț</w:t>
      </w:r>
      <w:r w:rsidR="005030D8" w:rsidRPr="00834B27">
        <w:rPr>
          <w:rFonts w:ascii="Calibri" w:hAnsi="Calibri" w:cs="Calibri"/>
          <w:i/>
          <w:iCs/>
          <w:lang w:val="ro-RO"/>
        </w:rPr>
        <w:t>ială</w:t>
      </w:r>
      <w:r w:rsidR="00213A33" w:rsidRPr="00834B27">
        <w:rPr>
          <w:rFonts w:ascii="Calibri" w:hAnsi="Calibri" w:cs="Calibri"/>
          <w:i/>
          <w:iCs/>
          <w:lang w:val="ro-RO"/>
        </w:rPr>
        <w:t xml:space="preserve"> era s</w:t>
      </w:r>
      <w:r w:rsidR="005030D8" w:rsidRPr="00834B27">
        <w:rPr>
          <w:rFonts w:ascii="Calibri" w:hAnsi="Calibri" w:cs="Calibri"/>
          <w:i/>
          <w:iCs/>
          <w:lang w:val="ro-RO"/>
        </w:rPr>
        <w:t>ă</w:t>
      </w:r>
      <w:r w:rsidR="00213A33" w:rsidRPr="00834B27">
        <w:rPr>
          <w:rFonts w:ascii="Calibri" w:hAnsi="Calibri" w:cs="Calibri"/>
          <w:i/>
          <w:iCs/>
          <w:lang w:val="ro-RO"/>
        </w:rPr>
        <w:t xml:space="preserve"> nu existe plafonare, la fel ca salarii).</w:t>
      </w:r>
    </w:p>
    <w:p w14:paraId="53007B6D" w14:textId="7D97E175" w:rsidR="00213A33" w:rsidRPr="00834B27" w:rsidRDefault="00213A33" w:rsidP="00B91E74">
      <w:pPr>
        <w:spacing w:line="276" w:lineRule="auto"/>
        <w:jc w:val="both"/>
        <w:rPr>
          <w:rFonts w:ascii="Calibri" w:hAnsi="Calibri" w:cs="Calibri"/>
          <w:i/>
          <w:iCs/>
          <w:lang w:val="ro-RO"/>
        </w:rPr>
      </w:pPr>
      <w:r w:rsidRPr="00834B27">
        <w:rPr>
          <w:rFonts w:ascii="Calibri" w:hAnsi="Calibri" w:cs="Calibri"/>
          <w:i/>
          <w:iCs/>
          <w:lang w:val="ro-RO"/>
        </w:rPr>
        <w:t>Din 2026</w:t>
      </w:r>
      <w:r w:rsidR="00345082" w:rsidRPr="00834B27">
        <w:rPr>
          <w:rFonts w:ascii="Calibri" w:hAnsi="Calibri" w:cs="Calibri"/>
          <w:i/>
          <w:iCs/>
          <w:lang w:val="ro-RO"/>
        </w:rPr>
        <w:t xml:space="preserve">, plafonul </w:t>
      </w:r>
      <w:r w:rsidR="00D71399" w:rsidRPr="00834B27">
        <w:rPr>
          <w:rFonts w:ascii="Calibri" w:hAnsi="Calibri" w:cs="Calibri"/>
          <w:i/>
          <w:iCs/>
          <w:lang w:val="ro-RO"/>
        </w:rPr>
        <w:t>este</w:t>
      </w:r>
      <w:r w:rsidR="00345082" w:rsidRPr="00834B27">
        <w:rPr>
          <w:rFonts w:ascii="Calibri" w:hAnsi="Calibri" w:cs="Calibri"/>
          <w:i/>
          <w:iCs/>
          <w:lang w:val="ro-RO"/>
        </w:rPr>
        <w:t xml:space="preserve"> ridicat la 72 SM (</w:t>
      </w:r>
      <w:r w:rsidR="005030D8" w:rsidRPr="00834B27">
        <w:rPr>
          <w:rFonts w:ascii="Calibri" w:hAnsi="Calibri" w:cs="Calibri"/>
          <w:i/>
          <w:iCs/>
          <w:lang w:val="ro-RO"/>
        </w:rPr>
        <w:t>deși</w:t>
      </w:r>
      <w:r w:rsidR="00345082" w:rsidRPr="00834B27">
        <w:rPr>
          <w:rFonts w:ascii="Calibri" w:hAnsi="Calibri" w:cs="Calibri"/>
          <w:i/>
          <w:iCs/>
          <w:lang w:val="ro-RO"/>
        </w:rPr>
        <w:t xml:space="preserve"> </w:t>
      </w:r>
      <w:r w:rsidR="00E128A2" w:rsidRPr="00834B27">
        <w:rPr>
          <w:rFonts w:ascii="Calibri" w:hAnsi="Calibri" w:cs="Calibri"/>
          <w:i/>
          <w:iCs/>
          <w:lang w:val="ro-RO"/>
        </w:rPr>
        <w:t xml:space="preserve">pragul propus a fost </w:t>
      </w:r>
      <w:r w:rsidR="005030D8" w:rsidRPr="00834B27">
        <w:rPr>
          <w:rFonts w:ascii="Calibri" w:hAnsi="Calibri" w:cs="Calibri"/>
          <w:i/>
          <w:iCs/>
          <w:lang w:val="ro-RO"/>
        </w:rPr>
        <w:t>ini</w:t>
      </w:r>
      <w:r w:rsidR="00D77C4B" w:rsidRPr="00834B27">
        <w:rPr>
          <w:rFonts w:ascii="Calibri" w:hAnsi="Calibri" w:cs="Calibri"/>
          <w:i/>
          <w:iCs/>
          <w:lang w:val="ro-RO"/>
        </w:rPr>
        <w:t>ț</w:t>
      </w:r>
      <w:r w:rsidR="005030D8" w:rsidRPr="00834B27">
        <w:rPr>
          <w:rFonts w:ascii="Calibri" w:hAnsi="Calibri" w:cs="Calibri"/>
          <w:i/>
          <w:iCs/>
          <w:lang w:val="ro-RO"/>
        </w:rPr>
        <w:t>ial</w:t>
      </w:r>
      <w:r w:rsidR="00F407AC" w:rsidRPr="00834B27">
        <w:rPr>
          <w:rFonts w:ascii="Calibri" w:hAnsi="Calibri" w:cs="Calibri"/>
          <w:i/>
          <w:iCs/>
          <w:lang w:val="ro-RO"/>
        </w:rPr>
        <w:t xml:space="preserve"> de </w:t>
      </w:r>
      <w:r w:rsidR="00E128A2" w:rsidRPr="00834B27">
        <w:rPr>
          <w:rFonts w:ascii="Calibri" w:hAnsi="Calibri" w:cs="Calibri"/>
          <w:i/>
          <w:iCs/>
          <w:lang w:val="ro-RO"/>
        </w:rPr>
        <w:t>90 SM).</w:t>
      </w:r>
    </w:p>
    <w:p w14:paraId="26859890" w14:textId="64D0CA95" w:rsidR="005E3FFC" w:rsidRPr="00834B27" w:rsidRDefault="005E3FFC" w:rsidP="00B91E74">
      <w:pPr>
        <w:spacing w:line="276" w:lineRule="auto"/>
        <w:jc w:val="both"/>
        <w:rPr>
          <w:rFonts w:ascii="Calibri" w:hAnsi="Calibri" w:cs="Calibri"/>
          <w:i/>
          <w:iCs/>
          <w:lang w:val="ro-RO"/>
        </w:rPr>
      </w:pPr>
      <w:r w:rsidRPr="00834B27">
        <w:rPr>
          <w:rFonts w:ascii="Calibri" w:hAnsi="Calibri" w:cs="Calibri"/>
          <w:i/>
          <w:iCs/>
          <w:lang w:val="ro-RO"/>
        </w:rPr>
        <w:t>Rezultatul net al acestor modificări succesive este că baza de calcul a CASS pentru veniturile din activități independente s-a schimbat de 5 ori în 8 ani (2018–2026), făcând practic imposibilă orice planificare financiară pe termen mediu și erodând încrederea contribuabililor în stabilitatea cadrului fiscal.</w:t>
      </w:r>
    </w:p>
    <w:p w14:paraId="297214AF" w14:textId="77777777" w:rsidR="00124269" w:rsidRPr="00834B27" w:rsidRDefault="00124269" w:rsidP="00B91E74">
      <w:pPr>
        <w:spacing w:line="276" w:lineRule="auto"/>
        <w:jc w:val="both"/>
        <w:rPr>
          <w:rFonts w:ascii="Calibri" w:hAnsi="Calibri" w:cs="Calibri"/>
          <w:lang w:val="ro-RO"/>
        </w:rPr>
      </w:pPr>
    </w:p>
    <w:p w14:paraId="3150B5C4" w14:textId="135CE860" w:rsidR="008C4E3B" w:rsidRPr="00834B27" w:rsidRDefault="00B70569" w:rsidP="009F2FDA">
      <w:pPr>
        <w:pStyle w:val="Listparagraf"/>
        <w:numPr>
          <w:ilvl w:val="1"/>
          <w:numId w:val="5"/>
        </w:numPr>
        <w:spacing w:line="276" w:lineRule="auto"/>
        <w:ind w:left="720" w:hanging="720"/>
        <w:contextualSpacing w:val="0"/>
        <w:jc w:val="both"/>
        <w:outlineLvl w:val="1"/>
        <w:rPr>
          <w:rFonts w:ascii="Calibri" w:hAnsi="Calibri" w:cs="Calibri"/>
          <w:b/>
          <w:bCs/>
          <w:lang w:val="ro-RO"/>
        </w:rPr>
      </w:pPr>
      <w:bookmarkStart w:id="4" w:name="_Toc223643873"/>
      <w:r w:rsidRPr="00834B27">
        <w:rPr>
          <w:rFonts w:ascii="Calibri" w:hAnsi="Calibri" w:cs="Calibri"/>
          <w:b/>
          <w:bCs/>
          <w:lang w:val="ro-RO"/>
        </w:rPr>
        <w:t xml:space="preserve">Venituri din </w:t>
      </w:r>
      <w:r w:rsidR="007C2E9B" w:rsidRPr="00834B27">
        <w:rPr>
          <w:rFonts w:ascii="Calibri" w:hAnsi="Calibri" w:cs="Calibri"/>
          <w:b/>
          <w:bCs/>
          <w:lang w:val="ro-RO"/>
        </w:rPr>
        <w:t>drepturi de proprietate intelectual</w:t>
      </w:r>
      <w:r w:rsidR="008C4E3B" w:rsidRPr="00834B27">
        <w:rPr>
          <w:rFonts w:ascii="Calibri" w:hAnsi="Calibri" w:cs="Calibri"/>
          <w:b/>
          <w:bCs/>
          <w:lang w:val="ro-RO"/>
        </w:rPr>
        <w:t>ă</w:t>
      </w:r>
      <w:bookmarkEnd w:id="4"/>
    </w:p>
    <w:p w14:paraId="02A982B6" w14:textId="5C82C9DC" w:rsidR="006A50DB" w:rsidRPr="00834B27" w:rsidRDefault="006A50DB" w:rsidP="00B91E74">
      <w:pPr>
        <w:pStyle w:val="Listparagraf"/>
        <w:numPr>
          <w:ilvl w:val="2"/>
          <w:numId w:val="25"/>
        </w:numPr>
        <w:spacing w:line="276" w:lineRule="auto"/>
        <w:contextualSpacing w:val="0"/>
        <w:jc w:val="both"/>
        <w:rPr>
          <w:rFonts w:ascii="Calibri" w:hAnsi="Calibri" w:cs="Calibri"/>
          <w:b/>
          <w:bCs/>
          <w:lang w:val="ro-RO"/>
        </w:rPr>
      </w:pPr>
      <w:r w:rsidRPr="00834B27">
        <w:rPr>
          <w:rFonts w:ascii="Calibri" w:hAnsi="Calibri" w:cs="Calibri"/>
          <w:b/>
          <w:bCs/>
          <w:lang w:val="ro-RO"/>
        </w:rPr>
        <w:t>IV</w:t>
      </w:r>
    </w:p>
    <w:p w14:paraId="02CC700C" w14:textId="345495A8" w:rsidR="006A50DB" w:rsidRPr="00834B27" w:rsidRDefault="006A50DB" w:rsidP="00B91E74">
      <w:pPr>
        <w:spacing w:line="276" w:lineRule="auto"/>
        <w:jc w:val="both"/>
        <w:rPr>
          <w:rFonts w:ascii="Calibri" w:hAnsi="Calibri" w:cs="Calibri"/>
          <w:lang w:val="ro-RO"/>
        </w:rPr>
      </w:pPr>
      <w:r w:rsidRPr="00834B27">
        <w:rPr>
          <w:rFonts w:ascii="Calibri" w:hAnsi="Calibri" w:cs="Calibri"/>
          <w:b/>
          <w:bCs/>
          <w:u w:val="single"/>
          <w:lang w:val="ro-RO"/>
        </w:rPr>
        <w:t>Cota de IV</w:t>
      </w:r>
      <w:r w:rsidR="007908A2" w:rsidRPr="00834B27">
        <w:rPr>
          <w:rFonts w:ascii="Calibri" w:hAnsi="Calibri" w:cs="Calibri"/>
          <w:b/>
          <w:bCs/>
          <w:u w:val="single"/>
          <w:lang w:val="ro-RO"/>
        </w:rPr>
        <w:t>:</w:t>
      </w:r>
      <w:r w:rsidR="007908A2" w:rsidRPr="00834B27">
        <w:rPr>
          <w:rFonts w:ascii="Calibri" w:hAnsi="Calibri" w:cs="Calibri"/>
          <w:lang w:val="ro-RO"/>
        </w:rPr>
        <w:t xml:space="preserve"> 10%;</w:t>
      </w:r>
    </w:p>
    <w:p w14:paraId="0D37373E" w14:textId="4E7DCA7A" w:rsidR="007908A2" w:rsidRPr="00834B27" w:rsidRDefault="007908A2" w:rsidP="00B91E74">
      <w:pPr>
        <w:spacing w:line="276" w:lineRule="auto"/>
        <w:jc w:val="both"/>
        <w:rPr>
          <w:rFonts w:ascii="Calibri" w:hAnsi="Calibri" w:cs="Calibri"/>
          <w:lang w:val="ro-RO"/>
        </w:rPr>
      </w:pPr>
      <w:r w:rsidRPr="00834B27">
        <w:rPr>
          <w:rFonts w:ascii="Calibri" w:hAnsi="Calibri" w:cs="Calibri"/>
          <w:b/>
          <w:bCs/>
          <w:u w:val="single"/>
          <w:lang w:val="ro-RO"/>
        </w:rPr>
        <w:t>Baza de calcul:</w:t>
      </w:r>
      <w:r w:rsidRPr="00834B27">
        <w:rPr>
          <w:rFonts w:ascii="Calibri" w:hAnsi="Calibri" w:cs="Calibri"/>
          <w:lang w:val="ro-RO"/>
        </w:rPr>
        <w:t xml:space="preserve"> venitul brut minus o deducere </w:t>
      </w:r>
      <w:r w:rsidR="00631BB4" w:rsidRPr="00834B27">
        <w:rPr>
          <w:rFonts w:ascii="Calibri" w:hAnsi="Calibri" w:cs="Calibri"/>
          <w:lang w:val="ro-RO"/>
        </w:rPr>
        <w:t>de 40%;</w:t>
      </w:r>
    </w:p>
    <w:p w14:paraId="144D536F" w14:textId="77777777" w:rsidR="00CF5DB7" w:rsidRPr="00834B27" w:rsidRDefault="00631BB4" w:rsidP="00B91E74">
      <w:pPr>
        <w:spacing w:line="276" w:lineRule="auto"/>
        <w:jc w:val="both"/>
        <w:rPr>
          <w:rFonts w:ascii="Calibri" w:hAnsi="Calibri" w:cs="Calibri"/>
          <w:b/>
          <w:bCs/>
          <w:u w:val="single"/>
          <w:lang w:val="ro-RO"/>
        </w:rPr>
      </w:pPr>
      <w:r w:rsidRPr="00834B27">
        <w:rPr>
          <w:rFonts w:ascii="Calibri" w:hAnsi="Calibri" w:cs="Calibri"/>
          <w:b/>
          <w:bCs/>
          <w:u w:val="single"/>
          <w:lang w:val="ro-RO"/>
        </w:rPr>
        <w:t xml:space="preserve">Plata: </w:t>
      </w:r>
    </w:p>
    <w:p w14:paraId="5C2AFCD6" w14:textId="0F4F9C2C" w:rsidR="00631BB4" w:rsidRPr="00834B27" w:rsidRDefault="00CF5DB7" w:rsidP="00B91E74">
      <w:pPr>
        <w:pStyle w:val="Listparagraf"/>
        <w:numPr>
          <w:ilvl w:val="0"/>
          <w:numId w:val="1"/>
        </w:numPr>
        <w:spacing w:line="276" w:lineRule="auto"/>
        <w:ind w:left="360"/>
        <w:contextualSpacing w:val="0"/>
        <w:jc w:val="both"/>
        <w:rPr>
          <w:rFonts w:ascii="Calibri" w:hAnsi="Calibri" w:cs="Calibri"/>
          <w:lang w:val="ro-RO"/>
        </w:rPr>
      </w:pPr>
      <w:r w:rsidRPr="00834B27">
        <w:rPr>
          <w:rFonts w:ascii="Calibri" w:hAnsi="Calibri" w:cs="Calibri"/>
          <w:lang w:val="ro-RO"/>
        </w:rPr>
        <w:t xml:space="preserve">prin </w:t>
      </w:r>
      <w:r w:rsidR="008C4E3B" w:rsidRPr="00834B27">
        <w:rPr>
          <w:rFonts w:ascii="Calibri" w:hAnsi="Calibri" w:cs="Calibri"/>
          <w:lang w:val="ro-RO"/>
        </w:rPr>
        <w:t>re</w:t>
      </w:r>
      <w:r w:rsidR="00D77C4B" w:rsidRPr="00834B27">
        <w:rPr>
          <w:rFonts w:ascii="Calibri" w:hAnsi="Calibri" w:cs="Calibri"/>
          <w:lang w:val="ro-RO"/>
        </w:rPr>
        <w:t>ț</w:t>
      </w:r>
      <w:r w:rsidR="008C4E3B" w:rsidRPr="00834B27">
        <w:rPr>
          <w:rFonts w:ascii="Calibri" w:hAnsi="Calibri" w:cs="Calibri"/>
          <w:lang w:val="ro-RO"/>
        </w:rPr>
        <w:t>inere</w:t>
      </w:r>
      <w:r w:rsidRPr="00834B27">
        <w:rPr>
          <w:rFonts w:ascii="Calibri" w:hAnsi="Calibri" w:cs="Calibri"/>
          <w:lang w:val="ro-RO"/>
        </w:rPr>
        <w:t xml:space="preserve"> la surs</w:t>
      </w:r>
      <w:r w:rsidR="003B19D4" w:rsidRPr="00834B27">
        <w:rPr>
          <w:rFonts w:ascii="Calibri" w:hAnsi="Calibri" w:cs="Calibri"/>
          <w:lang w:val="ro-RO"/>
        </w:rPr>
        <w:t>ă</w:t>
      </w:r>
      <w:r w:rsidRPr="00834B27">
        <w:rPr>
          <w:rFonts w:ascii="Calibri" w:hAnsi="Calibri" w:cs="Calibri"/>
          <w:lang w:val="ro-RO"/>
        </w:rPr>
        <w:t xml:space="preserve">, de </w:t>
      </w:r>
      <w:r w:rsidR="008C4E3B" w:rsidRPr="00834B27">
        <w:rPr>
          <w:rFonts w:ascii="Calibri" w:hAnsi="Calibri" w:cs="Calibri"/>
          <w:lang w:val="ro-RO"/>
        </w:rPr>
        <w:t>către</w:t>
      </w:r>
      <w:r w:rsidRPr="00834B27">
        <w:rPr>
          <w:rFonts w:ascii="Calibri" w:hAnsi="Calibri" w:cs="Calibri"/>
          <w:lang w:val="ro-RO"/>
        </w:rPr>
        <w:t xml:space="preserve"> </w:t>
      </w:r>
      <w:r w:rsidR="008C4E3B" w:rsidRPr="00834B27">
        <w:rPr>
          <w:rFonts w:ascii="Calibri" w:hAnsi="Calibri" w:cs="Calibri"/>
          <w:lang w:val="ro-RO"/>
        </w:rPr>
        <w:t>plătitorul</w:t>
      </w:r>
      <w:r w:rsidRPr="00834B27">
        <w:rPr>
          <w:rFonts w:ascii="Calibri" w:hAnsi="Calibri" w:cs="Calibri"/>
          <w:lang w:val="ro-RO"/>
        </w:rPr>
        <w:t xml:space="preserve"> de venit </w:t>
      </w:r>
      <w:r w:rsidR="008C4E3B" w:rsidRPr="00834B27">
        <w:rPr>
          <w:rFonts w:ascii="Calibri" w:hAnsi="Calibri" w:cs="Calibri"/>
          <w:lang w:val="ro-RO"/>
        </w:rPr>
        <w:t>ș</w:t>
      </w:r>
      <w:r w:rsidRPr="00834B27">
        <w:rPr>
          <w:rFonts w:ascii="Calibri" w:hAnsi="Calibri" w:cs="Calibri"/>
          <w:lang w:val="ro-RO"/>
        </w:rPr>
        <w:t xml:space="preserve">i plata </w:t>
      </w:r>
      <w:r w:rsidR="00F12227" w:rsidRPr="00834B27">
        <w:rPr>
          <w:rFonts w:ascii="Calibri" w:hAnsi="Calibri" w:cs="Calibri"/>
          <w:lang w:val="ro-RO"/>
        </w:rPr>
        <w:t xml:space="preserve">la buget </w:t>
      </w:r>
      <w:r w:rsidRPr="00834B27">
        <w:rPr>
          <w:rFonts w:ascii="Calibri" w:hAnsi="Calibri" w:cs="Calibri"/>
          <w:lang w:val="ro-RO"/>
        </w:rPr>
        <w:t>lunar</w:t>
      </w:r>
      <w:r w:rsidR="008C4E3B" w:rsidRPr="00834B27">
        <w:rPr>
          <w:rFonts w:ascii="Calibri" w:hAnsi="Calibri" w:cs="Calibri"/>
          <w:lang w:val="ro-RO"/>
        </w:rPr>
        <w:t>ă</w:t>
      </w:r>
      <w:r w:rsidRPr="00834B27">
        <w:rPr>
          <w:rFonts w:ascii="Calibri" w:hAnsi="Calibri" w:cs="Calibri"/>
          <w:lang w:val="ro-RO"/>
        </w:rPr>
        <w:t>, p</w:t>
      </w:r>
      <w:r w:rsidR="008C4E3B" w:rsidRPr="00834B27">
        <w:rPr>
          <w:rFonts w:ascii="Calibri" w:hAnsi="Calibri" w:cs="Calibri"/>
          <w:lang w:val="ro-RO"/>
        </w:rPr>
        <w:t>â</w:t>
      </w:r>
      <w:r w:rsidRPr="00834B27">
        <w:rPr>
          <w:rFonts w:ascii="Calibri" w:hAnsi="Calibri" w:cs="Calibri"/>
          <w:lang w:val="ro-RO"/>
        </w:rPr>
        <w:t>n</w:t>
      </w:r>
      <w:r w:rsidR="008C4E3B" w:rsidRPr="00834B27">
        <w:rPr>
          <w:rFonts w:ascii="Calibri" w:hAnsi="Calibri" w:cs="Calibri"/>
          <w:lang w:val="ro-RO"/>
        </w:rPr>
        <w:t>ă</w:t>
      </w:r>
      <w:r w:rsidRPr="00834B27">
        <w:rPr>
          <w:rFonts w:ascii="Calibri" w:hAnsi="Calibri" w:cs="Calibri"/>
          <w:lang w:val="ro-RO"/>
        </w:rPr>
        <w:t xml:space="preserve"> </w:t>
      </w:r>
      <w:r w:rsidR="00F12227" w:rsidRPr="00834B27">
        <w:rPr>
          <w:rFonts w:ascii="Calibri" w:hAnsi="Calibri" w:cs="Calibri"/>
          <w:lang w:val="ro-RO"/>
        </w:rPr>
        <w:t xml:space="preserve">cel </w:t>
      </w:r>
      <w:r w:rsidR="008C4E3B" w:rsidRPr="00834B27">
        <w:rPr>
          <w:rFonts w:ascii="Calibri" w:hAnsi="Calibri" w:cs="Calibri"/>
          <w:lang w:val="ro-RO"/>
        </w:rPr>
        <w:t>târziu</w:t>
      </w:r>
      <w:r w:rsidR="00F12227" w:rsidRPr="00834B27">
        <w:rPr>
          <w:rFonts w:ascii="Calibri" w:hAnsi="Calibri" w:cs="Calibri"/>
          <w:lang w:val="ro-RO"/>
        </w:rPr>
        <w:t xml:space="preserve"> data de 25 a lunii </w:t>
      </w:r>
      <w:r w:rsidR="008C4E3B" w:rsidRPr="00834B27">
        <w:rPr>
          <w:rFonts w:ascii="Calibri" w:hAnsi="Calibri" w:cs="Calibri"/>
          <w:lang w:val="ro-RO"/>
        </w:rPr>
        <w:t>următoare</w:t>
      </w:r>
      <w:r w:rsidR="00F12227" w:rsidRPr="00834B27">
        <w:rPr>
          <w:rFonts w:ascii="Calibri" w:hAnsi="Calibri" w:cs="Calibri"/>
          <w:lang w:val="ro-RO"/>
        </w:rPr>
        <w:t>, sau</w:t>
      </w:r>
    </w:p>
    <w:p w14:paraId="5FB4C999" w14:textId="2B1F5E06" w:rsidR="00F12227" w:rsidRPr="00834B27" w:rsidRDefault="0034212F" w:rsidP="00B91E74">
      <w:pPr>
        <w:pStyle w:val="Listparagraf"/>
        <w:numPr>
          <w:ilvl w:val="0"/>
          <w:numId w:val="1"/>
        </w:numPr>
        <w:spacing w:line="276" w:lineRule="auto"/>
        <w:ind w:left="360"/>
        <w:contextualSpacing w:val="0"/>
        <w:jc w:val="both"/>
        <w:rPr>
          <w:rFonts w:ascii="Calibri" w:hAnsi="Calibri" w:cs="Calibri"/>
          <w:lang w:val="ro-RO"/>
        </w:rPr>
      </w:pPr>
      <w:r w:rsidRPr="00834B27">
        <w:rPr>
          <w:rFonts w:ascii="Calibri" w:hAnsi="Calibri" w:cs="Calibri"/>
          <w:lang w:val="ro-RO"/>
        </w:rPr>
        <w:t>anual, p</w:t>
      </w:r>
      <w:r w:rsidR="008C4E3B" w:rsidRPr="00834B27">
        <w:rPr>
          <w:rFonts w:ascii="Calibri" w:hAnsi="Calibri" w:cs="Calibri"/>
          <w:lang w:val="ro-RO"/>
        </w:rPr>
        <w:t>â</w:t>
      </w:r>
      <w:r w:rsidRPr="00834B27">
        <w:rPr>
          <w:rFonts w:ascii="Calibri" w:hAnsi="Calibri" w:cs="Calibri"/>
          <w:lang w:val="ro-RO"/>
        </w:rPr>
        <w:t>n</w:t>
      </w:r>
      <w:r w:rsidR="008C4E3B" w:rsidRPr="00834B27">
        <w:rPr>
          <w:rFonts w:ascii="Calibri" w:hAnsi="Calibri" w:cs="Calibri"/>
          <w:lang w:val="ro-RO"/>
        </w:rPr>
        <w:t>ă</w:t>
      </w:r>
      <w:r w:rsidRPr="00834B27">
        <w:rPr>
          <w:rFonts w:ascii="Calibri" w:hAnsi="Calibri" w:cs="Calibri"/>
          <w:lang w:val="ro-RO"/>
        </w:rPr>
        <w:t xml:space="preserve"> la termenul de depunere al D212</w:t>
      </w:r>
      <w:r w:rsidR="00692789" w:rsidRPr="00834B27">
        <w:rPr>
          <w:rFonts w:ascii="Calibri" w:hAnsi="Calibri" w:cs="Calibri"/>
          <w:lang w:val="ro-RO"/>
        </w:rPr>
        <w:t>.</w:t>
      </w:r>
    </w:p>
    <w:p w14:paraId="1EB8A952" w14:textId="77777777" w:rsidR="008C4E3B" w:rsidRPr="00834B27" w:rsidRDefault="008C4E3B" w:rsidP="00B91E74">
      <w:pPr>
        <w:pStyle w:val="Listparagraf"/>
        <w:spacing w:line="276" w:lineRule="auto"/>
        <w:contextualSpacing w:val="0"/>
        <w:jc w:val="both"/>
        <w:rPr>
          <w:rFonts w:ascii="Calibri" w:hAnsi="Calibri" w:cs="Calibri"/>
          <w:lang w:val="ro-RO"/>
        </w:rPr>
      </w:pPr>
    </w:p>
    <w:p w14:paraId="313B4616" w14:textId="4150BC9A" w:rsidR="00692789" w:rsidRPr="00834B27" w:rsidRDefault="00692789" w:rsidP="00B91E74">
      <w:pPr>
        <w:spacing w:line="276" w:lineRule="auto"/>
        <w:jc w:val="both"/>
        <w:rPr>
          <w:rFonts w:ascii="Calibri" w:hAnsi="Calibri" w:cs="Calibri"/>
          <w:b/>
          <w:bCs/>
          <w:i/>
          <w:iCs/>
          <w:lang w:val="ro-RO"/>
        </w:rPr>
      </w:pPr>
      <w:r w:rsidRPr="00834B27">
        <w:rPr>
          <w:rFonts w:ascii="Calibri" w:hAnsi="Calibri" w:cs="Calibri"/>
          <w:b/>
          <w:bCs/>
          <w:i/>
          <w:iCs/>
          <w:lang w:val="ro-RO"/>
        </w:rPr>
        <w:t>Scurt istoric</w:t>
      </w:r>
    </w:p>
    <w:p w14:paraId="70C42626" w14:textId="12D3545A" w:rsidR="00692789" w:rsidRPr="00834B27" w:rsidRDefault="00692789" w:rsidP="00B91E74">
      <w:pPr>
        <w:spacing w:line="276" w:lineRule="auto"/>
        <w:jc w:val="both"/>
        <w:rPr>
          <w:rFonts w:ascii="Calibri" w:hAnsi="Calibri" w:cs="Calibri"/>
          <w:i/>
          <w:iCs/>
          <w:lang w:val="ro-RO"/>
        </w:rPr>
      </w:pPr>
      <w:r w:rsidRPr="00834B27">
        <w:rPr>
          <w:rFonts w:ascii="Calibri" w:hAnsi="Calibri" w:cs="Calibri"/>
          <w:i/>
          <w:iCs/>
          <w:lang w:val="ro-RO"/>
        </w:rPr>
        <w:t>P</w:t>
      </w:r>
      <w:r w:rsidR="008C4E3B" w:rsidRPr="00834B27">
        <w:rPr>
          <w:rFonts w:ascii="Calibri" w:hAnsi="Calibri" w:cs="Calibri"/>
          <w:i/>
          <w:iCs/>
          <w:lang w:val="ro-RO"/>
        </w:rPr>
        <w:t>â</w:t>
      </w:r>
      <w:r w:rsidRPr="00834B27">
        <w:rPr>
          <w:rFonts w:ascii="Calibri" w:hAnsi="Calibri" w:cs="Calibri"/>
          <w:i/>
          <w:iCs/>
          <w:lang w:val="ro-RO"/>
        </w:rPr>
        <w:t>n</w:t>
      </w:r>
      <w:r w:rsidR="008C4E3B" w:rsidRPr="00834B27">
        <w:rPr>
          <w:rFonts w:ascii="Calibri" w:hAnsi="Calibri" w:cs="Calibri"/>
          <w:i/>
          <w:iCs/>
          <w:lang w:val="ro-RO"/>
        </w:rPr>
        <w:t>ă</w:t>
      </w:r>
      <w:r w:rsidRPr="00834B27">
        <w:rPr>
          <w:rFonts w:ascii="Calibri" w:hAnsi="Calibri" w:cs="Calibri"/>
          <w:i/>
          <w:iCs/>
          <w:lang w:val="ro-RO"/>
        </w:rPr>
        <w:t xml:space="preserve"> </w:t>
      </w:r>
      <w:r w:rsidR="008C4E3B" w:rsidRPr="00834B27">
        <w:rPr>
          <w:rFonts w:ascii="Calibri" w:hAnsi="Calibri" w:cs="Calibri"/>
          <w:i/>
          <w:iCs/>
          <w:lang w:val="ro-RO"/>
        </w:rPr>
        <w:t>î</w:t>
      </w:r>
      <w:r w:rsidRPr="00834B27">
        <w:rPr>
          <w:rFonts w:ascii="Calibri" w:hAnsi="Calibri" w:cs="Calibri"/>
          <w:i/>
          <w:iCs/>
          <w:lang w:val="ro-RO"/>
        </w:rPr>
        <w:t>n anul 2017, veniturile din drepturi de proprietate intelectual</w:t>
      </w:r>
      <w:r w:rsidR="008C4E3B" w:rsidRPr="00834B27">
        <w:rPr>
          <w:rFonts w:ascii="Calibri" w:hAnsi="Calibri" w:cs="Calibri"/>
          <w:i/>
          <w:iCs/>
          <w:lang w:val="ro-RO"/>
        </w:rPr>
        <w:t>ă</w:t>
      </w:r>
      <w:r w:rsidRPr="00834B27">
        <w:rPr>
          <w:rFonts w:ascii="Calibri" w:hAnsi="Calibri" w:cs="Calibri"/>
          <w:i/>
          <w:iCs/>
          <w:lang w:val="ro-RO"/>
        </w:rPr>
        <w:t xml:space="preserve"> au fost incluse </w:t>
      </w:r>
      <w:r w:rsidR="008C4E3B" w:rsidRPr="00834B27">
        <w:rPr>
          <w:rFonts w:ascii="Calibri" w:hAnsi="Calibri" w:cs="Calibri"/>
          <w:i/>
          <w:iCs/>
          <w:lang w:val="ro-RO"/>
        </w:rPr>
        <w:t>î</w:t>
      </w:r>
      <w:r w:rsidRPr="00834B27">
        <w:rPr>
          <w:rFonts w:ascii="Calibri" w:hAnsi="Calibri" w:cs="Calibri"/>
          <w:i/>
          <w:iCs/>
          <w:lang w:val="ro-RO"/>
        </w:rPr>
        <w:t xml:space="preserve">n categoria veniturilor din </w:t>
      </w:r>
      <w:r w:rsidR="008C4E3B" w:rsidRPr="00834B27">
        <w:rPr>
          <w:rFonts w:ascii="Calibri" w:hAnsi="Calibri" w:cs="Calibri"/>
          <w:i/>
          <w:iCs/>
          <w:lang w:val="ro-RO"/>
        </w:rPr>
        <w:t>activită</w:t>
      </w:r>
      <w:r w:rsidR="00D77C4B" w:rsidRPr="00834B27">
        <w:rPr>
          <w:rFonts w:ascii="Calibri" w:hAnsi="Calibri" w:cs="Calibri"/>
          <w:i/>
          <w:iCs/>
          <w:lang w:val="ro-RO"/>
        </w:rPr>
        <w:t>ț</w:t>
      </w:r>
      <w:r w:rsidR="008C4E3B" w:rsidRPr="00834B27">
        <w:rPr>
          <w:rFonts w:ascii="Calibri" w:hAnsi="Calibri" w:cs="Calibri"/>
          <w:i/>
          <w:iCs/>
          <w:lang w:val="ro-RO"/>
        </w:rPr>
        <w:t>i</w:t>
      </w:r>
      <w:r w:rsidRPr="00834B27">
        <w:rPr>
          <w:rFonts w:ascii="Calibri" w:hAnsi="Calibri" w:cs="Calibri"/>
          <w:i/>
          <w:iCs/>
          <w:lang w:val="ro-RO"/>
        </w:rPr>
        <w:t xml:space="preserve"> independente</w:t>
      </w:r>
      <w:r w:rsidR="008D7DC6" w:rsidRPr="00834B27">
        <w:rPr>
          <w:rFonts w:ascii="Calibri" w:hAnsi="Calibri" w:cs="Calibri"/>
          <w:i/>
          <w:iCs/>
          <w:lang w:val="ro-RO"/>
        </w:rPr>
        <w:t xml:space="preserve"> </w:t>
      </w:r>
      <w:r w:rsidR="008C4E3B" w:rsidRPr="00834B27">
        <w:rPr>
          <w:rFonts w:ascii="Calibri" w:hAnsi="Calibri" w:cs="Calibri"/>
          <w:i/>
          <w:iCs/>
          <w:lang w:val="ro-RO"/>
        </w:rPr>
        <w:t>ș</w:t>
      </w:r>
      <w:r w:rsidR="008D7DC6" w:rsidRPr="00834B27">
        <w:rPr>
          <w:rFonts w:ascii="Calibri" w:hAnsi="Calibri" w:cs="Calibri"/>
          <w:i/>
          <w:iCs/>
          <w:lang w:val="ro-RO"/>
        </w:rPr>
        <w:t>i au avut un tratament fiscal similar, deduceri</w:t>
      </w:r>
      <w:r w:rsidR="008C4E3B" w:rsidRPr="00834B27">
        <w:rPr>
          <w:rFonts w:ascii="Calibri" w:hAnsi="Calibri" w:cs="Calibri"/>
          <w:i/>
          <w:iCs/>
          <w:lang w:val="ro-RO"/>
        </w:rPr>
        <w:t>le</w:t>
      </w:r>
      <w:r w:rsidR="008D7DC6" w:rsidRPr="00834B27">
        <w:rPr>
          <w:rFonts w:ascii="Calibri" w:hAnsi="Calibri" w:cs="Calibri"/>
          <w:i/>
          <w:iCs/>
          <w:lang w:val="ro-RO"/>
        </w:rPr>
        <w:t xml:space="preserve"> fiind</w:t>
      </w:r>
      <w:r w:rsidR="008C4E3B" w:rsidRPr="00834B27">
        <w:rPr>
          <w:rFonts w:ascii="Calibri" w:hAnsi="Calibri" w:cs="Calibri"/>
          <w:i/>
          <w:iCs/>
          <w:lang w:val="ro-RO"/>
        </w:rPr>
        <w:t>,</w:t>
      </w:r>
      <w:r w:rsidR="008D7DC6" w:rsidRPr="00834B27">
        <w:rPr>
          <w:rFonts w:ascii="Calibri" w:hAnsi="Calibri" w:cs="Calibri"/>
          <w:i/>
          <w:iCs/>
          <w:lang w:val="ro-RO"/>
        </w:rPr>
        <w:t xml:space="preserve"> </w:t>
      </w:r>
      <w:r w:rsidR="008C4E3B" w:rsidRPr="00834B27">
        <w:rPr>
          <w:rFonts w:ascii="Calibri" w:hAnsi="Calibri" w:cs="Calibri"/>
          <w:i/>
          <w:iCs/>
          <w:lang w:val="ro-RO"/>
        </w:rPr>
        <w:t>î</w:t>
      </w:r>
      <w:r w:rsidR="008D7DC6" w:rsidRPr="00834B27">
        <w:rPr>
          <w:rFonts w:ascii="Calibri" w:hAnsi="Calibri" w:cs="Calibri"/>
          <w:i/>
          <w:iCs/>
          <w:lang w:val="ro-RO"/>
        </w:rPr>
        <w:t>n timp</w:t>
      </w:r>
      <w:r w:rsidR="008C4E3B" w:rsidRPr="00834B27">
        <w:rPr>
          <w:rFonts w:ascii="Calibri" w:hAnsi="Calibri" w:cs="Calibri"/>
          <w:i/>
          <w:iCs/>
          <w:lang w:val="ro-RO"/>
        </w:rPr>
        <w:t>,</w:t>
      </w:r>
      <w:r w:rsidR="008D7DC6" w:rsidRPr="00834B27">
        <w:rPr>
          <w:rFonts w:ascii="Calibri" w:hAnsi="Calibri" w:cs="Calibri"/>
          <w:i/>
          <w:iCs/>
          <w:lang w:val="ro-RO"/>
        </w:rPr>
        <w:t xml:space="preserve"> </w:t>
      </w:r>
      <w:r w:rsidR="008C4E3B" w:rsidRPr="00834B27">
        <w:rPr>
          <w:rFonts w:ascii="Calibri" w:hAnsi="Calibri" w:cs="Calibri"/>
          <w:i/>
          <w:iCs/>
          <w:lang w:val="ro-RO"/>
        </w:rPr>
        <w:t>î</w:t>
      </w:r>
      <w:r w:rsidR="008D7DC6" w:rsidRPr="00834B27">
        <w:rPr>
          <w:rFonts w:ascii="Calibri" w:hAnsi="Calibri" w:cs="Calibri"/>
          <w:i/>
          <w:iCs/>
          <w:lang w:val="ro-RO"/>
        </w:rPr>
        <w:t xml:space="preserve">ntre 20% </w:t>
      </w:r>
      <w:r w:rsidR="008C4E3B" w:rsidRPr="00834B27">
        <w:rPr>
          <w:rFonts w:ascii="Calibri" w:hAnsi="Calibri" w:cs="Calibri"/>
          <w:i/>
          <w:iCs/>
          <w:lang w:val="ro-RO"/>
        </w:rPr>
        <w:t>ș</w:t>
      </w:r>
      <w:r w:rsidR="008D7DC6" w:rsidRPr="00834B27">
        <w:rPr>
          <w:rFonts w:ascii="Calibri" w:hAnsi="Calibri" w:cs="Calibri"/>
          <w:i/>
          <w:iCs/>
          <w:lang w:val="ro-RO"/>
        </w:rPr>
        <w:t>i 40%</w:t>
      </w:r>
      <w:r w:rsidR="00502EE8" w:rsidRPr="00834B27">
        <w:rPr>
          <w:rFonts w:ascii="Calibri" w:hAnsi="Calibri" w:cs="Calibri"/>
          <w:i/>
          <w:iCs/>
          <w:lang w:val="ro-RO"/>
        </w:rPr>
        <w:t xml:space="preserve">. Din 2017, probabil pentru a fi scoase din </w:t>
      </w:r>
      <w:r w:rsidR="008C4E3B" w:rsidRPr="00834B27">
        <w:rPr>
          <w:rFonts w:ascii="Calibri" w:hAnsi="Calibri" w:cs="Calibri"/>
          <w:i/>
          <w:iCs/>
          <w:lang w:val="ro-RO"/>
        </w:rPr>
        <w:t>discu</w:t>
      </w:r>
      <w:r w:rsidR="00D77C4B" w:rsidRPr="00834B27">
        <w:rPr>
          <w:rFonts w:ascii="Calibri" w:hAnsi="Calibri" w:cs="Calibri"/>
          <w:i/>
          <w:iCs/>
          <w:lang w:val="ro-RO"/>
        </w:rPr>
        <w:t>ț</w:t>
      </w:r>
      <w:r w:rsidR="008C4E3B" w:rsidRPr="00834B27">
        <w:rPr>
          <w:rFonts w:ascii="Calibri" w:hAnsi="Calibri" w:cs="Calibri"/>
          <w:i/>
          <w:iCs/>
          <w:lang w:val="ro-RO"/>
        </w:rPr>
        <w:t>iile</w:t>
      </w:r>
      <w:r w:rsidR="00502EE8" w:rsidRPr="00834B27">
        <w:rPr>
          <w:rFonts w:ascii="Calibri" w:hAnsi="Calibri" w:cs="Calibri"/>
          <w:i/>
          <w:iCs/>
          <w:lang w:val="ro-RO"/>
        </w:rPr>
        <w:t xml:space="preserve"> cu privire la retratarea </w:t>
      </w:r>
      <w:r w:rsidR="00B32B95" w:rsidRPr="00834B27">
        <w:rPr>
          <w:rFonts w:ascii="Calibri" w:hAnsi="Calibri" w:cs="Calibri"/>
          <w:i/>
          <w:iCs/>
          <w:lang w:val="ro-RO"/>
        </w:rPr>
        <w:t xml:space="preserve">de </w:t>
      </w:r>
      <w:r w:rsidR="008C4E3B" w:rsidRPr="00834B27">
        <w:rPr>
          <w:rFonts w:ascii="Calibri" w:hAnsi="Calibri" w:cs="Calibri"/>
          <w:i/>
          <w:iCs/>
          <w:lang w:val="ro-RO"/>
        </w:rPr>
        <w:t>către</w:t>
      </w:r>
      <w:r w:rsidR="00B32B95" w:rsidRPr="00834B27">
        <w:rPr>
          <w:rFonts w:ascii="Calibri" w:hAnsi="Calibri" w:cs="Calibri"/>
          <w:i/>
          <w:iCs/>
          <w:lang w:val="ro-RO"/>
        </w:rPr>
        <w:t xml:space="preserve"> ANAF a veniturilor din </w:t>
      </w:r>
      <w:r w:rsidR="008C4E3B" w:rsidRPr="00834B27">
        <w:rPr>
          <w:rFonts w:ascii="Calibri" w:hAnsi="Calibri" w:cs="Calibri"/>
          <w:i/>
          <w:iCs/>
          <w:lang w:val="ro-RO"/>
        </w:rPr>
        <w:t>activită</w:t>
      </w:r>
      <w:r w:rsidR="00D77C4B" w:rsidRPr="00834B27">
        <w:rPr>
          <w:rFonts w:ascii="Calibri" w:hAnsi="Calibri" w:cs="Calibri"/>
          <w:i/>
          <w:iCs/>
          <w:lang w:val="ro-RO"/>
        </w:rPr>
        <w:t>ț</w:t>
      </w:r>
      <w:r w:rsidR="008C4E3B" w:rsidRPr="00834B27">
        <w:rPr>
          <w:rFonts w:ascii="Calibri" w:hAnsi="Calibri" w:cs="Calibri"/>
          <w:i/>
          <w:iCs/>
          <w:lang w:val="ro-RO"/>
        </w:rPr>
        <w:t>i</w:t>
      </w:r>
      <w:r w:rsidR="00B32B95" w:rsidRPr="00834B27">
        <w:rPr>
          <w:rFonts w:ascii="Calibri" w:hAnsi="Calibri" w:cs="Calibri"/>
          <w:i/>
          <w:iCs/>
          <w:lang w:val="ro-RO"/>
        </w:rPr>
        <w:t xml:space="preserve"> independente </w:t>
      </w:r>
      <w:r w:rsidR="008C4E3B" w:rsidRPr="00834B27">
        <w:rPr>
          <w:rFonts w:ascii="Calibri" w:hAnsi="Calibri" w:cs="Calibri"/>
          <w:i/>
          <w:iCs/>
          <w:lang w:val="ro-RO"/>
        </w:rPr>
        <w:t>î</w:t>
      </w:r>
      <w:r w:rsidR="00B32B95" w:rsidRPr="00834B27">
        <w:rPr>
          <w:rFonts w:ascii="Calibri" w:hAnsi="Calibri" w:cs="Calibri"/>
          <w:i/>
          <w:iCs/>
          <w:lang w:val="ro-RO"/>
        </w:rPr>
        <w:t xml:space="preserve">n venituri din </w:t>
      </w:r>
      <w:r w:rsidR="008C4E3B" w:rsidRPr="00834B27">
        <w:rPr>
          <w:rFonts w:ascii="Calibri" w:hAnsi="Calibri" w:cs="Calibri"/>
          <w:i/>
          <w:iCs/>
          <w:lang w:val="ro-RO"/>
        </w:rPr>
        <w:t>activită</w:t>
      </w:r>
      <w:r w:rsidR="00D77C4B" w:rsidRPr="00834B27">
        <w:rPr>
          <w:rFonts w:ascii="Calibri" w:hAnsi="Calibri" w:cs="Calibri"/>
          <w:i/>
          <w:iCs/>
          <w:lang w:val="ro-RO"/>
        </w:rPr>
        <w:t>ț</w:t>
      </w:r>
      <w:r w:rsidR="008C4E3B" w:rsidRPr="00834B27">
        <w:rPr>
          <w:rFonts w:ascii="Calibri" w:hAnsi="Calibri" w:cs="Calibri"/>
          <w:i/>
          <w:iCs/>
          <w:lang w:val="ro-RO"/>
        </w:rPr>
        <w:t>i</w:t>
      </w:r>
      <w:r w:rsidR="00B32B95" w:rsidRPr="00834B27">
        <w:rPr>
          <w:rFonts w:ascii="Calibri" w:hAnsi="Calibri" w:cs="Calibri"/>
          <w:i/>
          <w:iCs/>
          <w:lang w:val="ro-RO"/>
        </w:rPr>
        <w:t xml:space="preserve"> dependente</w:t>
      </w:r>
      <w:r w:rsidR="00561547" w:rsidRPr="00834B27">
        <w:rPr>
          <w:rFonts w:ascii="Calibri" w:hAnsi="Calibri" w:cs="Calibri"/>
          <w:i/>
          <w:iCs/>
          <w:lang w:val="ro-RO"/>
        </w:rPr>
        <w:t>, au fost reglementate separat.</w:t>
      </w:r>
    </w:p>
    <w:p w14:paraId="5C917BBA" w14:textId="77777777" w:rsidR="00E13DC6" w:rsidRPr="00834B27" w:rsidRDefault="00E13DC6" w:rsidP="00B91E74">
      <w:pPr>
        <w:spacing w:line="276" w:lineRule="auto"/>
        <w:jc w:val="both"/>
        <w:rPr>
          <w:rFonts w:ascii="Calibri" w:hAnsi="Calibri" w:cs="Calibri"/>
          <w:i/>
          <w:iCs/>
          <w:lang w:val="ro-RO"/>
        </w:rPr>
      </w:pPr>
    </w:p>
    <w:p w14:paraId="5720A5D0" w14:textId="0F6780DB" w:rsidR="00561547" w:rsidRPr="00834B27" w:rsidRDefault="00561547" w:rsidP="00285F1A">
      <w:pPr>
        <w:pStyle w:val="Listparagraf"/>
        <w:keepNext/>
        <w:numPr>
          <w:ilvl w:val="2"/>
          <w:numId w:val="25"/>
        </w:numPr>
        <w:spacing w:line="276" w:lineRule="auto"/>
        <w:contextualSpacing w:val="0"/>
        <w:jc w:val="both"/>
        <w:rPr>
          <w:rFonts w:ascii="Calibri" w:hAnsi="Calibri" w:cs="Calibri"/>
          <w:b/>
          <w:bCs/>
          <w:lang w:val="ro-RO"/>
        </w:rPr>
      </w:pPr>
      <w:r w:rsidRPr="00834B27">
        <w:rPr>
          <w:rFonts w:ascii="Calibri" w:hAnsi="Calibri" w:cs="Calibri"/>
          <w:b/>
          <w:bCs/>
          <w:lang w:val="ro-RO"/>
        </w:rPr>
        <w:t>CAS</w:t>
      </w:r>
    </w:p>
    <w:p w14:paraId="07197722" w14:textId="782C406C" w:rsidR="000B6AE7" w:rsidRPr="00834B27" w:rsidRDefault="00A45C0E" w:rsidP="00285F1A">
      <w:pPr>
        <w:keepNext/>
        <w:spacing w:line="276" w:lineRule="auto"/>
        <w:jc w:val="both"/>
        <w:rPr>
          <w:rFonts w:ascii="Calibri" w:hAnsi="Calibri" w:cs="Calibri"/>
          <w:lang w:val="ro-RO"/>
        </w:rPr>
      </w:pPr>
      <w:r w:rsidRPr="00834B27">
        <w:rPr>
          <w:rFonts w:ascii="Calibri" w:hAnsi="Calibri" w:cs="Calibri"/>
          <w:lang w:val="ro-RO"/>
        </w:rPr>
        <w:t>Reglementarea este similar</w:t>
      </w:r>
      <w:r w:rsidR="00E13DC6" w:rsidRPr="00834B27">
        <w:rPr>
          <w:rFonts w:ascii="Calibri" w:hAnsi="Calibri" w:cs="Calibri"/>
          <w:lang w:val="ro-RO"/>
        </w:rPr>
        <w:t>ă</w:t>
      </w:r>
      <w:r w:rsidRPr="00834B27">
        <w:rPr>
          <w:rFonts w:ascii="Calibri" w:hAnsi="Calibri" w:cs="Calibri"/>
          <w:lang w:val="ro-RO"/>
        </w:rPr>
        <w:t xml:space="preserve"> cu cea a veniturilor din </w:t>
      </w:r>
      <w:r w:rsidR="00E13DC6" w:rsidRPr="00834B27">
        <w:rPr>
          <w:rFonts w:ascii="Calibri" w:hAnsi="Calibri" w:cs="Calibri"/>
          <w:lang w:val="ro-RO"/>
        </w:rPr>
        <w:t>activită</w:t>
      </w:r>
      <w:r w:rsidR="00D77C4B" w:rsidRPr="00834B27">
        <w:rPr>
          <w:rFonts w:ascii="Calibri" w:hAnsi="Calibri" w:cs="Calibri"/>
          <w:lang w:val="ro-RO"/>
        </w:rPr>
        <w:t>ț</w:t>
      </w:r>
      <w:r w:rsidR="00E13DC6" w:rsidRPr="00834B27">
        <w:rPr>
          <w:rFonts w:ascii="Calibri" w:hAnsi="Calibri" w:cs="Calibri"/>
          <w:lang w:val="ro-RO"/>
        </w:rPr>
        <w:t>i</w:t>
      </w:r>
      <w:r w:rsidRPr="00834B27">
        <w:rPr>
          <w:rFonts w:ascii="Calibri" w:hAnsi="Calibri" w:cs="Calibri"/>
          <w:lang w:val="ro-RO"/>
        </w:rPr>
        <w:t xml:space="preserve"> independente</w:t>
      </w:r>
      <w:r w:rsidR="00C02096" w:rsidRPr="00834B27">
        <w:rPr>
          <w:rFonts w:ascii="Calibri" w:hAnsi="Calibri" w:cs="Calibri"/>
          <w:lang w:val="ro-RO"/>
        </w:rPr>
        <w:t xml:space="preserve"> (determinarea obligației de plată a CAS făcându-se prin cumularea veniturilor din activități independente și din </w:t>
      </w:r>
      <w:r w:rsidR="0037207E" w:rsidRPr="00834B27">
        <w:rPr>
          <w:rFonts w:ascii="Calibri" w:hAnsi="Calibri" w:cs="Calibri"/>
          <w:lang w:val="ro-RO"/>
        </w:rPr>
        <w:lastRenderedPageBreak/>
        <w:t>drepturi de autor)</w:t>
      </w:r>
      <w:r w:rsidR="00EB4A9D" w:rsidRPr="00834B27">
        <w:rPr>
          <w:rFonts w:ascii="Calibri" w:hAnsi="Calibri" w:cs="Calibri"/>
          <w:lang w:val="ro-RO"/>
        </w:rPr>
        <w:t xml:space="preserve">, dar CAS nu se </w:t>
      </w:r>
      <w:r w:rsidR="00E13DC6" w:rsidRPr="00834B27">
        <w:rPr>
          <w:rFonts w:ascii="Calibri" w:hAnsi="Calibri" w:cs="Calibri"/>
          <w:lang w:val="ro-RO"/>
        </w:rPr>
        <w:t>datorează</w:t>
      </w:r>
      <w:r w:rsidR="00EB4A9D" w:rsidRPr="00834B27">
        <w:rPr>
          <w:rFonts w:ascii="Calibri" w:hAnsi="Calibri" w:cs="Calibri"/>
          <w:lang w:val="ro-RO"/>
        </w:rPr>
        <w:t xml:space="preserve"> </w:t>
      </w:r>
      <w:r w:rsidR="00E13DC6" w:rsidRPr="00834B27">
        <w:rPr>
          <w:rFonts w:ascii="Calibri" w:hAnsi="Calibri" w:cs="Calibri"/>
          <w:lang w:val="ro-RO"/>
        </w:rPr>
        <w:t>î</w:t>
      </w:r>
      <w:r w:rsidR="00EB4A9D" w:rsidRPr="00834B27">
        <w:rPr>
          <w:rFonts w:ascii="Calibri" w:hAnsi="Calibri" w:cs="Calibri"/>
          <w:lang w:val="ro-RO"/>
        </w:rPr>
        <w:t xml:space="preserve">n cazul </w:t>
      </w:r>
      <w:r w:rsidR="00E13DC6" w:rsidRPr="00834B27">
        <w:rPr>
          <w:rFonts w:ascii="Calibri" w:hAnsi="Calibri" w:cs="Calibri"/>
          <w:lang w:val="ro-RO"/>
        </w:rPr>
        <w:t>î</w:t>
      </w:r>
      <w:r w:rsidR="00EB4A9D" w:rsidRPr="00834B27">
        <w:rPr>
          <w:rFonts w:ascii="Calibri" w:hAnsi="Calibri" w:cs="Calibri"/>
          <w:lang w:val="ro-RO"/>
        </w:rPr>
        <w:t xml:space="preserve">n care contribuabilul </w:t>
      </w:r>
      <w:r w:rsidR="00E13DC6" w:rsidRPr="00834B27">
        <w:rPr>
          <w:rFonts w:ascii="Calibri" w:hAnsi="Calibri" w:cs="Calibri"/>
          <w:lang w:val="ro-RO"/>
        </w:rPr>
        <w:t>ob</w:t>
      </w:r>
      <w:r w:rsidR="00D77C4B" w:rsidRPr="00834B27">
        <w:rPr>
          <w:rFonts w:ascii="Calibri" w:hAnsi="Calibri" w:cs="Calibri"/>
          <w:lang w:val="ro-RO"/>
        </w:rPr>
        <w:t>ț</w:t>
      </w:r>
      <w:r w:rsidR="00E13DC6" w:rsidRPr="00834B27">
        <w:rPr>
          <w:rFonts w:ascii="Calibri" w:hAnsi="Calibri" w:cs="Calibri"/>
          <w:lang w:val="ro-RO"/>
        </w:rPr>
        <w:t>ine</w:t>
      </w:r>
      <w:r w:rsidR="00EB4A9D" w:rsidRPr="00834B27">
        <w:rPr>
          <w:rFonts w:ascii="Calibri" w:hAnsi="Calibri" w:cs="Calibri"/>
          <w:lang w:val="ro-RO"/>
        </w:rPr>
        <w:t xml:space="preserve"> </w:t>
      </w:r>
      <w:r w:rsidR="00E13DC6" w:rsidRPr="00834B27">
        <w:rPr>
          <w:rFonts w:ascii="Calibri" w:hAnsi="Calibri" w:cs="Calibri"/>
          <w:lang w:val="ro-RO"/>
        </w:rPr>
        <w:t>ș</w:t>
      </w:r>
      <w:r w:rsidR="00EB4A9D" w:rsidRPr="00834B27">
        <w:rPr>
          <w:rFonts w:ascii="Calibri" w:hAnsi="Calibri" w:cs="Calibri"/>
          <w:lang w:val="ro-RO"/>
        </w:rPr>
        <w:t xml:space="preserve">i venituri din salarii </w:t>
      </w:r>
      <w:r w:rsidR="00E13DC6" w:rsidRPr="00834B27">
        <w:rPr>
          <w:rFonts w:ascii="Calibri" w:hAnsi="Calibri" w:cs="Calibri"/>
          <w:lang w:val="ro-RO"/>
        </w:rPr>
        <w:t>ș</w:t>
      </w:r>
      <w:r w:rsidR="00EB4A9D" w:rsidRPr="00834B27">
        <w:rPr>
          <w:rFonts w:ascii="Calibri" w:hAnsi="Calibri" w:cs="Calibri"/>
          <w:lang w:val="ro-RO"/>
        </w:rPr>
        <w:t xml:space="preserve">i asimilate salariilor </w:t>
      </w:r>
      <w:r w:rsidR="00301E2A" w:rsidRPr="00834B27">
        <w:rPr>
          <w:rFonts w:ascii="Calibri" w:hAnsi="Calibri" w:cs="Calibri"/>
          <w:lang w:val="ro-RO"/>
        </w:rPr>
        <w:t xml:space="preserve">sau din </w:t>
      </w:r>
      <w:r w:rsidR="00500AAC" w:rsidRPr="00834B27">
        <w:rPr>
          <w:rFonts w:ascii="Calibri" w:hAnsi="Calibri" w:cs="Calibri"/>
          <w:lang w:val="ro-RO"/>
        </w:rPr>
        <w:t>pensii</w:t>
      </w:r>
      <w:r w:rsidR="00301E2A" w:rsidRPr="00834B27">
        <w:rPr>
          <w:rFonts w:ascii="Calibri" w:hAnsi="Calibri" w:cs="Calibri"/>
          <w:lang w:val="ro-RO"/>
        </w:rPr>
        <w:t xml:space="preserve">, ceea ce </w:t>
      </w:r>
      <w:r w:rsidR="00E13DC6" w:rsidRPr="00834B27">
        <w:rPr>
          <w:rFonts w:ascii="Calibri" w:hAnsi="Calibri" w:cs="Calibri"/>
          <w:lang w:val="ro-RO"/>
        </w:rPr>
        <w:t>se întâmplă</w:t>
      </w:r>
      <w:r w:rsidR="00301E2A" w:rsidRPr="00834B27">
        <w:rPr>
          <w:rFonts w:ascii="Calibri" w:hAnsi="Calibri" w:cs="Calibri"/>
          <w:lang w:val="ro-RO"/>
        </w:rPr>
        <w:t xml:space="preserve"> </w:t>
      </w:r>
      <w:r w:rsidR="00E13DC6" w:rsidRPr="00834B27">
        <w:rPr>
          <w:rFonts w:ascii="Calibri" w:hAnsi="Calibri" w:cs="Calibri"/>
          <w:lang w:val="ro-RO"/>
        </w:rPr>
        <w:t>î</w:t>
      </w:r>
      <w:r w:rsidR="00301E2A" w:rsidRPr="00834B27">
        <w:rPr>
          <w:rFonts w:ascii="Calibri" w:hAnsi="Calibri" w:cs="Calibri"/>
          <w:lang w:val="ro-RO"/>
        </w:rPr>
        <w:t>n imensa majoritate a cazurilor</w:t>
      </w:r>
      <w:r w:rsidR="008C7C59" w:rsidRPr="00834B27">
        <w:rPr>
          <w:rFonts w:ascii="Calibri" w:hAnsi="Calibri" w:cs="Calibri"/>
          <w:lang w:val="ro-RO"/>
        </w:rPr>
        <w:t>.</w:t>
      </w:r>
    </w:p>
    <w:p w14:paraId="61A53BF3" w14:textId="77777777" w:rsidR="00E13DC6" w:rsidRPr="00834B27" w:rsidRDefault="00E13DC6" w:rsidP="00B91E74">
      <w:pPr>
        <w:spacing w:line="276" w:lineRule="auto"/>
        <w:jc w:val="both"/>
        <w:rPr>
          <w:rFonts w:ascii="Calibri" w:hAnsi="Calibri" w:cs="Calibri"/>
          <w:lang w:val="ro-RO"/>
        </w:rPr>
      </w:pPr>
    </w:p>
    <w:p w14:paraId="45ECAD3F" w14:textId="0CAA78D4" w:rsidR="008C7C59" w:rsidRPr="00834B27" w:rsidRDefault="00F071EF" w:rsidP="00B91E74">
      <w:pPr>
        <w:pStyle w:val="Listparagraf"/>
        <w:numPr>
          <w:ilvl w:val="2"/>
          <w:numId w:val="25"/>
        </w:numPr>
        <w:spacing w:line="276" w:lineRule="auto"/>
        <w:contextualSpacing w:val="0"/>
        <w:jc w:val="both"/>
        <w:rPr>
          <w:rFonts w:ascii="Calibri" w:hAnsi="Calibri" w:cs="Calibri"/>
          <w:b/>
          <w:bCs/>
          <w:lang w:val="ro-RO"/>
        </w:rPr>
      </w:pPr>
      <w:r w:rsidRPr="00834B27">
        <w:rPr>
          <w:rFonts w:ascii="Calibri" w:hAnsi="Calibri" w:cs="Calibri"/>
          <w:b/>
          <w:bCs/>
          <w:lang w:val="ro-RO"/>
        </w:rPr>
        <w:t xml:space="preserve"> CASS</w:t>
      </w:r>
    </w:p>
    <w:p w14:paraId="69B5466C" w14:textId="2906B5D3" w:rsidR="008C7C59" w:rsidRPr="00834B27" w:rsidRDefault="00C2019E" w:rsidP="00B91E74">
      <w:pPr>
        <w:spacing w:line="276" w:lineRule="auto"/>
        <w:jc w:val="both"/>
        <w:rPr>
          <w:rFonts w:ascii="Calibri" w:hAnsi="Calibri" w:cs="Calibri"/>
          <w:lang w:val="ro-RO"/>
        </w:rPr>
      </w:pPr>
      <w:r w:rsidRPr="00834B27">
        <w:rPr>
          <w:rFonts w:ascii="Calibri" w:hAnsi="Calibri" w:cs="Calibri"/>
          <w:b/>
          <w:bCs/>
          <w:u w:val="single"/>
          <w:lang w:val="ro-RO"/>
        </w:rPr>
        <w:t xml:space="preserve">Cota de </w:t>
      </w:r>
      <w:r w:rsidR="00AB7EBA" w:rsidRPr="00834B27">
        <w:rPr>
          <w:rFonts w:ascii="Calibri" w:hAnsi="Calibri" w:cs="Calibri"/>
          <w:b/>
          <w:bCs/>
          <w:u w:val="single"/>
          <w:lang w:val="ro-RO"/>
        </w:rPr>
        <w:t>CASS:</w:t>
      </w:r>
      <w:r w:rsidR="00AB7EBA" w:rsidRPr="00834B27">
        <w:rPr>
          <w:rFonts w:ascii="Calibri" w:hAnsi="Calibri" w:cs="Calibri"/>
          <w:lang w:val="ro-RO"/>
        </w:rPr>
        <w:t xml:space="preserve"> 10%;</w:t>
      </w:r>
    </w:p>
    <w:p w14:paraId="24C5EE14" w14:textId="1B274C4C" w:rsidR="00AB7EBA" w:rsidRPr="00834B27" w:rsidRDefault="001126C0" w:rsidP="00B91E74">
      <w:pPr>
        <w:spacing w:line="276" w:lineRule="auto"/>
        <w:jc w:val="both"/>
        <w:rPr>
          <w:rFonts w:ascii="Calibri" w:hAnsi="Calibri" w:cs="Calibri"/>
          <w:lang w:val="ro-RO"/>
        </w:rPr>
      </w:pPr>
      <w:r w:rsidRPr="00834B27">
        <w:rPr>
          <w:rFonts w:ascii="Calibri" w:hAnsi="Calibri" w:cs="Calibri"/>
          <w:b/>
          <w:bCs/>
          <w:u w:val="single"/>
          <w:lang w:val="ro-RO"/>
        </w:rPr>
        <w:t>Baza de calcul:</w:t>
      </w:r>
      <w:r w:rsidRPr="00834B27">
        <w:rPr>
          <w:rFonts w:ascii="Calibri" w:hAnsi="Calibri" w:cs="Calibri"/>
          <w:lang w:val="ro-RO"/>
        </w:rPr>
        <w:t xml:space="preserve"> veniturile din </w:t>
      </w:r>
      <w:r w:rsidR="007C16F8" w:rsidRPr="00834B27">
        <w:rPr>
          <w:rFonts w:ascii="Calibri" w:hAnsi="Calibri" w:cs="Calibri"/>
          <w:lang w:val="ro-RO"/>
        </w:rPr>
        <w:t>drepturi de proprietate intelectual</w:t>
      </w:r>
      <w:r w:rsidR="006A3D7F" w:rsidRPr="00834B27">
        <w:rPr>
          <w:rFonts w:ascii="Calibri" w:hAnsi="Calibri" w:cs="Calibri"/>
          <w:lang w:val="ro-RO"/>
        </w:rPr>
        <w:t>ă</w:t>
      </w:r>
      <w:r w:rsidRPr="00834B27">
        <w:rPr>
          <w:rFonts w:ascii="Calibri" w:hAnsi="Calibri" w:cs="Calibri"/>
          <w:lang w:val="ro-RO"/>
        </w:rPr>
        <w:t xml:space="preserve"> sunt incluse </w:t>
      </w:r>
      <w:r w:rsidR="00E13DC6" w:rsidRPr="00834B27">
        <w:rPr>
          <w:rFonts w:ascii="Calibri" w:hAnsi="Calibri" w:cs="Calibri"/>
          <w:lang w:val="ro-RO"/>
        </w:rPr>
        <w:t>î</w:t>
      </w:r>
      <w:r w:rsidRPr="00834B27">
        <w:rPr>
          <w:rFonts w:ascii="Calibri" w:hAnsi="Calibri" w:cs="Calibri"/>
          <w:lang w:val="ro-RO"/>
        </w:rPr>
        <w:t xml:space="preserve">n </w:t>
      </w:r>
      <w:r w:rsidR="00E13DC6" w:rsidRPr="00834B27">
        <w:rPr>
          <w:rFonts w:ascii="Calibri" w:hAnsi="Calibri" w:cs="Calibri"/>
          <w:lang w:val="ro-RO"/>
        </w:rPr>
        <w:t>„</w:t>
      </w:r>
      <w:r w:rsidRPr="00834B27">
        <w:rPr>
          <w:rFonts w:ascii="Calibri" w:hAnsi="Calibri" w:cs="Calibri"/>
          <w:lang w:val="ro-RO"/>
        </w:rPr>
        <w:t>co</w:t>
      </w:r>
      <w:r w:rsidR="00E13DC6" w:rsidRPr="00834B27">
        <w:rPr>
          <w:rFonts w:ascii="Calibri" w:hAnsi="Calibri" w:cs="Calibri"/>
          <w:lang w:val="ro-RO"/>
        </w:rPr>
        <w:t>ș</w:t>
      </w:r>
      <w:r w:rsidRPr="00834B27">
        <w:rPr>
          <w:rFonts w:ascii="Calibri" w:hAnsi="Calibri" w:cs="Calibri"/>
          <w:lang w:val="ro-RO"/>
        </w:rPr>
        <w:t xml:space="preserve">”, </w:t>
      </w:r>
      <w:r w:rsidR="00E13DC6" w:rsidRPr="00834B27">
        <w:rPr>
          <w:rFonts w:ascii="Calibri" w:hAnsi="Calibri" w:cs="Calibri"/>
          <w:lang w:val="ro-RO"/>
        </w:rPr>
        <w:t>alături</w:t>
      </w:r>
      <w:r w:rsidRPr="00834B27">
        <w:rPr>
          <w:rFonts w:ascii="Calibri" w:hAnsi="Calibri" w:cs="Calibri"/>
          <w:lang w:val="ro-RO"/>
        </w:rPr>
        <w:t xml:space="preserve"> de </w:t>
      </w:r>
      <w:r w:rsidR="00EC79BF" w:rsidRPr="00834B27">
        <w:rPr>
          <w:rFonts w:ascii="Calibri" w:hAnsi="Calibri" w:cs="Calibri"/>
          <w:lang w:val="ro-RO"/>
        </w:rPr>
        <w:t xml:space="preserve">veniturile din </w:t>
      </w:r>
      <w:r w:rsidR="00E13DC6" w:rsidRPr="00834B27">
        <w:rPr>
          <w:rFonts w:ascii="Calibri" w:hAnsi="Calibri" w:cs="Calibri"/>
          <w:lang w:val="ro-RO"/>
        </w:rPr>
        <w:t>închiriere</w:t>
      </w:r>
      <w:r w:rsidR="00EC79BF" w:rsidRPr="00834B27">
        <w:rPr>
          <w:rFonts w:ascii="Calibri" w:hAnsi="Calibri" w:cs="Calibri"/>
          <w:lang w:val="ro-RO"/>
        </w:rPr>
        <w:t xml:space="preserve">, dividende, </w:t>
      </w:r>
      <w:r w:rsidR="00E13DC6" w:rsidRPr="00834B27">
        <w:rPr>
          <w:rFonts w:ascii="Calibri" w:hAnsi="Calibri" w:cs="Calibri"/>
          <w:lang w:val="ro-RO"/>
        </w:rPr>
        <w:t>dobânzi</w:t>
      </w:r>
      <w:r w:rsidR="00EC79BF" w:rsidRPr="00834B27">
        <w:rPr>
          <w:rFonts w:ascii="Calibri" w:hAnsi="Calibri" w:cs="Calibri"/>
          <w:lang w:val="ro-RO"/>
        </w:rPr>
        <w:t xml:space="preserve">, </w:t>
      </w:r>
      <w:r w:rsidR="00E13DC6" w:rsidRPr="00834B27">
        <w:rPr>
          <w:rFonts w:ascii="Calibri" w:hAnsi="Calibri" w:cs="Calibri"/>
          <w:lang w:val="ro-RO"/>
        </w:rPr>
        <w:t>câștiguri</w:t>
      </w:r>
      <w:r w:rsidR="00EC79BF" w:rsidRPr="00834B27">
        <w:rPr>
          <w:rFonts w:ascii="Calibri" w:hAnsi="Calibri" w:cs="Calibri"/>
          <w:lang w:val="ro-RO"/>
        </w:rPr>
        <w:t xml:space="preserve"> de capital, alte venituri, baza de calcul a </w:t>
      </w:r>
      <w:r w:rsidR="000620FA" w:rsidRPr="00834B27">
        <w:rPr>
          <w:rFonts w:ascii="Calibri" w:hAnsi="Calibri" w:cs="Calibri"/>
          <w:lang w:val="ro-RO"/>
        </w:rPr>
        <w:t xml:space="preserve">CASS fiind 0/6/12/24 SM, </w:t>
      </w:r>
      <w:r w:rsidR="00E13DC6" w:rsidRPr="00834B27">
        <w:rPr>
          <w:rFonts w:ascii="Calibri" w:hAnsi="Calibri" w:cs="Calibri"/>
          <w:lang w:val="ro-RO"/>
        </w:rPr>
        <w:t>î</w:t>
      </w:r>
      <w:r w:rsidR="000620FA" w:rsidRPr="00834B27">
        <w:rPr>
          <w:rFonts w:ascii="Calibri" w:hAnsi="Calibri" w:cs="Calibri"/>
          <w:lang w:val="ro-RO"/>
        </w:rPr>
        <w:t xml:space="preserve">n </w:t>
      </w:r>
      <w:r w:rsidR="00E13DC6" w:rsidRPr="00834B27">
        <w:rPr>
          <w:rFonts w:ascii="Calibri" w:hAnsi="Calibri" w:cs="Calibri"/>
          <w:lang w:val="ro-RO"/>
        </w:rPr>
        <w:t>func</w:t>
      </w:r>
      <w:r w:rsidR="00D77C4B" w:rsidRPr="00834B27">
        <w:rPr>
          <w:rFonts w:ascii="Calibri" w:hAnsi="Calibri" w:cs="Calibri"/>
          <w:lang w:val="ro-RO"/>
        </w:rPr>
        <w:t>ț</w:t>
      </w:r>
      <w:r w:rsidR="00E13DC6" w:rsidRPr="00834B27">
        <w:rPr>
          <w:rFonts w:ascii="Calibri" w:hAnsi="Calibri" w:cs="Calibri"/>
          <w:lang w:val="ro-RO"/>
        </w:rPr>
        <w:t>ie</w:t>
      </w:r>
      <w:r w:rsidR="000620FA" w:rsidRPr="00834B27">
        <w:rPr>
          <w:rFonts w:ascii="Calibri" w:hAnsi="Calibri" w:cs="Calibri"/>
          <w:lang w:val="ro-RO"/>
        </w:rPr>
        <w:t xml:space="preserve"> de valoarea veniturilor adunate </w:t>
      </w:r>
      <w:r w:rsidR="005030D8" w:rsidRPr="00834B27">
        <w:rPr>
          <w:rFonts w:ascii="Calibri" w:hAnsi="Calibri" w:cs="Calibri"/>
          <w:lang w:val="ro-RO"/>
        </w:rPr>
        <w:t>î</w:t>
      </w:r>
      <w:r w:rsidR="00E13DC6" w:rsidRPr="00834B27">
        <w:rPr>
          <w:rFonts w:ascii="Calibri" w:hAnsi="Calibri" w:cs="Calibri"/>
          <w:lang w:val="ro-RO"/>
        </w:rPr>
        <w:t>n</w:t>
      </w:r>
      <w:r w:rsidR="000620FA" w:rsidRPr="00834B27">
        <w:rPr>
          <w:rFonts w:ascii="Calibri" w:hAnsi="Calibri" w:cs="Calibri"/>
          <w:lang w:val="ro-RO"/>
        </w:rPr>
        <w:t xml:space="preserve"> </w:t>
      </w:r>
      <w:r w:rsidR="00E13DC6" w:rsidRPr="00834B27">
        <w:rPr>
          <w:rFonts w:ascii="Calibri" w:hAnsi="Calibri" w:cs="Calibri"/>
          <w:lang w:val="ro-RO"/>
        </w:rPr>
        <w:t>„</w:t>
      </w:r>
      <w:r w:rsidR="000620FA" w:rsidRPr="00834B27">
        <w:rPr>
          <w:rFonts w:ascii="Calibri" w:hAnsi="Calibri" w:cs="Calibri"/>
          <w:lang w:val="ro-RO"/>
        </w:rPr>
        <w:t>co</w:t>
      </w:r>
      <w:r w:rsidR="00E13DC6" w:rsidRPr="00834B27">
        <w:rPr>
          <w:rFonts w:ascii="Calibri" w:hAnsi="Calibri" w:cs="Calibri"/>
          <w:lang w:val="ro-RO"/>
        </w:rPr>
        <w:t>ș</w:t>
      </w:r>
      <w:r w:rsidR="000620FA" w:rsidRPr="00834B27">
        <w:rPr>
          <w:rFonts w:ascii="Calibri" w:hAnsi="Calibri" w:cs="Calibri"/>
          <w:lang w:val="ro-RO"/>
        </w:rPr>
        <w:t>”.</w:t>
      </w:r>
    </w:p>
    <w:p w14:paraId="70DC18D4" w14:textId="13923ADF" w:rsidR="000620FA" w:rsidRPr="00834B27" w:rsidRDefault="000620FA" w:rsidP="00B91E74">
      <w:pPr>
        <w:spacing w:line="276" w:lineRule="auto"/>
        <w:jc w:val="both"/>
        <w:rPr>
          <w:rFonts w:ascii="Calibri" w:hAnsi="Calibri" w:cs="Calibri"/>
          <w:lang w:val="ro-RO"/>
        </w:rPr>
      </w:pPr>
      <w:r w:rsidRPr="00834B27">
        <w:rPr>
          <w:rFonts w:ascii="Calibri" w:hAnsi="Calibri" w:cs="Calibri"/>
          <w:lang w:val="ro-RO"/>
        </w:rPr>
        <w:t xml:space="preserve">La fel ca </w:t>
      </w:r>
      <w:r w:rsidR="00E13DC6" w:rsidRPr="00834B27">
        <w:rPr>
          <w:rFonts w:ascii="Calibri" w:hAnsi="Calibri" w:cs="Calibri"/>
          <w:lang w:val="ro-RO"/>
        </w:rPr>
        <w:t>î</w:t>
      </w:r>
      <w:r w:rsidRPr="00834B27">
        <w:rPr>
          <w:rFonts w:ascii="Calibri" w:hAnsi="Calibri" w:cs="Calibri"/>
          <w:lang w:val="ro-RO"/>
        </w:rPr>
        <w:t xml:space="preserve">n cazul CAS, </w:t>
      </w:r>
      <w:r w:rsidR="00754D62" w:rsidRPr="00834B27">
        <w:rPr>
          <w:rFonts w:ascii="Calibri" w:hAnsi="Calibri" w:cs="Calibri"/>
          <w:lang w:val="ro-RO"/>
        </w:rPr>
        <w:t xml:space="preserve">CASS nu se </w:t>
      </w:r>
      <w:r w:rsidR="00E13DC6" w:rsidRPr="00834B27">
        <w:rPr>
          <w:rFonts w:ascii="Calibri" w:hAnsi="Calibri" w:cs="Calibri"/>
          <w:lang w:val="ro-RO"/>
        </w:rPr>
        <w:t>datorează</w:t>
      </w:r>
      <w:r w:rsidR="00754D62" w:rsidRPr="00834B27">
        <w:rPr>
          <w:rFonts w:ascii="Calibri" w:hAnsi="Calibri" w:cs="Calibri"/>
          <w:lang w:val="ro-RO"/>
        </w:rPr>
        <w:t xml:space="preserve"> </w:t>
      </w:r>
      <w:r w:rsidR="00E13DC6" w:rsidRPr="00834B27">
        <w:rPr>
          <w:rFonts w:ascii="Calibri" w:hAnsi="Calibri" w:cs="Calibri"/>
          <w:lang w:val="ro-RO"/>
        </w:rPr>
        <w:t>însă</w:t>
      </w:r>
      <w:r w:rsidR="00754D62" w:rsidRPr="00834B27">
        <w:rPr>
          <w:rFonts w:ascii="Calibri" w:hAnsi="Calibri" w:cs="Calibri"/>
          <w:lang w:val="ro-RO"/>
        </w:rPr>
        <w:t xml:space="preserve"> </w:t>
      </w:r>
      <w:r w:rsidR="001C44F6" w:rsidRPr="00834B27">
        <w:rPr>
          <w:rFonts w:ascii="Calibri" w:hAnsi="Calibri" w:cs="Calibri"/>
          <w:lang w:val="ro-RO"/>
        </w:rPr>
        <w:t xml:space="preserve">pentru veniturile din drepturi de autor </w:t>
      </w:r>
      <w:r w:rsidR="00754D62" w:rsidRPr="00834B27">
        <w:rPr>
          <w:rFonts w:ascii="Calibri" w:hAnsi="Calibri" w:cs="Calibri"/>
          <w:lang w:val="ro-RO"/>
        </w:rPr>
        <w:t xml:space="preserve">de </w:t>
      </w:r>
      <w:r w:rsidR="00E13DC6" w:rsidRPr="00834B27">
        <w:rPr>
          <w:rFonts w:ascii="Calibri" w:hAnsi="Calibri" w:cs="Calibri"/>
          <w:lang w:val="ro-RO"/>
        </w:rPr>
        <w:t>către</w:t>
      </w:r>
      <w:r w:rsidR="00754D62" w:rsidRPr="00834B27">
        <w:rPr>
          <w:rFonts w:ascii="Calibri" w:hAnsi="Calibri" w:cs="Calibri"/>
          <w:lang w:val="ro-RO"/>
        </w:rPr>
        <w:t xml:space="preserve"> contribuabilii care </w:t>
      </w:r>
      <w:r w:rsidR="00E13DC6" w:rsidRPr="00834B27">
        <w:rPr>
          <w:rFonts w:ascii="Calibri" w:hAnsi="Calibri" w:cs="Calibri"/>
          <w:lang w:val="ro-RO"/>
        </w:rPr>
        <w:t>ob</w:t>
      </w:r>
      <w:r w:rsidR="00D77C4B" w:rsidRPr="00834B27">
        <w:rPr>
          <w:rFonts w:ascii="Calibri" w:hAnsi="Calibri" w:cs="Calibri"/>
          <w:lang w:val="ro-RO"/>
        </w:rPr>
        <w:t>ț</w:t>
      </w:r>
      <w:r w:rsidR="00E13DC6" w:rsidRPr="00834B27">
        <w:rPr>
          <w:rFonts w:ascii="Calibri" w:hAnsi="Calibri" w:cs="Calibri"/>
          <w:lang w:val="ro-RO"/>
        </w:rPr>
        <w:t>in</w:t>
      </w:r>
      <w:r w:rsidR="00754D62" w:rsidRPr="00834B27">
        <w:rPr>
          <w:rFonts w:ascii="Calibri" w:hAnsi="Calibri" w:cs="Calibri"/>
          <w:lang w:val="ro-RO"/>
        </w:rPr>
        <w:t xml:space="preserve"> </w:t>
      </w:r>
      <w:r w:rsidR="00E13DC6" w:rsidRPr="00834B27">
        <w:rPr>
          <w:rFonts w:ascii="Calibri" w:hAnsi="Calibri" w:cs="Calibri"/>
          <w:lang w:val="ro-RO"/>
        </w:rPr>
        <w:t>ș</w:t>
      </w:r>
      <w:r w:rsidR="00754D62" w:rsidRPr="00834B27">
        <w:rPr>
          <w:rFonts w:ascii="Calibri" w:hAnsi="Calibri" w:cs="Calibri"/>
          <w:lang w:val="ro-RO"/>
        </w:rPr>
        <w:t xml:space="preserve">i venituri din salarii sau din </w:t>
      </w:r>
      <w:r w:rsidR="007109AF" w:rsidRPr="00834B27">
        <w:rPr>
          <w:rFonts w:ascii="Calibri" w:hAnsi="Calibri" w:cs="Calibri"/>
          <w:lang w:val="ro-RO"/>
        </w:rPr>
        <w:t>pensii</w:t>
      </w:r>
      <w:r w:rsidR="00F071EF" w:rsidRPr="00834B27">
        <w:rPr>
          <w:rFonts w:ascii="Calibri" w:hAnsi="Calibri" w:cs="Calibri"/>
          <w:lang w:val="ro-RO"/>
        </w:rPr>
        <w:t>.</w:t>
      </w:r>
    </w:p>
    <w:p w14:paraId="65EAA22A" w14:textId="0EC4C10E" w:rsidR="00451186" w:rsidRPr="00834B27" w:rsidRDefault="00E13DC6" w:rsidP="00B91E74">
      <w:pPr>
        <w:spacing w:line="276" w:lineRule="auto"/>
        <w:jc w:val="both"/>
        <w:rPr>
          <w:rFonts w:ascii="Calibri" w:hAnsi="Calibri" w:cs="Calibri"/>
          <w:lang w:val="ro-RO"/>
        </w:rPr>
      </w:pPr>
      <w:r w:rsidRPr="00834B27">
        <w:rPr>
          <w:rFonts w:ascii="Calibri" w:hAnsi="Calibri" w:cs="Calibri"/>
          <w:lang w:val="ro-RO"/>
        </w:rPr>
        <w:t>Î</w:t>
      </w:r>
      <w:r w:rsidR="00451186" w:rsidRPr="00834B27">
        <w:rPr>
          <w:rFonts w:ascii="Calibri" w:hAnsi="Calibri" w:cs="Calibri"/>
          <w:lang w:val="ro-RO"/>
        </w:rPr>
        <w:t xml:space="preserve">n cea mai mare parte a cazurilor, SFT </w:t>
      </w:r>
      <w:r w:rsidRPr="00834B27">
        <w:rPr>
          <w:rFonts w:ascii="Calibri" w:hAnsi="Calibri" w:cs="Calibri"/>
          <w:lang w:val="ro-RO"/>
        </w:rPr>
        <w:t>î</w:t>
      </w:r>
      <w:r w:rsidR="00D135FA" w:rsidRPr="00834B27">
        <w:rPr>
          <w:rFonts w:ascii="Calibri" w:hAnsi="Calibri" w:cs="Calibri"/>
          <w:lang w:val="ro-RO"/>
        </w:rPr>
        <w:t>n cazul veniturilor din cedarea drepturilor de proprietate intelectual</w:t>
      </w:r>
      <w:r w:rsidRPr="00834B27">
        <w:rPr>
          <w:rFonts w:ascii="Calibri" w:hAnsi="Calibri" w:cs="Calibri"/>
          <w:lang w:val="ro-RO"/>
        </w:rPr>
        <w:t>ă</w:t>
      </w:r>
      <w:r w:rsidR="00D135FA" w:rsidRPr="00834B27">
        <w:rPr>
          <w:rFonts w:ascii="Calibri" w:hAnsi="Calibri" w:cs="Calibri"/>
          <w:lang w:val="ro-RO"/>
        </w:rPr>
        <w:t xml:space="preserve"> </w:t>
      </w:r>
      <w:r w:rsidR="00451186" w:rsidRPr="00834B27">
        <w:rPr>
          <w:rFonts w:ascii="Calibri" w:hAnsi="Calibri" w:cs="Calibri"/>
          <w:lang w:val="ro-RO"/>
        </w:rPr>
        <w:t>este de doar 6%</w:t>
      </w:r>
      <w:r w:rsidR="00D135FA" w:rsidRPr="00834B27">
        <w:rPr>
          <w:rFonts w:ascii="Calibri" w:hAnsi="Calibri" w:cs="Calibri"/>
          <w:lang w:val="ro-RO"/>
        </w:rPr>
        <w:t xml:space="preserve"> din venitul brut</w:t>
      </w:r>
      <w:r w:rsidR="005E3FFC" w:rsidRPr="00834B27">
        <w:rPr>
          <w:rStyle w:val="Referinnotdesubsol"/>
          <w:rFonts w:ascii="Calibri" w:hAnsi="Calibri" w:cs="Calibri"/>
          <w:lang w:val="ro-RO"/>
        </w:rPr>
        <w:footnoteReference w:id="10"/>
      </w:r>
      <w:r w:rsidR="00D135FA" w:rsidRPr="00834B27">
        <w:rPr>
          <w:rFonts w:ascii="Calibri" w:hAnsi="Calibri" w:cs="Calibri"/>
          <w:lang w:val="ro-RO"/>
        </w:rPr>
        <w:t>.</w:t>
      </w:r>
    </w:p>
    <w:p w14:paraId="492E8C3F" w14:textId="06615135" w:rsidR="00D71399" w:rsidRPr="00834B27" w:rsidRDefault="00D71399" w:rsidP="00B91E74">
      <w:pPr>
        <w:spacing w:line="276" w:lineRule="auto"/>
        <w:jc w:val="both"/>
        <w:rPr>
          <w:rFonts w:ascii="Calibri" w:hAnsi="Calibri" w:cs="Calibri"/>
          <w:lang w:val="ro-RO"/>
        </w:rPr>
      </w:pPr>
      <w:r w:rsidRPr="00834B27">
        <w:rPr>
          <w:rFonts w:ascii="Calibri" w:hAnsi="Calibri" w:cs="Calibri"/>
          <w:b/>
          <w:bCs/>
          <w:u w:val="single"/>
          <w:lang w:val="ro-RO"/>
        </w:rPr>
        <w:t>Plata:</w:t>
      </w:r>
      <w:r w:rsidRPr="00834B27">
        <w:rPr>
          <w:rFonts w:ascii="Calibri" w:hAnsi="Calibri" w:cs="Calibri"/>
          <w:b/>
          <w:bCs/>
          <w:lang w:val="ro-RO"/>
        </w:rPr>
        <w:t xml:space="preserve"> </w:t>
      </w:r>
      <w:r w:rsidR="00D1647E" w:rsidRPr="00834B27">
        <w:rPr>
          <w:rFonts w:ascii="Calibri" w:hAnsi="Calibri" w:cs="Calibri"/>
          <w:lang w:val="ro-RO"/>
        </w:rPr>
        <w:t>anuală, la termenul de depunere al D212.</w:t>
      </w:r>
    </w:p>
    <w:p w14:paraId="28BEE459" w14:textId="77777777" w:rsidR="00F071EF" w:rsidRPr="00834B27" w:rsidRDefault="00F071EF" w:rsidP="00B91E74">
      <w:pPr>
        <w:spacing w:line="276" w:lineRule="auto"/>
        <w:jc w:val="both"/>
        <w:rPr>
          <w:rFonts w:ascii="Calibri" w:hAnsi="Calibri" w:cs="Calibri"/>
          <w:lang w:val="ro-RO"/>
        </w:rPr>
      </w:pPr>
    </w:p>
    <w:p w14:paraId="7B857FED" w14:textId="061FC455" w:rsidR="00F071EF" w:rsidRPr="00834B27" w:rsidRDefault="0078377C" w:rsidP="009F2FDA">
      <w:pPr>
        <w:pStyle w:val="Listparagraf"/>
        <w:numPr>
          <w:ilvl w:val="1"/>
          <w:numId w:val="5"/>
        </w:numPr>
        <w:spacing w:line="276" w:lineRule="auto"/>
        <w:ind w:left="720" w:hanging="720"/>
        <w:contextualSpacing w:val="0"/>
        <w:jc w:val="both"/>
        <w:outlineLvl w:val="1"/>
        <w:rPr>
          <w:rFonts w:ascii="Calibri" w:hAnsi="Calibri" w:cs="Calibri"/>
          <w:b/>
          <w:bCs/>
          <w:lang w:val="ro-RO"/>
        </w:rPr>
      </w:pPr>
      <w:bookmarkStart w:id="5" w:name="_Toc223643874"/>
      <w:r w:rsidRPr="00834B27">
        <w:rPr>
          <w:rFonts w:ascii="Calibri" w:hAnsi="Calibri" w:cs="Calibri"/>
          <w:b/>
          <w:bCs/>
          <w:lang w:val="ro-RO"/>
        </w:rPr>
        <w:t xml:space="preserve">Venituri din cedarea </w:t>
      </w:r>
      <w:r w:rsidR="001C052A" w:rsidRPr="00834B27">
        <w:rPr>
          <w:rFonts w:ascii="Calibri" w:hAnsi="Calibri" w:cs="Calibri"/>
          <w:b/>
          <w:bCs/>
          <w:lang w:val="ro-RO"/>
        </w:rPr>
        <w:t>folosin</w:t>
      </w:r>
      <w:r w:rsidR="00D77C4B" w:rsidRPr="00834B27">
        <w:rPr>
          <w:rFonts w:ascii="Calibri" w:hAnsi="Calibri" w:cs="Calibri"/>
          <w:b/>
          <w:bCs/>
          <w:lang w:val="ro-RO"/>
        </w:rPr>
        <w:t>ț</w:t>
      </w:r>
      <w:r w:rsidR="001C052A" w:rsidRPr="00834B27">
        <w:rPr>
          <w:rFonts w:ascii="Calibri" w:hAnsi="Calibri" w:cs="Calibri"/>
          <w:b/>
          <w:bCs/>
          <w:lang w:val="ro-RO"/>
        </w:rPr>
        <w:t>ei</w:t>
      </w:r>
      <w:r w:rsidRPr="00834B27">
        <w:rPr>
          <w:rFonts w:ascii="Calibri" w:hAnsi="Calibri" w:cs="Calibri"/>
          <w:b/>
          <w:bCs/>
          <w:lang w:val="ro-RO"/>
        </w:rPr>
        <w:t xml:space="preserve"> bunurilor (</w:t>
      </w:r>
      <w:r w:rsidR="001C052A" w:rsidRPr="00834B27">
        <w:rPr>
          <w:rFonts w:ascii="Calibri" w:hAnsi="Calibri" w:cs="Calibri"/>
          <w:b/>
          <w:bCs/>
          <w:lang w:val="ro-RO"/>
        </w:rPr>
        <w:t>închiriere</w:t>
      </w:r>
      <w:r w:rsidRPr="00834B27">
        <w:rPr>
          <w:rFonts w:ascii="Calibri" w:hAnsi="Calibri" w:cs="Calibri"/>
          <w:b/>
          <w:bCs/>
          <w:lang w:val="ro-RO"/>
        </w:rPr>
        <w:t>)</w:t>
      </w:r>
      <w:bookmarkEnd w:id="5"/>
    </w:p>
    <w:p w14:paraId="4F1BB564" w14:textId="5993AE9C" w:rsidR="007908A2" w:rsidRPr="00834B27" w:rsidRDefault="00C2019E" w:rsidP="00B91E74">
      <w:pPr>
        <w:pStyle w:val="Listparagraf"/>
        <w:numPr>
          <w:ilvl w:val="2"/>
          <w:numId w:val="26"/>
        </w:numPr>
        <w:spacing w:line="276" w:lineRule="auto"/>
        <w:contextualSpacing w:val="0"/>
        <w:jc w:val="both"/>
        <w:rPr>
          <w:rFonts w:ascii="Calibri" w:hAnsi="Calibri" w:cs="Calibri"/>
          <w:b/>
          <w:bCs/>
          <w:lang w:val="ro-RO"/>
        </w:rPr>
      </w:pPr>
      <w:r w:rsidRPr="00834B27">
        <w:rPr>
          <w:rFonts w:ascii="Calibri" w:hAnsi="Calibri" w:cs="Calibri"/>
          <w:b/>
          <w:bCs/>
          <w:lang w:val="ro-RO"/>
        </w:rPr>
        <w:t>IV</w:t>
      </w:r>
    </w:p>
    <w:p w14:paraId="3552A439" w14:textId="21452AFE" w:rsidR="00C2019E" w:rsidRPr="00834B27" w:rsidRDefault="00C2019E" w:rsidP="00B91E74">
      <w:pPr>
        <w:spacing w:line="276" w:lineRule="auto"/>
        <w:jc w:val="both"/>
        <w:rPr>
          <w:rFonts w:ascii="Calibri" w:hAnsi="Calibri" w:cs="Calibri"/>
          <w:lang w:val="ro-RO"/>
        </w:rPr>
      </w:pPr>
      <w:r w:rsidRPr="00834B27">
        <w:rPr>
          <w:rFonts w:ascii="Calibri" w:hAnsi="Calibri" w:cs="Calibri"/>
          <w:b/>
          <w:bCs/>
          <w:u w:val="single"/>
          <w:lang w:val="ro-RO"/>
        </w:rPr>
        <w:t>Cota de IV:</w:t>
      </w:r>
      <w:r w:rsidRPr="00834B27">
        <w:rPr>
          <w:rFonts w:ascii="Calibri" w:hAnsi="Calibri" w:cs="Calibri"/>
          <w:lang w:val="ro-RO"/>
        </w:rPr>
        <w:t xml:space="preserve"> 10%</w:t>
      </w:r>
      <w:r w:rsidR="006D2925" w:rsidRPr="00834B27">
        <w:rPr>
          <w:rFonts w:ascii="Calibri" w:hAnsi="Calibri" w:cs="Calibri"/>
          <w:lang w:val="ro-RO"/>
        </w:rPr>
        <w:t>;</w:t>
      </w:r>
    </w:p>
    <w:p w14:paraId="2D32BEE0" w14:textId="77777777" w:rsidR="005166B9" w:rsidRPr="00834B27" w:rsidRDefault="006D2925" w:rsidP="00B91E74">
      <w:pPr>
        <w:spacing w:line="276" w:lineRule="auto"/>
        <w:jc w:val="both"/>
        <w:rPr>
          <w:rFonts w:ascii="Calibri" w:hAnsi="Calibri" w:cs="Calibri"/>
          <w:lang w:val="ro-RO"/>
        </w:rPr>
      </w:pPr>
      <w:r w:rsidRPr="00834B27">
        <w:rPr>
          <w:rFonts w:ascii="Calibri" w:hAnsi="Calibri" w:cs="Calibri"/>
          <w:b/>
          <w:bCs/>
          <w:u w:val="single"/>
          <w:lang w:val="ro-RO"/>
        </w:rPr>
        <w:t>Baza de calcul:</w:t>
      </w:r>
      <w:r w:rsidRPr="00834B27">
        <w:rPr>
          <w:rFonts w:ascii="Calibri" w:hAnsi="Calibri" w:cs="Calibri"/>
          <w:lang w:val="ro-RO"/>
        </w:rPr>
        <w:t xml:space="preserve"> </w:t>
      </w:r>
    </w:p>
    <w:p w14:paraId="31825DFB" w14:textId="3B66E38F" w:rsidR="00267FBC" w:rsidRPr="00834B27" w:rsidRDefault="00DE24F6" w:rsidP="005166B9">
      <w:pPr>
        <w:pStyle w:val="Listparagraf"/>
        <w:numPr>
          <w:ilvl w:val="0"/>
          <w:numId w:val="1"/>
        </w:numPr>
        <w:spacing w:line="276" w:lineRule="auto"/>
        <w:jc w:val="both"/>
        <w:rPr>
          <w:rFonts w:ascii="Calibri" w:hAnsi="Calibri" w:cs="Calibri"/>
          <w:lang w:val="ro-RO"/>
        </w:rPr>
      </w:pPr>
      <w:r w:rsidRPr="00834B27">
        <w:rPr>
          <w:rFonts w:ascii="Calibri" w:hAnsi="Calibri" w:cs="Calibri"/>
          <w:lang w:val="ro-RO"/>
        </w:rPr>
        <w:t>venitul brut minus o deducere de 20%</w:t>
      </w:r>
      <w:r w:rsidR="005166B9" w:rsidRPr="00834B27">
        <w:rPr>
          <w:rFonts w:ascii="Calibri" w:hAnsi="Calibri" w:cs="Calibri"/>
          <w:lang w:val="ro-RO"/>
        </w:rPr>
        <w:t xml:space="preserve">, pentru inchirierile pe termen </w:t>
      </w:r>
      <w:r w:rsidR="00E1023F" w:rsidRPr="00834B27">
        <w:rPr>
          <w:rFonts w:ascii="Calibri" w:hAnsi="Calibri" w:cs="Calibri"/>
          <w:lang w:val="ro-RO"/>
        </w:rPr>
        <w:t>lung</w:t>
      </w:r>
      <w:r w:rsidR="009373C2" w:rsidRPr="00834B27">
        <w:rPr>
          <w:rFonts w:ascii="Calibri" w:hAnsi="Calibri" w:cs="Calibri"/>
          <w:lang w:val="ro-RO"/>
        </w:rPr>
        <w:t xml:space="preserve"> (cel puțin 12 luni)</w:t>
      </w:r>
      <w:r w:rsidR="00EC1C16" w:rsidRPr="00834B27">
        <w:rPr>
          <w:rFonts w:ascii="Calibri" w:hAnsi="Calibri" w:cs="Calibri"/>
          <w:lang w:val="ro-RO"/>
        </w:rPr>
        <w:t>;</w:t>
      </w:r>
    </w:p>
    <w:p w14:paraId="0FB9106D" w14:textId="03C92F14" w:rsidR="006D2925" w:rsidRPr="00834B27" w:rsidRDefault="00267FBC" w:rsidP="00D51A7E">
      <w:pPr>
        <w:pStyle w:val="Listparagraf"/>
        <w:numPr>
          <w:ilvl w:val="0"/>
          <w:numId w:val="1"/>
        </w:numPr>
        <w:spacing w:line="276" w:lineRule="auto"/>
        <w:jc w:val="both"/>
        <w:rPr>
          <w:rFonts w:ascii="Calibri" w:hAnsi="Calibri" w:cs="Calibri"/>
          <w:lang w:val="ro-RO"/>
        </w:rPr>
      </w:pPr>
      <w:r w:rsidRPr="00834B27">
        <w:rPr>
          <w:rFonts w:ascii="Calibri" w:hAnsi="Calibri" w:cs="Calibri"/>
          <w:lang w:val="ro-RO"/>
        </w:rPr>
        <w:t xml:space="preserve">Venitul brut minus </w:t>
      </w:r>
      <w:r w:rsidR="00121B23" w:rsidRPr="00834B27">
        <w:rPr>
          <w:rFonts w:ascii="Calibri" w:hAnsi="Calibri" w:cs="Calibri"/>
          <w:lang w:val="ro-RO"/>
        </w:rPr>
        <w:t>o deducere de 30%, pentru inchirierea pe termen scurt a cel mult 7 camere</w:t>
      </w:r>
      <w:r w:rsidR="0023575C" w:rsidRPr="00834B27">
        <w:rPr>
          <w:rFonts w:ascii="Calibri" w:hAnsi="Calibri" w:cs="Calibri"/>
          <w:lang w:val="ro-RO"/>
        </w:rPr>
        <w:t xml:space="preserve"> situate în locuințe personale</w:t>
      </w:r>
      <w:r w:rsidR="00EC1C16" w:rsidRPr="00834B27">
        <w:rPr>
          <w:rFonts w:ascii="Calibri" w:hAnsi="Calibri" w:cs="Calibri"/>
          <w:lang w:val="ro-RO"/>
        </w:rPr>
        <w:t>.</w:t>
      </w:r>
    </w:p>
    <w:p w14:paraId="3EB5F13F" w14:textId="77777777" w:rsidR="00ED0B8B" w:rsidRPr="00834B27" w:rsidRDefault="000F2035" w:rsidP="00B91E74">
      <w:pPr>
        <w:spacing w:line="276" w:lineRule="auto"/>
        <w:jc w:val="both"/>
        <w:rPr>
          <w:rFonts w:ascii="Calibri" w:hAnsi="Calibri" w:cs="Calibri"/>
          <w:b/>
          <w:bCs/>
          <w:u w:val="single"/>
          <w:lang w:val="ro-RO"/>
        </w:rPr>
      </w:pPr>
      <w:r w:rsidRPr="00834B27">
        <w:rPr>
          <w:rFonts w:ascii="Calibri" w:hAnsi="Calibri" w:cs="Calibri"/>
          <w:b/>
          <w:bCs/>
          <w:u w:val="single"/>
          <w:lang w:val="ro-RO"/>
        </w:rPr>
        <w:t xml:space="preserve">Plata: </w:t>
      </w:r>
    </w:p>
    <w:p w14:paraId="67F9962B" w14:textId="48BA37AA" w:rsidR="000F2035" w:rsidRPr="00834B27" w:rsidRDefault="00665A15" w:rsidP="00B91E74">
      <w:pPr>
        <w:pStyle w:val="Listparagraf"/>
        <w:numPr>
          <w:ilvl w:val="0"/>
          <w:numId w:val="1"/>
        </w:numPr>
        <w:spacing w:line="276" w:lineRule="auto"/>
        <w:ind w:left="360"/>
        <w:contextualSpacing w:val="0"/>
        <w:jc w:val="both"/>
        <w:rPr>
          <w:rFonts w:ascii="Calibri" w:hAnsi="Calibri" w:cs="Calibri"/>
          <w:lang w:val="ro-RO"/>
        </w:rPr>
      </w:pPr>
      <w:r w:rsidRPr="00834B27">
        <w:rPr>
          <w:rFonts w:ascii="Calibri" w:hAnsi="Calibri" w:cs="Calibri"/>
          <w:lang w:val="ro-RO"/>
        </w:rPr>
        <w:t xml:space="preserve">prin </w:t>
      </w:r>
      <w:r w:rsidR="001C052A" w:rsidRPr="00834B27">
        <w:rPr>
          <w:rFonts w:ascii="Calibri" w:hAnsi="Calibri" w:cs="Calibri"/>
          <w:lang w:val="ro-RO"/>
        </w:rPr>
        <w:t>re</w:t>
      </w:r>
      <w:r w:rsidR="00D77C4B" w:rsidRPr="00834B27">
        <w:rPr>
          <w:rFonts w:ascii="Calibri" w:hAnsi="Calibri" w:cs="Calibri"/>
          <w:lang w:val="ro-RO"/>
        </w:rPr>
        <w:t>ț</w:t>
      </w:r>
      <w:r w:rsidR="001C052A" w:rsidRPr="00834B27">
        <w:rPr>
          <w:rFonts w:ascii="Calibri" w:hAnsi="Calibri" w:cs="Calibri"/>
          <w:lang w:val="ro-RO"/>
        </w:rPr>
        <w:t>inere</w:t>
      </w:r>
      <w:r w:rsidRPr="00834B27">
        <w:rPr>
          <w:rFonts w:ascii="Calibri" w:hAnsi="Calibri" w:cs="Calibri"/>
          <w:lang w:val="ro-RO"/>
        </w:rPr>
        <w:t xml:space="preserve"> </w:t>
      </w:r>
      <w:r w:rsidR="000F2035" w:rsidRPr="00834B27">
        <w:rPr>
          <w:rFonts w:ascii="Calibri" w:hAnsi="Calibri" w:cs="Calibri"/>
          <w:lang w:val="ro-RO"/>
        </w:rPr>
        <w:t xml:space="preserve">de </w:t>
      </w:r>
      <w:r w:rsidR="001C052A" w:rsidRPr="00834B27">
        <w:rPr>
          <w:rFonts w:ascii="Calibri" w:hAnsi="Calibri" w:cs="Calibri"/>
          <w:lang w:val="ro-RO"/>
        </w:rPr>
        <w:t>către</w:t>
      </w:r>
      <w:r w:rsidR="000F2035" w:rsidRPr="00834B27">
        <w:rPr>
          <w:rFonts w:ascii="Calibri" w:hAnsi="Calibri" w:cs="Calibri"/>
          <w:lang w:val="ro-RO"/>
        </w:rPr>
        <w:t xml:space="preserve"> </w:t>
      </w:r>
      <w:r w:rsidR="001C052A" w:rsidRPr="00834B27">
        <w:rPr>
          <w:rFonts w:ascii="Calibri" w:hAnsi="Calibri" w:cs="Calibri"/>
          <w:lang w:val="ro-RO"/>
        </w:rPr>
        <w:t>chiriaș</w:t>
      </w:r>
      <w:r w:rsidRPr="00834B27">
        <w:rPr>
          <w:rFonts w:ascii="Calibri" w:hAnsi="Calibri" w:cs="Calibri"/>
          <w:lang w:val="ro-RO"/>
        </w:rPr>
        <w:t xml:space="preserve"> </w:t>
      </w:r>
      <w:r w:rsidR="001C052A" w:rsidRPr="00834B27">
        <w:rPr>
          <w:rFonts w:ascii="Calibri" w:hAnsi="Calibri" w:cs="Calibri"/>
          <w:lang w:val="ro-RO"/>
        </w:rPr>
        <w:t>ș</w:t>
      </w:r>
      <w:r w:rsidRPr="00834B27">
        <w:rPr>
          <w:rFonts w:ascii="Calibri" w:hAnsi="Calibri" w:cs="Calibri"/>
          <w:lang w:val="ro-RO"/>
        </w:rPr>
        <w:t xml:space="preserve">i plata la buget </w:t>
      </w:r>
      <w:r w:rsidR="00ED0B8B" w:rsidRPr="00834B27">
        <w:rPr>
          <w:rFonts w:ascii="Calibri" w:hAnsi="Calibri" w:cs="Calibri"/>
          <w:lang w:val="ro-RO"/>
        </w:rPr>
        <w:t>p</w:t>
      </w:r>
      <w:r w:rsidR="001C052A" w:rsidRPr="00834B27">
        <w:rPr>
          <w:rFonts w:ascii="Calibri" w:hAnsi="Calibri" w:cs="Calibri"/>
          <w:lang w:val="ro-RO"/>
        </w:rPr>
        <w:t>â</w:t>
      </w:r>
      <w:r w:rsidR="00ED0B8B" w:rsidRPr="00834B27">
        <w:rPr>
          <w:rFonts w:ascii="Calibri" w:hAnsi="Calibri" w:cs="Calibri"/>
          <w:lang w:val="ro-RO"/>
        </w:rPr>
        <w:t>n</w:t>
      </w:r>
      <w:r w:rsidR="001C052A" w:rsidRPr="00834B27">
        <w:rPr>
          <w:rFonts w:ascii="Calibri" w:hAnsi="Calibri" w:cs="Calibri"/>
          <w:lang w:val="ro-RO"/>
        </w:rPr>
        <w:t>ă</w:t>
      </w:r>
      <w:r w:rsidR="00ED0B8B" w:rsidRPr="00834B27">
        <w:rPr>
          <w:rFonts w:ascii="Calibri" w:hAnsi="Calibri" w:cs="Calibri"/>
          <w:lang w:val="ro-RO"/>
        </w:rPr>
        <w:t xml:space="preserve"> cel mai </w:t>
      </w:r>
      <w:r w:rsidR="001C052A" w:rsidRPr="00834B27">
        <w:rPr>
          <w:rFonts w:ascii="Calibri" w:hAnsi="Calibri" w:cs="Calibri"/>
          <w:lang w:val="ro-RO"/>
        </w:rPr>
        <w:t>târziu</w:t>
      </w:r>
      <w:r w:rsidR="00ED0B8B" w:rsidRPr="00834B27">
        <w:rPr>
          <w:rFonts w:ascii="Calibri" w:hAnsi="Calibri" w:cs="Calibri"/>
          <w:lang w:val="ro-RO"/>
        </w:rPr>
        <w:t xml:space="preserve"> la data de 25 ale lunii </w:t>
      </w:r>
      <w:r w:rsidR="001C052A" w:rsidRPr="00834B27">
        <w:rPr>
          <w:rFonts w:ascii="Calibri" w:hAnsi="Calibri" w:cs="Calibri"/>
          <w:lang w:val="ro-RO"/>
        </w:rPr>
        <w:t>următoare</w:t>
      </w:r>
      <w:r w:rsidR="00ED0B8B" w:rsidRPr="00834B27">
        <w:rPr>
          <w:rFonts w:ascii="Calibri" w:hAnsi="Calibri" w:cs="Calibri"/>
          <w:lang w:val="ro-RO"/>
        </w:rPr>
        <w:t xml:space="preserve"> </w:t>
      </w:r>
      <w:r w:rsidR="001C052A" w:rsidRPr="00834B27">
        <w:rPr>
          <w:rFonts w:ascii="Calibri" w:hAnsi="Calibri" w:cs="Calibri"/>
          <w:lang w:val="ro-RO"/>
        </w:rPr>
        <w:t>re</w:t>
      </w:r>
      <w:r w:rsidR="00D77C4B" w:rsidRPr="00834B27">
        <w:rPr>
          <w:rFonts w:ascii="Calibri" w:hAnsi="Calibri" w:cs="Calibri"/>
          <w:lang w:val="ro-RO"/>
        </w:rPr>
        <w:t>ț</w:t>
      </w:r>
      <w:r w:rsidR="001C052A" w:rsidRPr="00834B27">
        <w:rPr>
          <w:rFonts w:ascii="Calibri" w:hAnsi="Calibri" w:cs="Calibri"/>
          <w:lang w:val="ro-RO"/>
        </w:rPr>
        <w:t>inerii</w:t>
      </w:r>
      <w:r w:rsidR="00ED0B8B" w:rsidRPr="00834B27">
        <w:rPr>
          <w:rFonts w:ascii="Calibri" w:hAnsi="Calibri" w:cs="Calibri"/>
          <w:lang w:val="ro-RO"/>
        </w:rPr>
        <w:t>, dac</w:t>
      </w:r>
      <w:r w:rsidR="001C052A" w:rsidRPr="00834B27">
        <w:rPr>
          <w:rFonts w:ascii="Calibri" w:hAnsi="Calibri" w:cs="Calibri"/>
          <w:lang w:val="ro-RO"/>
        </w:rPr>
        <w:t>ă</w:t>
      </w:r>
      <w:r w:rsidR="00ED0B8B" w:rsidRPr="00834B27">
        <w:rPr>
          <w:rFonts w:ascii="Calibri" w:hAnsi="Calibri" w:cs="Calibri"/>
          <w:lang w:val="ro-RO"/>
        </w:rPr>
        <w:t xml:space="preserve"> </w:t>
      </w:r>
      <w:r w:rsidR="001C052A" w:rsidRPr="00834B27">
        <w:rPr>
          <w:rFonts w:ascii="Calibri" w:hAnsi="Calibri" w:cs="Calibri"/>
          <w:lang w:val="ro-RO"/>
        </w:rPr>
        <w:t>chiriașul</w:t>
      </w:r>
      <w:r w:rsidR="00ED0B8B" w:rsidRPr="00834B27">
        <w:rPr>
          <w:rFonts w:ascii="Calibri" w:hAnsi="Calibri" w:cs="Calibri"/>
          <w:lang w:val="ro-RO"/>
        </w:rPr>
        <w:t xml:space="preserve"> are </w:t>
      </w:r>
      <w:r w:rsidR="001C052A" w:rsidRPr="00834B27">
        <w:rPr>
          <w:rFonts w:ascii="Calibri" w:hAnsi="Calibri" w:cs="Calibri"/>
          <w:lang w:val="ro-RO"/>
        </w:rPr>
        <w:t>obliga</w:t>
      </w:r>
      <w:r w:rsidR="00D77C4B" w:rsidRPr="00834B27">
        <w:rPr>
          <w:rFonts w:ascii="Calibri" w:hAnsi="Calibri" w:cs="Calibri"/>
          <w:lang w:val="ro-RO"/>
        </w:rPr>
        <w:t>ț</w:t>
      </w:r>
      <w:r w:rsidR="001C052A" w:rsidRPr="00834B27">
        <w:rPr>
          <w:rFonts w:ascii="Calibri" w:hAnsi="Calibri" w:cs="Calibri"/>
          <w:lang w:val="ro-RO"/>
        </w:rPr>
        <w:t>ia</w:t>
      </w:r>
      <w:r w:rsidR="00ED0B8B" w:rsidRPr="00834B27">
        <w:rPr>
          <w:rFonts w:ascii="Calibri" w:hAnsi="Calibri" w:cs="Calibri"/>
          <w:lang w:val="ro-RO"/>
        </w:rPr>
        <w:t xml:space="preserve"> de a </w:t>
      </w:r>
      <w:r w:rsidR="00D77C4B" w:rsidRPr="00834B27">
        <w:rPr>
          <w:rFonts w:ascii="Calibri" w:hAnsi="Calibri" w:cs="Calibri"/>
          <w:lang w:val="ro-RO"/>
        </w:rPr>
        <w:t>ț</w:t>
      </w:r>
      <w:r w:rsidR="00ED0B8B" w:rsidRPr="00834B27">
        <w:rPr>
          <w:rFonts w:ascii="Calibri" w:hAnsi="Calibri" w:cs="Calibri"/>
          <w:lang w:val="ro-RO"/>
        </w:rPr>
        <w:t>ine contabilitate</w:t>
      </w:r>
      <w:r w:rsidR="00543937" w:rsidRPr="00834B27">
        <w:rPr>
          <w:rFonts w:ascii="Calibri" w:hAnsi="Calibri" w:cs="Calibri"/>
          <w:lang w:val="ro-RO"/>
        </w:rPr>
        <w:t>;</w:t>
      </w:r>
    </w:p>
    <w:p w14:paraId="1623DDE0" w14:textId="78834F44" w:rsidR="00543937" w:rsidRPr="00834B27" w:rsidRDefault="00543937" w:rsidP="00B91E74">
      <w:pPr>
        <w:pStyle w:val="Listparagraf"/>
        <w:numPr>
          <w:ilvl w:val="0"/>
          <w:numId w:val="1"/>
        </w:numPr>
        <w:spacing w:line="276" w:lineRule="auto"/>
        <w:ind w:left="360"/>
        <w:contextualSpacing w:val="0"/>
        <w:jc w:val="both"/>
        <w:rPr>
          <w:rFonts w:ascii="Calibri" w:hAnsi="Calibri" w:cs="Calibri"/>
          <w:lang w:val="ro-RO"/>
        </w:rPr>
      </w:pPr>
      <w:r w:rsidRPr="00834B27">
        <w:rPr>
          <w:rFonts w:ascii="Calibri" w:hAnsi="Calibri" w:cs="Calibri"/>
          <w:lang w:val="ro-RO"/>
        </w:rPr>
        <w:t xml:space="preserve">de </w:t>
      </w:r>
      <w:r w:rsidR="001C052A" w:rsidRPr="00834B27">
        <w:rPr>
          <w:rFonts w:ascii="Calibri" w:hAnsi="Calibri" w:cs="Calibri"/>
          <w:lang w:val="ro-RO"/>
        </w:rPr>
        <w:t>către</w:t>
      </w:r>
      <w:r w:rsidRPr="00834B27">
        <w:rPr>
          <w:rFonts w:ascii="Calibri" w:hAnsi="Calibri" w:cs="Calibri"/>
          <w:lang w:val="ro-RO"/>
        </w:rPr>
        <w:t xml:space="preserve"> </w:t>
      </w:r>
      <w:r w:rsidR="009F2AA7" w:rsidRPr="00834B27">
        <w:rPr>
          <w:rFonts w:ascii="Calibri" w:hAnsi="Calibri" w:cs="Calibri"/>
          <w:lang w:val="ro-RO"/>
        </w:rPr>
        <w:t>contribuabil, p</w:t>
      </w:r>
      <w:r w:rsidR="001C052A" w:rsidRPr="00834B27">
        <w:rPr>
          <w:rFonts w:ascii="Calibri" w:hAnsi="Calibri" w:cs="Calibri"/>
          <w:lang w:val="ro-RO"/>
        </w:rPr>
        <w:t>â</w:t>
      </w:r>
      <w:r w:rsidR="009F2AA7" w:rsidRPr="00834B27">
        <w:rPr>
          <w:rFonts w:ascii="Calibri" w:hAnsi="Calibri" w:cs="Calibri"/>
          <w:lang w:val="ro-RO"/>
        </w:rPr>
        <w:t>n</w:t>
      </w:r>
      <w:r w:rsidR="001C052A" w:rsidRPr="00834B27">
        <w:rPr>
          <w:rFonts w:ascii="Calibri" w:hAnsi="Calibri" w:cs="Calibri"/>
          <w:lang w:val="ro-RO"/>
        </w:rPr>
        <w:t>ă</w:t>
      </w:r>
      <w:r w:rsidR="009F2AA7" w:rsidRPr="00834B27">
        <w:rPr>
          <w:rFonts w:ascii="Calibri" w:hAnsi="Calibri" w:cs="Calibri"/>
          <w:lang w:val="ro-RO"/>
        </w:rPr>
        <w:t xml:space="preserve"> la termenul de depunere al D212, </w:t>
      </w:r>
      <w:r w:rsidR="001C052A" w:rsidRPr="00834B27">
        <w:rPr>
          <w:rFonts w:ascii="Calibri" w:hAnsi="Calibri" w:cs="Calibri"/>
          <w:lang w:val="ro-RO"/>
        </w:rPr>
        <w:t>î</w:t>
      </w:r>
      <w:r w:rsidR="009F2AA7" w:rsidRPr="00834B27">
        <w:rPr>
          <w:rFonts w:ascii="Calibri" w:hAnsi="Calibri" w:cs="Calibri"/>
          <w:lang w:val="ro-RO"/>
        </w:rPr>
        <w:t>n celelalte cazuri.</w:t>
      </w:r>
    </w:p>
    <w:p w14:paraId="5C14D9D1" w14:textId="77777777" w:rsidR="00C55DE8" w:rsidRPr="00834B27" w:rsidRDefault="00C55DE8" w:rsidP="00B91E74">
      <w:pPr>
        <w:spacing w:line="276" w:lineRule="auto"/>
        <w:jc w:val="both"/>
        <w:rPr>
          <w:rFonts w:ascii="Calibri" w:hAnsi="Calibri" w:cs="Calibri"/>
          <w:i/>
          <w:iCs/>
          <w:lang w:val="ro-RO"/>
        </w:rPr>
      </w:pPr>
    </w:p>
    <w:p w14:paraId="228C9576" w14:textId="77777777" w:rsidR="00C55DE8" w:rsidRPr="00834B27" w:rsidRDefault="00C55DE8" w:rsidP="00B91E74">
      <w:pPr>
        <w:spacing w:line="276" w:lineRule="auto"/>
        <w:jc w:val="both"/>
        <w:rPr>
          <w:rFonts w:ascii="Calibri" w:hAnsi="Calibri" w:cs="Calibri"/>
          <w:i/>
          <w:iCs/>
          <w:lang w:val="ro-RO"/>
        </w:rPr>
      </w:pPr>
    </w:p>
    <w:p w14:paraId="23646A0E" w14:textId="26F510A7" w:rsidR="000400FB" w:rsidRPr="00834B27" w:rsidRDefault="00D366FB" w:rsidP="00B91E74">
      <w:pPr>
        <w:spacing w:line="276" w:lineRule="auto"/>
        <w:jc w:val="both"/>
        <w:rPr>
          <w:rFonts w:ascii="Calibri" w:hAnsi="Calibri" w:cs="Calibri"/>
          <w:i/>
          <w:iCs/>
          <w:lang w:val="ro-RO"/>
        </w:rPr>
      </w:pPr>
      <w:r w:rsidRPr="00834B27">
        <w:rPr>
          <w:rFonts w:ascii="Calibri" w:hAnsi="Calibri" w:cs="Calibri"/>
          <w:i/>
          <w:iCs/>
          <w:lang w:val="ro-RO"/>
        </w:rPr>
        <w:t>Not</w:t>
      </w:r>
      <w:r w:rsidR="001C052A" w:rsidRPr="00834B27">
        <w:rPr>
          <w:rFonts w:ascii="Calibri" w:hAnsi="Calibri" w:cs="Calibri"/>
          <w:i/>
          <w:iCs/>
          <w:lang w:val="ro-RO"/>
        </w:rPr>
        <w:t>ă</w:t>
      </w:r>
      <w:r w:rsidRPr="00834B27">
        <w:rPr>
          <w:rFonts w:ascii="Calibri" w:hAnsi="Calibri" w:cs="Calibri"/>
          <w:i/>
          <w:iCs/>
          <w:lang w:val="ro-RO"/>
        </w:rPr>
        <w:t xml:space="preserve">: </w:t>
      </w:r>
    </w:p>
    <w:p w14:paraId="32DCDD74" w14:textId="22900AFA" w:rsidR="00D366FB" w:rsidRPr="00834B27" w:rsidRDefault="000400FB" w:rsidP="00B91E74">
      <w:pPr>
        <w:spacing w:line="276" w:lineRule="auto"/>
        <w:jc w:val="both"/>
        <w:rPr>
          <w:rFonts w:ascii="Calibri" w:hAnsi="Calibri" w:cs="Calibri"/>
          <w:lang w:val="ro-RO"/>
        </w:rPr>
      </w:pPr>
      <w:r w:rsidRPr="00834B27">
        <w:rPr>
          <w:rFonts w:ascii="Calibri" w:hAnsi="Calibri" w:cs="Calibri"/>
          <w:lang w:val="ro-RO"/>
        </w:rPr>
        <w:t>V</w:t>
      </w:r>
      <w:r w:rsidR="00D366FB" w:rsidRPr="00834B27">
        <w:rPr>
          <w:rFonts w:ascii="Calibri" w:hAnsi="Calibri" w:cs="Calibri"/>
          <w:lang w:val="ro-RO"/>
        </w:rPr>
        <w:t xml:space="preserve">eniturile din </w:t>
      </w:r>
      <w:r w:rsidR="001C052A" w:rsidRPr="00834B27">
        <w:rPr>
          <w:rFonts w:ascii="Calibri" w:hAnsi="Calibri" w:cs="Calibri"/>
          <w:lang w:val="ro-RO"/>
        </w:rPr>
        <w:t>închirierea</w:t>
      </w:r>
      <w:r w:rsidR="00D366FB" w:rsidRPr="00834B27">
        <w:rPr>
          <w:rFonts w:ascii="Calibri" w:hAnsi="Calibri" w:cs="Calibri"/>
          <w:lang w:val="ro-RO"/>
        </w:rPr>
        <w:t xml:space="preserve"> </w:t>
      </w:r>
      <w:r w:rsidR="003210EE" w:rsidRPr="00834B27">
        <w:rPr>
          <w:rFonts w:ascii="Calibri" w:hAnsi="Calibri" w:cs="Calibri"/>
          <w:lang w:val="ro-RO"/>
        </w:rPr>
        <w:t xml:space="preserve">pe termen scurt </w:t>
      </w:r>
      <w:r w:rsidR="00D366FB" w:rsidRPr="00834B27">
        <w:rPr>
          <w:rFonts w:ascii="Calibri" w:hAnsi="Calibri" w:cs="Calibri"/>
          <w:lang w:val="ro-RO"/>
        </w:rPr>
        <w:t xml:space="preserve">de </w:t>
      </w:r>
      <w:r w:rsidR="00520955" w:rsidRPr="00834B27">
        <w:rPr>
          <w:rFonts w:ascii="Calibri" w:hAnsi="Calibri" w:cs="Calibri"/>
          <w:lang w:val="ro-RO"/>
        </w:rPr>
        <w:t xml:space="preserve">mai mult de 7 </w:t>
      </w:r>
      <w:r w:rsidR="00D366FB" w:rsidRPr="00834B27">
        <w:rPr>
          <w:rFonts w:ascii="Calibri" w:hAnsi="Calibri" w:cs="Calibri"/>
          <w:lang w:val="ro-RO"/>
        </w:rPr>
        <w:t>camere</w:t>
      </w:r>
      <w:r w:rsidR="00051564" w:rsidRPr="00834B27">
        <w:rPr>
          <w:rFonts w:ascii="Calibri" w:hAnsi="Calibri" w:cs="Calibri"/>
          <w:lang w:val="ro-RO"/>
        </w:rPr>
        <w:t xml:space="preserve"> </w:t>
      </w:r>
      <w:r w:rsidR="001C052A" w:rsidRPr="00834B27">
        <w:rPr>
          <w:rFonts w:ascii="Calibri" w:hAnsi="Calibri" w:cs="Calibri"/>
          <w:lang w:val="ro-RO"/>
        </w:rPr>
        <w:t>î</w:t>
      </w:r>
      <w:r w:rsidR="00051564" w:rsidRPr="00834B27">
        <w:rPr>
          <w:rFonts w:ascii="Calibri" w:hAnsi="Calibri" w:cs="Calibri"/>
          <w:lang w:val="ro-RO"/>
        </w:rPr>
        <w:t xml:space="preserve">n </w:t>
      </w:r>
      <w:r w:rsidR="001C052A" w:rsidRPr="00834B27">
        <w:rPr>
          <w:rFonts w:ascii="Calibri" w:hAnsi="Calibri" w:cs="Calibri"/>
          <w:lang w:val="ro-RO"/>
        </w:rPr>
        <w:t>locuin</w:t>
      </w:r>
      <w:r w:rsidR="00D77C4B" w:rsidRPr="00834B27">
        <w:rPr>
          <w:rFonts w:ascii="Calibri" w:hAnsi="Calibri" w:cs="Calibri"/>
          <w:lang w:val="ro-RO"/>
        </w:rPr>
        <w:t>ț</w:t>
      </w:r>
      <w:r w:rsidR="001C052A" w:rsidRPr="00834B27">
        <w:rPr>
          <w:rFonts w:ascii="Calibri" w:hAnsi="Calibri" w:cs="Calibri"/>
          <w:lang w:val="ro-RO"/>
        </w:rPr>
        <w:t>e</w:t>
      </w:r>
      <w:r w:rsidR="00051564" w:rsidRPr="00834B27">
        <w:rPr>
          <w:rFonts w:ascii="Calibri" w:hAnsi="Calibri" w:cs="Calibri"/>
          <w:lang w:val="ro-RO"/>
        </w:rPr>
        <w:t xml:space="preserve"> proprii sau din </w:t>
      </w:r>
      <w:r w:rsidR="00131E52" w:rsidRPr="00834B27">
        <w:rPr>
          <w:rFonts w:ascii="Calibri" w:hAnsi="Calibri" w:cs="Calibri"/>
          <w:lang w:val="ro-RO"/>
        </w:rPr>
        <w:t xml:space="preserve">prestarea de servicii de cazare </w:t>
      </w:r>
      <w:r w:rsidR="002A648F" w:rsidRPr="00834B27">
        <w:rPr>
          <w:rFonts w:ascii="Calibri" w:hAnsi="Calibri" w:cs="Calibri"/>
          <w:lang w:val="ro-RO"/>
        </w:rPr>
        <w:t xml:space="preserve">nu sunt incluse </w:t>
      </w:r>
      <w:r w:rsidR="001C052A" w:rsidRPr="00834B27">
        <w:rPr>
          <w:rFonts w:ascii="Calibri" w:hAnsi="Calibri" w:cs="Calibri"/>
          <w:lang w:val="ro-RO"/>
        </w:rPr>
        <w:t>î</w:t>
      </w:r>
      <w:r w:rsidR="002A648F" w:rsidRPr="00834B27">
        <w:rPr>
          <w:rFonts w:ascii="Calibri" w:hAnsi="Calibri" w:cs="Calibri"/>
          <w:lang w:val="ro-RO"/>
        </w:rPr>
        <w:t>n aceste reglement</w:t>
      </w:r>
      <w:r w:rsidR="001C052A" w:rsidRPr="00834B27">
        <w:rPr>
          <w:rFonts w:ascii="Calibri" w:hAnsi="Calibri" w:cs="Calibri"/>
          <w:lang w:val="ro-RO"/>
        </w:rPr>
        <w:t>ă</w:t>
      </w:r>
      <w:r w:rsidR="002A648F" w:rsidRPr="00834B27">
        <w:rPr>
          <w:rFonts w:ascii="Calibri" w:hAnsi="Calibri" w:cs="Calibri"/>
          <w:lang w:val="ro-RO"/>
        </w:rPr>
        <w:t xml:space="preserve">ri, ci sunt considerate venituri din </w:t>
      </w:r>
      <w:r w:rsidR="001C052A" w:rsidRPr="00834B27">
        <w:rPr>
          <w:rFonts w:ascii="Calibri" w:hAnsi="Calibri" w:cs="Calibri"/>
          <w:lang w:val="ro-RO"/>
        </w:rPr>
        <w:t>activită</w:t>
      </w:r>
      <w:r w:rsidR="00D77C4B" w:rsidRPr="00834B27">
        <w:rPr>
          <w:rFonts w:ascii="Calibri" w:hAnsi="Calibri" w:cs="Calibri"/>
          <w:lang w:val="ro-RO"/>
        </w:rPr>
        <w:t>ț</w:t>
      </w:r>
      <w:r w:rsidR="001C052A" w:rsidRPr="00834B27">
        <w:rPr>
          <w:rFonts w:ascii="Calibri" w:hAnsi="Calibri" w:cs="Calibri"/>
          <w:lang w:val="ro-RO"/>
        </w:rPr>
        <w:t>i</w:t>
      </w:r>
      <w:r w:rsidR="002A648F" w:rsidRPr="00834B27">
        <w:rPr>
          <w:rFonts w:ascii="Calibri" w:hAnsi="Calibri" w:cs="Calibri"/>
          <w:lang w:val="ro-RO"/>
        </w:rPr>
        <w:t xml:space="preserve"> independente</w:t>
      </w:r>
      <w:r w:rsidR="009123AC" w:rsidRPr="00834B27">
        <w:rPr>
          <w:rFonts w:ascii="Calibri" w:hAnsi="Calibri" w:cs="Calibri"/>
          <w:lang w:val="ro-RO"/>
        </w:rPr>
        <w:t xml:space="preserve">. Pentru </w:t>
      </w:r>
      <w:r w:rsidR="001C052A" w:rsidRPr="00834B27">
        <w:rPr>
          <w:rFonts w:ascii="Calibri" w:hAnsi="Calibri" w:cs="Calibri"/>
          <w:lang w:val="ro-RO"/>
        </w:rPr>
        <w:t>închirierea</w:t>
      </w:r>
      <w:r w:rsidR="009123AC" w:rsidRPr="00834B27">
        <w:rPr>
          <w:rFonts w:ascii="Calibri" w:hAnsi="Calibri" w:cs="Calibri"/>
          <w:lang w:val="ro-RO"/>
        </w:rPr>
        <w:t xml:space="preserve"> </w:t>
      </w:r>
      <w:r w:rsidR="00161B92" w:rsidRPr="00834B27">
        <w:rPr>
          <w:rFonts w:ascii="Calibri" w:hAnsi="Calibri" w:cs="Calibri"/>
          <w:lang w:val="ro-RO"/>
        </w:rPr>
        <w:t xml:space="preserve">pe termen scurt </w:t>
      </w:r>
      <w:r w:rsidR="009123AC" w:rsidRPr="00834B27">
        <w:rPr>
          <w:rFonts w:ascii="Calibri" w:hAnsi="Calibri" w:cs="Calibri"/>
          <w:lang w:val="ro-RO"/>
        </w:rPr>
        <w:t xml:space="preserve">a cel mult </w:t>
      </w:r>
      <w:r w:rsidR="001C052A" w:rsidRPr="00834B27">
        <w:rPr>
          <w:rFonts w:ascii="Calibri" w:hAnsi="Calibri" w:cs="Calibri"/>
          <w:lang w:val="ro-RO"/>
        </w:rPr>
        <w:t>ș</w:t>
      </w:r>
      <w:r w:rsidR="00895232" w:rsidRPr="00834B27">
        <w:rPr>
          <w:rFonts w:ascii="Calibri" w:hAnsi="Calibri" w:cs="Calibri"/>
          <w:lang w:val="ro-RO"/>
        </w:rPr>
        <w:t>apte</w:t>
      </w:r>
      <w:r w:rsidR="009123AC" w:rsidRPr="00834B27">
        <w:rPr>
          <w:rFonts w:ascii="Calibri" w:hAnsi="Calibri" w:cs="Calibri"/>
          <w:lang w:val="ro-RO"/>
        </w:rPr>
        <w:t xml:space="preserve"> camere</w:t>
      </w:r>
      <w:r w:rsidR="00161B92" w:rsidRPr="00834B27">
        <w:rPr>
          <w:rFonts w:ascii="Calibri" w:hAnsi="Calibri" w:cs="Calibri"/>
          <w:lang w:val="ro-RO"/>
        </w:rPr>
        <w:t xml:space="preserve"> </w:t>
      </w:r>
      <w:r w:rsidR="002055F3" w:rsidRPr="00834B27">
        <w:rPr>
          <w:rFonts w:ascii="Calibri" w:hAnsi="Calibri" w:cs="Calibri"/>
          <w:lang w:val="ro-RO"/>
        </w:rPr>
        <w:t>î</w:t>
      </w:r>
      <w:r w:rsidR="00161B92" w:rsidRPr="00834B27">
        <w:rPr>
          <w:rFonts w:ascii="Calibri" w:hAnsi="Calibri" w:cs="Calibri"/>
          <w:lang w:val="ro-RO"/>
        </w:rPr>
        <w:t>n locuințe personale</w:t>
      </w:r>
      <w:r w:rsidR="009123AC" w:rsidRPr="00834B27">
        <w:rPr>
          <w:rFonts w:ascii="Calibri" w:hAnsi="Calibri" w:cs="Calibri"/>
          <w:lang w:val="ro-RO"/>
        </w:rPr>
        <w:t xml:space="preserve">, venitul impozabil se </w:t>
      </w:r>
      <w:r w:rsidR="001C052A" w:rsidRPr="00834B27">
        <w:rPr>
          <w:rFonts w:ascii="Calibri" w:hAnsi="Calibri" w:cs="Calibri"/>
          <w:lang w:val="ro-RO"/>
        </w:rPr>
        <w:t>calculează</w:t>
      </w:r>
      <w:r w:rsidR="009123AC" w:rsidRPr="00834B27">
        <w:rPr>
          <w:rFonts w:ascii="Calibri" w:hAnsi="Calibri" w:cs="Calibri"/>
          <w:lang w:val="ro-RO"/>
        </w:rPr>
        <w:t xml:space="preserve"> </w:t>
      </w:r>
      <w:r w:rsidR="001B2220" w:rsidRPr="00834B27">
        <w:rPr>
          <w:rFonts w:ascii="Calibri" w:hAnsi="Calibri" w:cs="Calibri"/>
          <w:lang w:val="ro-RO"/>
        </w:rPr>
        <w:t xml:space="preserve">prin </w:t>
      </w:r>
      <w:r w:rsidR="001C052A" w:rsidRPr="00834B27">
        <w:rPr>
          <w:rFonts w:ascii="Calibri" w:hAnsi="Calibri" w:cs="Calibri"/>
          <w:lang w:val="ro-RO"/>
        </w:rPr>
        <w:t>scăderea</w:t>
      </w:r>
      <w:r w:rsidR="001B2220" w:rsidRPr="00834B27">
        <w:rPr>
          <w:rFonts w:ascii="Calibri" w:hAnsi="Calibri" w:cs="Calibri"/>
          <w:lang w:val="ro-RO"/>
        </w:rPr>
        <w:t xml:space="preserve"> unei deduceri de 30% din venitul brut</w:t>
      </w:r>
      <w:r w:rsidR="001C052A" w:rsidRPr="00834B27">
        <w:rPr>
          <w:rFonts w:ascii="Calibri" w:hAnsi="Calibri" w:cs="Calibri"/>
          <w:lang w:val="ro-RO"/>
        </w:rPr>
        <w:t>,</w:t>
      </w:r>
      <w:r w:rsidR="00657FF3" w:rsidRPr="00834B27">
        <w:rPr>
          <w:rFonts w:ascii="Calibri" w:hAnsi="Calibri" w:cs="Calibri"/>
          <w:lang w:val="ro-RO"/>
        </w:rPr>
        <w:t xml:space="preserve"> iar pentru </w:t>
      </w:r>
      <w:r w:rsidR="001C052A" w:rsidRPr="00834B27">
        <w:rPr>
          <w:rFonts w:ascii="Calibri" w:hAnsi="Calibri" w:cs="Calibri"/>
          <w:lang w:val="ro-RO"/>
        </w:rPr>
        <w:t>închirierea</w:t>
      </w:r>
      <w:r w:rsidR="00657FF3" w:rsidRPr="00834B27">
        <w:rPr>
          <w:rFonts w:ascii="Calibri" w:hAnsi="Calibri" w:cs="Calibri"/>
          <w:lang w:val="ro-RO"/>
        </w:rPr>
        <w:t xml:space="preserve"> a mai mult de </w:t>
      </w:r>
      <w:r w:rsidR="001C052A" w:rsidRPr="00834B27">
        <w:rPr>
          <w:rFonts w:ascii="Calibri" w:hAnsi="Calibri" w:cs="Calibri"/>
          <w:lang w:val="ro-RO"/>
        </w:rPr>
        <w:t>ș</w:t>
      </w:r>
      <w:r w:rsidR="00895232" w:rsidRPr="00834B27">
        <w:rPr>
          <w:rFonts w:ascii="Calibri" w:hAnsi="Calibri" w:cs="Calibri"/>
          <w:lang w:val="ro-RO"/>
        </w:rPr>
        <w:t>apte</w:t>
      </w:r>
      <w:r w:rsidR="00657FF3" w:rsidRPr="00834B27">
        <w:rPr>
          <w:rFonts w:ascii="Calibri" w:hAnsi="Calibri" w:cs="Calibri"/>
          <w:lang w:val="ro-RO"/>
        </w:rPr>
        <w:t xml:space="preserve"> camere</w:t>
      </w:r>
      <w:r w:rsidR="001C052A" w:rsidRPr="00834B27">
        <w:rPr>
          <w:rFonts w:ascii="Calibri" w:hAnsi="Calibri" w:cs="Calibri"/>
          <w:lang w:val="ro-RO"/>
        </w:rPr>
        <w:t>,</w:t>
      </w:r>
      <w:r w:rsidR="00657FF3" w:rsidRPr="00834B27">
        <w:rPr>
          <w:rFonts w:ascii="Calibri" w:hAnsi="Calibri" w:cs="Calibri"/>
          <w:lang w:val="ro-RO"/>
        </w:rPr>
        <w:t xml:space="preserve"> venitul impozabil se </w:t>
      </w:r>
      <w:r w:rsidR="001C052A" w:rsidRPr="00834B27">
        <w:rPr>
          <w:rFonts w:ascii="Calibri" w:hAnsi="Calibri" w:cs="Calibri"/>
          <w:lang w:val="ro-RO"/>
        </w:rPr>
        <w:t>calculează</w:t>
      </w:r>
      <w:r w:rsidR="00657FF3" w:rsidRPr="00834B27">
        <w:rPr>
          <w:rFonts w:ascii="Calibri" w:hAnsi="Calibri" w:cs="Calibri"/>
          <w:lang w:val="ro-RO"/>
        </w:rPr>
        <w:t xml:space="preserve"> </w:t>
      </w:r>
      <w:r w:rsidR="00206480" w:rsidRPr="00834B27">
        <w:rPr>
          <w:rFonts w:ascii="Calibri" w:hAnsi="Calibri" w:cs="Calibri"/>
          <w:lang w:val="ro-RO"/>
        </w:rPr>
        <w:t xml:space="preserve">pe baza datelor din contabilitatea </w:t>
      </w:r>
      <w:r w:rsidR="001C052A" w:rsidRPr="00834B27">
        <w:rPr>
          <w:rFonts w:ascii="Calibri" w:hAnsi="Calibri" w:cs="Calibri"/>
          <w:lang w:val="ro-RO"/>
        </w:rPr>
        <w:t>î</w:t>
      </w:r>
      <w:r w:rsidR="00206480" w:rsidRPr="00834B27">
        <w:rPr>
          <w:rFonts w:ascii="Calibri" w:hAnsi="Calibri" w:cs="Calibri"/>
          <w:lang w:val="ro-RO"/>
        </w:rPr>
        <w:t>n partid</w:t>
      </w:r>
      <w:r w:rsidR="001C052A" w:rsidRPr="00834B27">
        <w:rPr>
          <w:rFonts w:ascii="Calibri" w:hAnsi="Calibri" w:cs="Calibri"/>
          <w:lang w:val="ro-RO"/>
        </w:rPr>
        <w:t>ă</w:t>
      </w:r>
      <w:r w:rsidR="00206480" w:rsidRPr="00834B27">
        <w:rPr>
          <w:rFonts w:ascii="Calibri" w:hAnsi="Calibri" w:cs="Calibri"/>
          <w:lang w:val="ro-RO"/>
        </w:rPr>
        <w:t xml:space="preserve"> simpl</w:t>
      </w:r>
      <w:r w:rsidR="001C052A" w:rsidRPr="00834B27">
        <w:rPr>
          <w:rFonts w:ascii="Calibri" w:hAnsi="Calibri" w:cs="Calibri"/>
          <w:lang w:val="ro-RO"/>
        </w:rPr>
        <w:t>ă</w:t>
      </w:r>
      <w:r w:rsidR="00206480" w:rsidRPr="00834B27">
        <w:rPr>
          <w:rFonts w:ascii="Calibri" w:hAnsi="Calibri" w:cs="Calibri"/>
          <w:lang w:val="ro-RO"/>
        </w:rPr>
        <w:t xml:space="preserve">. </w:t>
      </w:r>
      <w:r w:rsidR="001C052A" w:rsidRPr="00834B27">
        <w:rPr>
          <w:rFonts w:ascii="Calibri" w:hAnsi="Calibri" w:cs="Calibri"/>
          <w:lang w:val="ro-RO"/>
        </w:rPr>
        <w:t>Încadrarea</w:t>
      </w:r>
      <w:r w:rsidRPr="00834B27">
        <w:rPr>
          <w:rFonts w:ascii="Calibri" w:hAnsi="Calibri" w:cs="Calibri"/>
          <w:lang w:val="ro-RO"/>
        </w:rPr>
        <w:t xml:space="preserve"> </w:t>
      </w:r>
      <w:r w:rsidR="003776E4" w:rsidRPr="00834B27">
        <w:rPr>
          <w:rFonts w:ascii="Calibri" w:hAnsi="Calibri" w:cs="Calibri"/>
          <w:lang w:val="ro-RO"/>
        </w:rPr>
        <w:t xml:space="preserve">acestora </w:t>
      </w:r>
      <w:r w:rsidR="001C052A" w:rsidRPr="00834B27">
        <w:rPr>
          <w:rFonts w:ascii="Calibri" w:hAnsi="Calibri" w:cs="Calibri"/>
          <w:lang w:val="ro-RO"/>
        </w:rPr>
        <w:t>î</w:t>
      </w:r>
      <w:r w:rsidR="003776E4" w:rsidRPr="00834B27">
        <w:rPr>
          <w:rFonts w:ascii="Calibri" w:hAnsi="Calibri" w:cs="Calibri"/>
          <w:lang w:val="ro-RO"/>
        </w:rPr>
        <w:t xml:space="preserve">n categoria de </w:t>
      </w:r>
      <w:r w:rsidR="001C052A" w:rsidRPr="00834B27">
        <w:rPr>
          <w:rFonts w:ascii="Calibri" w:hAnsi="Calibri" w:cs="Calibri"/>
          <w:lang w:val="ro-RO"/>
        </w:rPr>
        <w:t>activită</w:t>
      </w:r>
      <w:r w:rsidR="00D77C4B" w:rsidRPr="00834B27">
        <w:rPr>
          <w:rFonts w:ascii="Calibri" w:hAnsi="Calibri" w:cs="Calibri"/>
          <w:lang w:val="ro-RO"/>
        </w:rPr>
        <w:t>ț</w:t>
      </w:r>
      <w:r w:rsidR="001C052A" w:rsidRPr="00834B27">
        <w:rPr>
          <w:rFonts w:ascii="Calibri" w:hAnsi="Calibri" w:cs="Calibri"/>
          <w:lang w:val="ro-RO"/>
        </w:rPr>
        <w:t>i</w:t>
      </w:r>
      <w:r w:rsidR="003776E4" w:rsidRPr="00834B27">
        <w:rPr>
          <w:rFonts w:ascii="Calibri" w:hAnsi="Calibri" w:cs="Calibri"/>
          <w:lang w:val="ro-RO"/>
        </w:rPr>
        <w:t xml:space="preserve"> independente are</w:t>
      </w:r>
      <w:r w:rsidR="005632CE" w:rsidRPr="00834B27">
        <w:rPr>
          <w:rFonts w:ascii="Calibri" w:hAnsi="Calibri" w:cs="Calibri"/>
          <w:lang w:val="ro-RO"/>
        </w:rPr>
        <w:t xml:space="preserve"> evident</w:t>
      </w:r>
      <w:r w:rsidR="003776E4" w:rsidRPr="00834B27">
        <w:rPr>
          <w:rFonts w:ascii="Calibri" w:hAnsi="Calibri" w:cs="Calibri"/>
          <w:lang w:val="ro-RO"/>
        </w:rPr>
        <w:t xml:space="preserve"> </w:t>
      </w:r>
      <w:r w:rsidR="001C052A" w:rsidRPr="00834B27">
        <w:rPr>
          <w:rFonts w:ascii="Calibri" w:hAnsi="Calibri" w:cs="Calibri"/>
          <w:lang w:val="ro-RO"/>
        </w:rPr>
        <w:t>implica</w:t>
      </w:r>
      <w:r w:rsidR="00D77C4B" w:rsidRPr="00834B27">
        <w:rPr>
          <w:rFonts w:ascii="Calibri" w:hAnsi="Calibri" w:cs="Calibri"/>
          <w:lang w:val="ro-RO"/>
        </w:rPr>
        <w:t>ț</w:t>
      </w:r>
      <w:r w:rsidR="001C052A" w:rsidRPr="00834B27">
        <w:rPr>
          <w:rFonts w:ascii="Calibri" w:hAnsi="Calibri" w:cs="Calibri"/>
          <w:lang w:val="ro-RO"/>
        </w:rPr>
        <w:t>ii</w:t>
      </w:r>
      <w:r w:rsidR="003776E4" w:rsidRPr="00834B27">
        <w:rPr>
          <w:rFonts w:ascii="Calibri" w:hAnsi="Calibri" w:cs="Calibri"/>
          <w:lang w:val="ro-RO"/>
        </w:rPr>
        <w:t xml:space="preserve"> </w:t>
      </w:r>
      <w:r w:rsidR="001C052A" w:rsidRPr="00834B27">
        <w:rPr>
          <w:rFonts w:ascii="Calibri" w:hAnsi="Calibri" w:cs="Calibri"/>
          <w:lang w:val="ro-RO"/>
        </w:rPr>
        <w:t>ș</w:t>
      </w:r>
      <w:r w:rsidR="003776E4" w:rsidRPr="00834B27">
        <w:rPr>
          <w:rFonts w:ascii="Calibri" w:hAnsi="Calibri" w:cs="Calibri"/>
          <w:lang w:val="ro-RO"/>
        </w:rPr>
        <w:t xml:space="preserve">i </w:t>
      </w:r>
      <w:r w:rsidR="001C052A" w:rsidRPr="00834B27">
        <w:rPr>
          <w:rFonts w:ascii="Calibri" w:hAnsi="Calibri" w:cs="Calibri"/>
          <w:lang w:val="ro-RO"/>
        </w:rPr>
        <w:t>î</w:t>
      </w:r>
      <w:r w:rsidR="003776E4" w:rsidRPr="00834B27">
        <w:rPr>
          <w:rFonts w:ascii="Calibri" w:hAnsi="Calibri" w:cs="Calibri"/>
          <w:lang w:val="ro-RO"/>
        </w:rPr>
        <w:t xml:space="preserve">n ceea ce </w:t>
      </w:r>
      <w:r w:rsidR="001C052A" w:rsidRPr="00834B27">
        <w:rPr>
          <w:rFonts w:ascii="Calibri" w:hAnsi="Calibri" w:cs="Calibri"/>
          <w:lang w:val="ro-RO"/>
        </w:rPr>
        <w:t>privește</w:t>
      </w:r>
      <w:r w:rsidR="003776E4" w:rsidRPr="00834B27">
        <w:rPr>
          <w:rFonts w:ascii="Calibri" w:hAnsi="Calibri" w:cs="Calibri"/>
          <w:lang w:val="ro-RO"/>
        </w:rPr>
        <w:t xml:space="preserve"> CAS </w:t>
      </w:r>
      <w:r w:rsidR="001C052A" w:rsidRPr="00834B27">
        <w:rPr>
          <w:rFonts w:ascii="Calibri" w:hAnsi="Calibri" w:cs="Calibri"/>
          <w:lang w:val="ro-RO"/>
        </w:rPr>
        <w:t>ș</w:t>
      </w:r>
      <w:r w:rsidR="003776E4" w:rsidRPr="00834B27">
        <w:rPr>
          <w:rFonts w:ascii="Calibri" w:hAnsi="Calibri" w:cs="Calibri"/>
          <w:lang w:val="ro-RO"/>
        </w:rPr>
        <w:t>i CASS</w:t>
      </w:r>
      <w:r w:rsidR="005632CE" w:rsidRPr="00834B27">
        <w:rPr>
          <w:rFonts w:ascii="Calibri" w:hAnsi="Calibri" w:cs="Calibri"/>
          <w:lang w:val="ro-RO"/>
        </w:rPr>
        <w:t>.</w:t>
      </w:r>
    </w:p>
    <w:p w14:paraId="288F8630" w14:textId="3B5A150A" w:rsidR="000400FB" w:rsidRPr="00834B27" w:rsidRDefault="005632CE" w:rsidP="00B91E74">
      <w:pPr>
        <w:spacing w:line="276" w:lineRule="auto"/>
        <w:jc w:val="both"/>
        <w:rPr>
          <w:rFonts w:ascii="Calibri" w:hAnsi="Calibri" w:cs="Calibri"/>
          <w:lang w:val="ro-RO"/>
        </w:rPr>
      </w:pPr>
      <w:r w:rsidRPr="00834B27">
        <w:rPr>
          <w:rFonts w:ascii="Calibri" w:hAnsi="Calibri" w:cs="Calibri"/>
          <w:lang w:val="ro-RO"/>
        </w:rPr>
        <w:t xml:space="preserve">Astfel, pentru veniturile din </w:t>
      </w:r>
      <w:r w:rsidR="001C052A" w:rsidRPr="00834B27">
        <w:rPr>
          <w:rFonts w:ascii="Calibri" w:hAnsi="Calibri" w:cs="Calibri"/>
          <w:lang w:val="ro-RO"/>
        </w:rPr>
        <w:t>închiriere</w:t>
      </w:r>
      <w:r w:rsidRPr="00834B27">
        <w:rPr>
          <w:rFonts w:ascii="Calibri" w:hAnsi="Calibri" w:cs="Calibri"/>
          <w:lang w:val="ro-RO"/>
        </w:rPr>
        <w:t xml:space="preserve"> avem </w:t>
      </w:r>
      <w:r w:rsidR="00161B92" w:rsidRPr="00834B27">
        <w:rPr>
          <w:rFonts w:ascii="Calibri" w:hAnsi="Calibri" w:cs="Calibri"/>
          <w:lang w:val="ro-RO"/>
        </w:rPr>
        <w:t>3</w:t>
      </w:r>
      <w:r w:rsidRPr="00834B27">
        <w:rPr>
          <w:rFonts w:ascii="Calibri" w:hAnsi="Calibri" w:cs="Calibri"/>
          <w:lang w:val="ro-RO"/>
        </w:rPr>
        <w:t xml:space="preserve"> tipuri de </w:t>
      </w:r>
      <w:r w:rsidR="001C052A" w:rsidRPr="00834B27">
        <w:rPr>
          <w:rFonts w:ascii="Calibri" w:hAnsi="Calibri" w:cs="Calibri"/>
          <w:lang w:val="ro-RO"/>
        </w:rPr>
        <w:t>reglementări</w:t>
      </w:r>
      <w:r w:rsidRPr="00834B27">
        <w:rPr>
          <w:rFonts w:ascii="Calibri" w:hAnsi="Calibri" w:cs="Calibri"/>
          <w:lang w:val="ro-RO"/>
        </w:rPr>
        <w:t xml:space="preserve"> distincte a SFT!</w:t>
      </w:r>
    </w:p>
    <w:p w14:paraId="2038DC20" w14:textId="77777777" w:rsidR="001C052A" w:rsidRPr="00834B27" w:rsidRDefault="001C052A" w:rsidP="00B91E74">
      <w:pPr>
        <w:spacing w:line="276" w:lineRule="auto"/>
        <w:jc w:val="both"/>
        <w:rPr>
          <w:rFonts w:ascii="Calibri" w:hAnsi="Calibri" w:cs="Calibri"/>
          <w:lang w:val="ro-RO"/>
        </w:rPr>
      </w:pPr>
    </w:p>
    <w:p w14:paraId="3700461F" w14:textId="069C2FAF" w:rsidR="00CB2448" w:rsidRPr="00834B27" w:rsidRDefault="00CB2448" w:rsidP="005030D8">
      <w:pPr>
        <w:keepNext/>
        <w:spacing w:line="276" w:lineRule="auto"/>
        <w:jc w:val="both"/>
        <w:rPr>
          <w:rFonts w:ascii="Calibri" w:hAnsi="Calibri" w:cs="Calibri"/>
          <w:b/>
          <w:bCs/>
          <w:i/>
          <w:iCs/>
          <w:lang w:val="ro-RO"/>
        </w:rPr>
      </w:pPr>
      <w:r w:rsidRPr="00834B27">
        <w:rPr>
          <w:rFonts w:ascii="Calibri" w:hAnsi="Calibri" w:cs="Calibri"/>
          <w:b/>
          <w:bCs/>
          <w:i/>
          <w:iCs/>
          <w:lang w:val="ro-RO"/>
        </w:rPr>
        <w:t>Scurt istoric</w:t>
      </w:r>
    </w:p>
    <w:p w14:paraId="02B48521" w14:textId="5B08414A" w:rsidR="00CB2448" w:rsidRPr="00834B27" w:rsidRDefault="00DF4C13" w:rsidP="005030D8">
      <w:pPr>
        <w:keepNext/>
        <w:spacing w:line="276" w:lineRule="auto"/>
        <w:jc w:val="both"/>
        <w:rPr>
          <w:rFonts w:ascii="Calibri" w:hAnsi="Calibri" w:cs="Calibri"/>
          <w:i/>
          <w:iCs/>
          <w:lang w:val="ro-RO"/>
        </w:rPr>
      </w:pPr>
      <w:r w:rsidRPr="00834B27">
        <w:rPr>
          <w:rFonts w:ascii="Calibri" w:hAnsi="Calibri" w:cs="Calibri"/>
          <w:i/>
          <w:iCs/>
          <w:lang w:val="ro-RO"/>
        </w:rPr>
        <w:t xml:space="preserve">Pe </w:t>
      </w:r>
      <w:r w:rsidR="001C052A" w:rsidRPr="00834B27">
        <w:rPr>
          <w:rFonts w:ascii="Calibri" w:hAnsi="Calibri" w:cs="Calibri"/>
          <w:i/>
          <w:iCs/>
          <w:lang w:val="ro-RO"/>
        </w:rPr>
        <w:t>lângă</w:t>
      </w:r>
      <w:r w:rsidRPr="00834B27">
        <w:rPr>
          <w:rFonts w:ascii="Calibri" w:hAnsi="Calibri" w:cs="Calibri"/>
          <w:i/>
          <w:iCs/>
          <w:lang w:val="ro-RO"/>
        </w:rPr>
        <w:t xml:space="preserve"> </w:t>
      </w:r>
      <w:r w:rsidR="001C052A" w:rsidRPr="00834B27">
        <w:rPr>
          <w:rFonts w:ascii="Calibri" w:hAnsi="Calibri" w:cs="Calibri"/>
          <w:i/>
          <w:iCs/>
          <w:lang w:val="ro-RO"/>
        </w:rPr>
        <w:t>modificările</w:t>
      </w:r>
      <w:r w:rsidRPr="00834B27">
        <w:rPr>
          <w:rFonts w:ascii="Calibri" w:hAnsi="Calibri" w:cs="Calibri"/>
          <w:i/>
          <w:iCs/>
          <w:lang w:val="ro-RO"/>
        </w:rPr>
        <w:t xml:space="preserve"> de cote (18-40% p</w:t>
      </w:r>
      <w:r w:rsidR="001C052A" w:rsidRPr="00834B27">
        <w:rPr>
          <w:rFonts w:ascii="Calibri" w:hAnsi="Calibri" w:cs="Calibri"/>
          <w:i/>
          <w:iCs/>
          <w:lang w:val="ro-RO"/>
        </w:rPr>
        <w:t>â</w:t>
      </w:r>
      <w:r w:rsidRPr="00834B27">
        <w:rPr>
          <w:rFonts w:ascii="Calibri" w:hAnsi="Calibri" w:cs="Calibri"/>
          <w:i/>
          <w:iCs/>
          <w:lang w:val="ro-RO"/>
        </w:rPr>
        <w:t>n</w:t>
      </w:r>
      <w:r w:rsidR="001C052A" w:rsidRPr="00834B27">
        <w:rPr>
          <w:rFonts w:ascii="Calibri" w:hAnsi="Calibri" w:cs="Calibri"/>
          <w:i/>
          <w:iCs/>
          <w:lang w:val="ro-RO"/>
        </w:rPr>
        <w:t>ă</w:t>
      </w:r>
      <w:r w:rsidRPr="00834B27">
        <w:rPr>
          <w:rFonts w:ascii="Calibri" w:hAnsi="Calibri" w:cs="Calibri"/>
          <w:i/>
          <w:iCs/>
          <w:lang w:val="ro-RO"/>
        </w:rPr>
        <w:t xml:space="preserve"> </w:t>
      </w:r>
      <w:r w:rsidR="001C052A" w:rsidRPr="00834B27">
        <w:rPr>
          <w:rFonts w:ascii="Calibri" w:hAnsi="Calibri" w:cs="Calibri"/>
          <w:i/>
          <w:iCs/>
          <w:lang w:val="ro-RO"/>
        </w:rPr>
        <w:t>î</w:t>
      </w:r>
      <w:r w:rsidRPr="00834B27">
        <w:rPr>
          <w:rFonts w:ascii="Calibri" w:hAnsi="Calibri" w:cs="Calibri"/>
          <w:i/>
          <w:iCs/>
          <w:lang w:val="ro-RO"/>
        </w:rPr>
        <w:t xml:space="preserve">n 2004, 16% </w:t>
      </w:r>
      <w:r w:rsidR="001C052A" w:rsidRPr="00834B27">
        <w:rPr>
          <w:rFonts w:ascii="Calibri" w:hAnsi="Calibri" w:cs="Calibri"/>
          <w:i/>
          <w:iCs/>
          <w:lang w:val="ro-RO"/>
        </w:rPr>
        <w:t>î</w:t>
      </w:r>
      <w:r w:rsidRPr="00834B27">
        <w:rPr>
          <w:rFonts w:ascii="Calibri" w:hAnsi="Calibri" w:cs="Calibri"/>
          <w:i/>
          <w:iCs/>
          <w:lang w:val="ro-RO"/>
        </w:rPr>
        <w:t>ntre</w:t>
      </w:r>
      <w:r w:rsidR="002B1025" w:rsidRPr="00834B27">
        <w:rPr>
          <w:rFonts w:ascii="Calibri" w:hAnsi="Calibri" w:cs="Calibri"/>
          <w:i/>
          <w:iCs/>
          <w:lang w:val="ro-RO"/>
        </w:rPr>
        <w:t xml:space="preserve"> 2005 </w:t>
      </w:r>
      <w:r w:rsidR="001C052A" w:rsidRPr="00834B27">
        <w:rPr>
          <w:rFonts w:ascii="Calibri" w:hAnsi="Calibri" w:cs="Calibri"/>
          <w:i/>
          <w:iCs/>
          <w:lang w:val="ro-RO"/>
        </w:rPr>
        <w:t>ș</w:t>
      </w:r>
      <w:r w:rsidR="002B1025" w:rsidRPr="00834B27">
        <w:rPr>
          <w:rFonts w:ascii="Calibri" w:hAnsi="Calibri" w:cs="Calibri"/>
          <w:i/>
          <w:iCs/>
          <w:lang w:val="ro-RO"/>
        </w:rPr>
        <w:t>i 2017, 10% din 2018), a</w:t>
      </w:r>
      <w:r w:rsidR="00285F1A" w:rsidRPr="00834B27">
        <w:rPr>
          <w:rFonts w:ascii="Calibri" w:hAnsi="Calibri" w:cs="Calibri"/>
          <w:i/>
          <w:iCs/>
          <w:lang w:val="ro-RO"/>
        </w:rPr>
        <w:t>u mai</w:t>
      </w:r>
      <w:r w:rsidR="002B1025" w:rsidRPr="00834B27">
        <w:rPr>
          <w:rFonts w:ascii="Calibri" w:hAnsi="Calibri" w:cs="Calibri"/>
          <w:i/>
          <w:iCs/>
          <w:lang w:val="ro-RO"/>
        </w:rPr>
        <w:t xml:space="preserve"> avut</w:t>
      </w:r>
      <w:r w:rsidR="00285F1A" w:rsidRPr="00834B27">
        <w:rPr>
          <w:rFonts w:ascii="Calibri" w:hAnsi="Calibri" w:cs="Calibri"/>
          <w:i/>
          <w:iCs/>
          <w:lang w:val="ro-RO"/>
        </w:rPr>
        <w:t xml:space="preserve"> loc</w:t>
      </w:r>
      <w:r w:rsidR="002B1025" w:rsidRPr="00834B27">
        <w:rPr>
          <w:rFonts w:ascii="Calibri" w:hAnsi="Calibri" w:cs="Calibri"/>
          <w:i/>
          <w:iCs/>
          <w:lang w:val="ro-RO"/>
        </w:rPr>
        <w:t xml:space="preserve"> </w:t>
      </w:r>
      <w:r w:rsidR="001C052A" w:rsidRPr="00834B27">
        <w:rPr>
          <w:rFonts w:ascii="Calibri" w:hAnsi="Calibri" w:cs="Calibri"/>
          <w:i/>
          <w:iCs/>
          <w:lang w:val="ro-RO"/>
        </w:rPr>
        <w:t>ș</w:t>
      </w:r>
      <w:r w:rsidR="002B1025" w:rsidRPr="00834B27">
        <w:rPr>
          <w:rFonts w:ascii="Calibri" w:hAnsi="Calibri" w:cs="Calibri"/>
          <w:i/>
          <w:iCs/>
          <w:lang w:val="ro-RO"/>
        </w:rPr>
        <w:t xml:space="preserve">i </w:t>
      </w:r>
      <w:r w:rsidR="001C052A" w:rsidRPr="00834B27">
        <w:rPr>
          <w:rFonts w:ascii="Calibri" w:hAnsi="Calibri" w:cs="Calibri"/>
          <w:i/>
          <w:iCs/>
          <w:lang w:val="ro-RO"/>
        </w:rPr>
        <w:t>modificări</w:t>
      </w:r>
      <w:r w:rsidR="002B1025" w:rsidRPr="00834B27">
        <w:rPr>
          <w:rFonts w:ascii="Calibri" w:hAnsi="Calibri" w:cs="Calibri"/>
          <w:i/>
          <w:iCs/>
          <w:lang w:val="ro-RO"/>
        </w:rPr>
        <w:t xml:space="preserve"> </w:t>
      </w:r>
      <w:r w:rsidR="001C052A" w:rsidRPr="00834B27">
        <w:rPr>
          <w:rFonts w:ascii="Calibri" w:hAnsi="Calibri" w:cs="Calibri"/>
          <w:i/>
          <w:iCs/>
          <w:lang w:val="ro-RO"/>
        </w:rPr>
        <w:t>î</w:t>
      </w:r>
      <w:r w:rsidR="002B1025" w:rsidRPr="00834B27">
        <w:rPr>
          <w:rFonts w:ascii="Calibri" w:hAnsi="Calibri" w:cs="Calibri"/>
          <w:i/>
          <w:iCs/>
          <w:lang w:val="ro-RO"/>
        </w:rPr>
        <w:t xml:space="preserve">n ceea ce </w:t>
      </w:r>
      <w:r w:rsidR="001C052A" w:rsidRPr="00834B27">
        <w:rPr>
          <w:rFonts w:ascii="Calibri" w:hAnsi="Calibri" w:cs="Calibri"/>
          <w:i/>
          <w:iCs/>
          <w:lang w:val="ro-RO"/>
        </w:rPr>
        <w:t>privește</w:t>
      </w:r>
      <w:r w:rsidR="002B1025" w:rsidRPr="00834B27">
        <w:rPr>
          <w:rFonts w:ascii="Calibri" w:hAnsi="Calibri" w:cs="Calibri"/>
          <w:i/>
          <w:iCs/>
          <w:lang w:val="ro-RO"/>
        </w:rPr>
        <w:t xml:space="preserve"> modul de calcul al deducerii</w:t>
      </w:r>
      <w:r w:rsidR="00244B08" w:rsidRPr="00834B27">
        <w:rPr>
          <w:rFonts w:ascii="Calibri" w:hAnsi="Calibri" w:cs="Calibri"/>
          <w:i/>
          <w:iCs/>
          <w:lang w:val="ro-RO"/>
        </w:rPr>
        <w:t xml:space="preserve">, </w:t>
      </w:r>
      <w:r w:rsidR="00166301" w:rsidRPr="00834B27">
        <w:rPr>
          <w:rFonts w:ascii="Calibri" w:hAnsi="Calibri" w:cs="Calibri"/>
          <w:i/>
          <w:iCs/>
          <w:lang w:val="ro-RO"/>
        </w:rPr>
        <w:t>care</w:t>
      </w:r>
      <w:r w:rsidR="00244B08" w:rsidRPr="00834B27">
        <w:rPr>
          <w:rFonts w:ascii="Calibri" w:hAnsi="Calibri" w:cs="Calibri"/>
          <w:i/>
          <w:iCs/>
          <w:lang w:val="ro-RO"/>
        </w:rPr>
        <w:t xml:space="preserve"> a fost</w:t>
      </w:r>
      <w:r w:rsidR="00285F1A" w:rsidRPr="00834B27">
        <w:rPr>
          <w:rFonts w:ascii="Calibri" w:hAnsi="Calibri" w:cs="Calibri"/>
          <w:i/>
          <w:iCs/>
          <w:lang w:val="ro-RO"/>
        </w:rPr>
        <w:t xml:space="preserve"> de</w:t>
      </w:r>
      <w:r w:rsidR="00244B08" w:rsidRPr="00834B27">
        <w:rPr>
          <w:rFonts w:ascii="Calibri" w:hAnsi="Calibri" w:cs="Calibri"/>
          <w:i/>
          <w:iCs/>
          <w:lang w:val="ro-RO"/>
        </w:rPr>
        <w:t xml:space="preserve"> 40% p</w:t>
      </w:r>
      <w:r w:rsidR="00166301" w:rsidRPr="00834B27">
        <w:rPr>
          <w:rFonts w:ascii="Calibri" w:hAnsi="Calibri" w:cs="Calibri"/>
          <w:i/>
          <w:iCs/>
          <w:lang w:val="ro-RO"/>
        </w:rPr>
        <w:t>â</w:t>
      </w:r>
      <w:r w:rsidR="00244B08" w:rsidRPr="00834B27">
        <w:rPr>
          <w:rFonts w:ascii="Calibri" w:hAnsi="Calibri" w:cs="Calibri"/>
          <w:i/>
          <w:iCs/>
          <w:lang w:val="ro-RO"/>
        </w:rPr>
        <w:t>n</w:t>
      </w:r>
      <w:r w:rsidR="00166301" w:rsidRPr="00834B27">
        <w:rPr>
          <w:rFonts w:ascii="Calibri" w:hAnsi="Calibri" w:cs="Calibri"/>
          <w:i/>
          <w:iCs/>
          <w:lang w:val="ro-RO"/>
        </w:rPr>
        <w:t>ă</w:t>
      </w:r>
      <w:r w:rsidR="00244B08" w:rsidRPr="00834B27">
        <w:rPr>
          <w:rFonts w:ascii="Calibri" w:hAnsi="Calibri" w:cs="Calibri"/>
          <w:i/>
          <w:iCs/>
          <w:lang w:val="ro-RO"/>
        </w:rPr>
        <w:t xml:space="preserve"> </w:t>
      </w:r>
      <w:r w:rsidR="00166301" w:rsidRPr="00834B27">
        <w:rPr>
          <w:rFonts w:ascii="Calibri" w:hAnsi="Calibri" w:cs="Calibri"/>
          <w:i/>
          <w:iCs/>
          <w:lang w:val="ro-RO"/>
        </w:rPr>
        <w:t>î</w:t>
      </w:r>
      <w:r w:rsidR="00244B08" w:rsidRPr="00834B27">
        <w:rPr>
          <w:rFonts w:ascii="Calibri" w:hAnsi="Calibri" w:cs="Calibri"/>
          <w:i/>
          <w:iCs/>
          <w:lang w:val="ro-RO"/>
        </w:rPr>
        <w:t>n 2022, 0</w:t>
      </w:r>
      <w:r w:rsidR="00285F1A" w:rsidRPr="00834B27">
        <w:rPr>
          <w:rFonts w:ascii="Calibri" w:hAnsi="Calibri" w:cs="Calibri"/>
          <w:i/>
          <w:iCs/>
          <w:lang w:val="ro-RO"/>
        </w:rPr>
        <w:t>%</w:t>
      </w:r>
      <w:r w:rsidR="00244B08" w:rsidRPr="00834B27">
        <w:rPr>
          <w:rFonts w:ascii="Calibri" w:hAnsi="Calibri" w:cs="Calibri"/>
          <w:i/>
          <w:iCs/>
          <w:lang w:val="ro-RO"/>
        </w:rPr>
        <w:t xml:space="preserve"> </w:t>
      </w:r>
      <w:r w:rsidR="00166301" w:rsidRPr="00834B27">
        <w:rPr>
          <w:rFonts w:ascii="Calibri" w:hAnsi="Calibri" w:cs="Calibri"/>
          <w:i/>
          <w:iCs/>
          <w:lang w:val="ro-RO"/>
        </w:rPr>
        <w:t>î</w:t>
      </w:r>
      <w:r w:rsidR="00244B08" w:rsidRPr="00834B27">
        <w:rPr>
          <w:rFonts w:ascii="Calibri" w:hAnsi="Calibri" w:cs="Calibri"/>
          <w:i/>
          <w:iCs/>
          <w:lang w:val="ro-RO"/>
        </w:rPr>
        <w:t>n 2023, 20% din 2024</w:t>
      </w:r>
      <w:r w:rsidR="00421532" w:rsidRPr="00834B27">
        <w:rPr>
          <w:rFonts w:ascii="Calibri" w:hAnsi="Calibri" w:cs="Calibri"/>
          <w:i/>
          <w:iCs/>
          <w:lang w:val="ro-RO"/>
        </w:rPr>
        <w:t>.</w:t>
      </w:r>
    </w:p>
    <w:p w14:paraId="5976633E" w14:textId="571C0464" w:rsidR="00421532" w:rsidRPr="00834B27" w:rsidRDefault="00421532" w:rsidP="00B91E74">
      <w:pPr>
        <w:spacing w:line="276" w:lineRule="auto"/>
        <w:jc w:val="both"/>
        <w:rPr>
          <w:rFonts w:ascii="Calibri" w:hAnsi="Calibri" w:cs="Calibri"/>
          <w:i/>
          <w:iCs/>
          <w:lang w:val="ro-RO"/>
        </w:rPr>
      </w:pPr>
      <w:r w:rsidRPr="00834B27">
        <w:rPr>
          <w:rFonts w:ascii="Calibri" w:hAnsi="Calibri" w:cs="Calibri"/>
          <w:i/>
          <w:iCs/>
          <w:lang w:val="ro-RO"/>
        </w:rPr>
        <w:t>Din anul 2016 p</w:t>
      </w:r>
      <w:r w:rsidR="00FE15AD" w:rsidRPr="00834B27">
        <w:rPr>
          <w:rFonts w:ascii="Calibri" w:hAnsi="Calibri" w:cs="Calibri"/>
          <w:i/>
          <w:iCs/>
          <w:lang w:val="ro-RO"/>
        </w:rPr>
        <w:t>â</w:t>
      </w:r>
      <w:r w:rsidRPr="00834B27">
        <w:rPr>
          <w:rFonts w:ascii="Calibri" w:hAnsi="Calibri" w:cs="Calibri"/>
          <w:i/>
          <w:iCs/>
          <w:lang w:val="ro-RO"/>
        </w:rPr>
        <w:t>n</w:t>
      </w:r>
      <w:r w:rsidR="00FE15AD" w:rsidRPr="00834B27">
        <w:rPr>
          <w:rFonts w:ascii="Calibri" w:hAnsi="Calibri" w:cs="Calibri"/>
          <w:i/>
          <w:iCs/>
          <w:lang w:val="ro-RO"/>
        </w:rPr>
        <w:t>ă</w:t>
      </w:r>
      <w:r w:rsidRPr="00834B27">
        <w:rPr>
          <w:rFonts w:ascii="Calibri" w:hAnsi="Calibri" w:cs="Calibri"/>
          <w:i/>
          <w:iCs/>
          <w:lang w:val="ro-RO"/>
        </w:rPr>
        <w:t xml:space="preserve"> </w:t>
      </w:r>
      <w:r w:rsidR="00166301" w:rsidRPr="00834B27">
        <w:rPr>
          <w:rFonts w:ascii="Calibri" w:hAnsi="Calibri" w:cs="Calibri"/>
          <w:i/>
          <w:iCs/>
          <w:lang w:val="ro-RO"/>
        </w:rPr>
        <w:t>î</w:t>
      </w:r>
      <w:r w:rsidRPr="00834B27">
        <w:rPr>
          <w:rFonts w:ascii="Calibri" w:hAnsi="Calibri" w:cs="Calibri"/>
          <w:i/>
          <w:iCs/>
          <w:lang w:val="ro-RO"/>
        </w:rPr>
        <w:t>n anul 202</w:t>
      </w:r>
      <w:r w:rsidR="003B479D" w:rsidRPr="00834B27">
        <w:rPr>
          <w:rFonts w:ascii="Calibri" w:hAnsi="Calibri" w:cs="Calibri"/>
          <w:i/>
          <w:iCs/>
          <w:lang w:val="ro-RO"/>
        </w:rPr>
        <w:t>3</w:t>
      </w:r>
      <w:r w:rsidR="00D5700E" w:rsidRPr="00834B27">
        <w:rPr>
          <w:rFonts w:ascii="Calibri" w:hAnsi="Calibri" w:cs="Calibri"/>
          <w:i/>
          <w:iCs/>
          <w:lang w:val="ro-RO"/>
        </w:rPr>
        <w:t>, per</w:t>
      </w:r>
      <w:r w:rsidR="002B4F5E" w:rsidRPr="00834B27">
        <w:rPr>
          <w:rFonts w:ascii="Calibri" w:hAnsi="Calibri" w:cs="Calibri"/>
          <w:i/>
          <w:iCs/>
          <w:lang w:val="ro-RO"/>
        </w:rPr>
        <w:t>so</w:t>
      </w:r>
      <w:r w:rsidR="00D5700E" w:rsidRPr="00834B27">
        <w:rPr>
          <w:rFonts w:ascii="Calibri" w:hAnsi="Calibri" w:cs="Calibri"/>
          <w:i/>
          <w:iCs/>
          <w:lang w:val="ro-RO"/>
        </w:rPr>
        <w:t xml:space="preserve">anele care </w:t>
      </w:r>
      <w:r w:rsidR="00166301" w:rsidRPr="00834B27">
        <w:rPr>
          <w:rFonts w:ascii="Calibri" w:hAnsi="Calibri" w:cs="Calibri"/>
          <w:i/>
          <w:iCs/>
          <w:lang w:val="ro-RO"/>
        </w:rPr>
        <w:t>ob</w:t>
      </w:r>
      <w:r w:rsidR="00D77C4B" w:rsidRPr="00834B27">
        <w:rPr>
          <w:rFonts w:ascii="Calibri" w:hAnsi="Calibri" w:cs="Calibri"/>
          <w:i/>
          <w:iCs/>
          <w:lang w:val="ro-RO"/>
        </w:rPr>
        <w:t>ț</w:t>
      </w:r>
      <w:r w:rsidR="00166301" w:rsidRPr="00834B27">
        <w:rPr>
          <w:rFonts w:ascii="Calibri" w:hAnsi="Calibri" w:cs="Calibri"/>
          <w:i/>
          <w:iCs/>
          <w:lang w:val="ro-RO"/>
        </w:rPr>
        <w:t>ineau</w:t>
      </w:r>
      <w:r w:rsidR="00D5700E" w:rsidRPr="00834B27">
        <w:rPr>
          <w:rFonts w:ascii="Calibri" w:hAnsi="Calibri" w:cs="Calibri"/>
          <w:i/>
          <w:iCs/>
          <w:lang w:val="ro-RO"/>
        </w:rPr>
        <w:t xml:space="preserve"> venituri din cel </w:t>
      </w:r>
      <w:r w:rsidR="00166301" w:rsidRPr="00834B27">
        <w:rPr>
          <w:rFonts w:ascii="Calibri" w:hAnsi="Calibri" w:cs="Calibri"/>
          <w:i/>
          <w:iCs/>
          <w:lang w:val="ro-RO"/>
        </w:rPr>
        <w:t>pu</w:t>
      </w:r>
      <w:r w:rsidR="00D77C4B" w:rsidRPr="00834B27">
        <w:rPr>
          <w:rFonts w:ascii="Calibri" w:hAnsi="Calibri" w:cs="Calibri"/>
          <w:i/>
          <w:iCs/>
          <w:lang w:val="ro-RO"/>
        </w:rPr>
        <w:t>ț</w:t>
      </w:r>
      <w:r w:rsidR="00166301" w:rsidRPr="00834B27">
        <w:rPr>
          <w:rFonts w:ascii="Calibri" w:hAnsi="Calibri" w:cs="Calibri"/>
          <w:i/>
          <w:iCs/>
          <w:lang w:val="ro-RO"/>
        </w:rPr>
        <w:t>in</w:t>
      </w:r>
      <w:r w:rsidR="00D5700E" w:rsidRPr="00834B27">
        <w:rPr>
          <w:rFonts w:ascii="Calibri" w:hAnsi="Calibri" w:cs="Calibri"/>
          <w:i/>
          <w:iCs/>
          <w:lang w:val="ro-RO"/>
        </w:rPr>
        <w:t xml:space="preserve"> 6 contracte de </w:t>
      </w:r>
      <w:r w:rsidR="00166301" w:rsidRPr="00834B27">
        <w:rPr>
          <w:rFonts w:ascii="Calibri" w:hAnsi="Calibri" w:cs="Calibri"/>
          <w:i/>
          <w:iCs/>
          <w:lang w:val="ro-RO"/>
        </w:rPr>
        <w:t>închiriere</w:t>
      </w:r>
      <w:r w:rsidR="00D5700E" w:rsidRPr="00834B27">
        <w:rPr>
          <w:rFonts w:ascii="Calibri" w:hAnsi="Calibri" w:cs="Calibri"/>
          <w:i/>
          <w:iCs/>
          <w:lang w:val="ro-RO"/>
        </w:rPr>
        <w:t xml:space="preserve"> calcula</w:t>
      </w:r>
      <w:r w:rsidR="00C41520" w:rsidRPr="00834B27">
        <w:rPr>
          <w:rFonts w:ascii="Calibri" w:hAnsi="Calibri" w:cs="Calibri"/>
          <w:i/>
          <w:iCs/>
          <w:lang w:val="ro-RO"/>
        </w:rPr>
        <w:t xml:space="preserve">u venitul impozabil pe baza datelor din contabilitatea </w:t>
      </w:r>
      <w:r w:rsidR="00166301" w:rsidRPr="00834B27">
        <w:rPr>
          <w:rFonts w:ascii="Calibri" w:hAnsi="Calibri" w:cs="Calibri"/>
          <w:i/>
          <w:iCs/>
          <w:lang w:val="ro-RO"/>
        </w:rPr>
        <w:t>î</w:t>
      </w:r>
      <w:r w:rsidR="00C41520" w:rsidRPr="00834B27">
        <w:rPr>
          <w:rFonts w:ascii="Calibri" w:hAnsi="Calibri" w:cs="Calibri"/>
          <w:i/>
          <w:iCs/>
          <w:lang w:val="ro-RO"/>
        </w:rPr>
        <w:t>n partid</w:t>
      </w:r>
      <w:r w:rsidR="00166301" w:rsidRPr="00834B27">
        <w:rPr>
          <w:rFonts w:ascii="Calibri" w:hAnsi="Calibri" w:cs="Calibri"/>
          <w:i/>
          <w:iCs/>
          <w:lang w:val="ro-RO"/>
        </w:rPr>
        <w:t>ă</w:t>
      </w:r>
      <w:r w:rsidR="00C41520" w:rsidRPr="00834B27">
        <w:rPr>
          <w:rFonts w:ascii="Calibri" w:hAnsi="Calibri" w:cs="Calibri"/>
          <w:i/>
          <w:iCs/>
          <w:lang w:val="ro-RO"/>
        </w:rPr>
        <w:t xml:space="preserve"> simpl</w:t>
      </w:r>
      <w:r w:rsidR="00166301" w:rsidRPr="00834B27">
        <w:rPr>
          <w:rFonts w:ascii="Calibri" w:hAnsi="Calibri" w:cs="Calibri"/>
          <w:i/>
          <w:iCs/>
          <w:lang w:val="ro-RO"/>
        </w:rPr>
        <w:t>ă</w:t>
      </w:r>
      <w:r w:rsidR="00C41520" w:rsidRPr="00834B27">
        <w:rPr>
          <w:rFonts w:ascii="Calibri" w:hAnsi="Calibri" w:cs="Calibri"/>
          <w:i/>
          <w:iCs/>
          <w:lang w:val="ro-RO"/>
        </w:rPr>
        <w:t xml:space="preserve">. Pentru contribuabilii care </w:t>
      </w:r>
      <w:r w:rsidR="00166301" w:rsidRPr="00834B27">
        <w:rPr>
          <w:rFonts w:ascii="Calibri" w:hAnsi="Calibri" w:cs="Calibri"/>
          <w:i/>
          <w:iCs/>
          <w:lang w:val="ro-RO"/>
        </w:rPr>
        <w:t>ob</w:t>
      </w:r>
      <w:r w:rsidR="00D77C4B" w:rsidRPr="00834B27">
        <w:rPr>
          <w:rFonts w:ascii="Calibri" w:hAnsi="Calibri" w:cs="Calibri"/>
          <w:i/>
          <w:iCs/>
          <w:lang w:val="ro-RO"/>
        </w:rPr>
        <w:t>ț</w:t>
      </w:r>
      <w:r w:rsidR="00166301" w:rsidRPr="00834B27">
        <w:rPr>
          <w:rFonts w:ascii="Calibri" w:hAnsi="Calibri" w:cs="Calibri"/>
          <w:i/>
          <w:iCs/>
          <w:lang w:val="ro-RO"/>
        </w:rPr>
        <w:t>ineau</w:t>
      </w:r>
      <w:r w:rsidR="00C41520" w:rsidRPr="00834B27">
        <w:rPr>
          <w:rFonts w:ascii="Calibri" w:hAnsi="Calibri" w:cs="Calibri"/>
          <w:i/>
          <w:iCs/>
          <w:lang w:val="ro-RO"/>
        </w:rPr>
        <w:t xml:space="preserve"> venituri din cel mult 5 contracte de </w:t>
      </w:r>
      <w:r w:rsidR="00166301" w:rsidRPr="00834B27">
        <w:rPr>
          <w:rFonts w:ascii="Calibri" w:hAnsi="Calibri" w:cs="Calibri"/>
          <w:i/>
          <w:iCs/>
          <w:lang w:val="ro-RO"/>
        </w:rPr>
        <w:t>închiriere</w:t>
      </w:r>
      <w:r w:rsidR="00C41520" w:rsidRPr="00834B27">
        <w:rPr>
          <w:rFonts w:ascii="Calibri" w:hAnsi="Calibri" w:cs="Calibri"/>
          <w:i/>
          <w:iCs/>
          <w:lang w:val="ro-RO"/>
        </w:rPr>
        <w:t xml:space="preserve"> exista </w:t>
      </w:r>
      <w:r w:rsidR="00166301" w:rsidRPr="00834B27">
        <w:rPr>
          <w:rFonts w:ascii="Calibri" w:hAnsi="Calibri" w:cs="Calibri"/>
          <w:i/>
          <w:iCs/>
          <w:lang w:val="ro-RO"/>
        </w:rPr>
        <w:t>ș</w:t>
      </w:r>
      <w:r w:rsidR="00C41520" w:rsidRPr="00834B27">
        <w:rPr>
          <w:rFonts w:ascii="Calibri" w:hAnsi="Calibri" w:cs="Calibri"/>
          <w:i/>
          <w:iCs/>
          <w:lang w:val="ro-RO"/>
        </w:rPr>
        <w:t xml:space="preserve">i </w:t>
      </w:r>
      <w:r w:rsidR="00166301" w:rsidRPr="00834B27">
        <w:rPr>
          <w:rFonts w:ascii="Calibri" w:hAnsi="Calibri" w:cs="Calibri"/>
          <w:i/>
          <w:iCs/>
          <w:lang w:val="ro-RO"/>
        </w:rPr>
        <w:t>op</w:t>
      </w:r>
      <w:r w:rsidR="00D77C4B" w:rsidRPr="00834B27">
        <w:rPr>
          <w:rFonts w:ascii="Calibri" w:hAnsi="Calibri" w:cs="Calibri"/>
          <w:i/>
          <w:iCs/>
          <w:lang w:val="ro-RO"/>
        </w:rPr>
        <w:t>ț</w:t>
      </w:r>
      <w:r w:rsidR="00166301" w:rsidRPr="00834B27">
        <w:rPr>
          <w:rFonts w:ascii="Calibri" w:hAnsi="Calibri" w:cs="Calibri"/>
          <w:i/>
          <w:iCs/>
          <w:lang w:val="ro-RO"/>
        </w:rPr>
        <w:t>iunea</w:t>
      </w:r>
      <w:r w:rsidR="00C41520" w:rsidRPr="00834B27">
        <w:rPr>
          <w:rFonts w:ascii="Calibri" w:hAnsi="Calibri" w:cs="Calibri"/>
          <w:i/>
          <w:iCs/>
          <w:lang w:val="ro-RO"/>
        </w:rPr>
        <w:t xml:space="preserve"> </w:t>
      </w:r>
      <w:r w:rsidR="003B479D" w:rsidRPr="00834B27">
        <w:rPr>
          <w:rFonts w:ascii="Calibri" w:hAnsi="Calibri" w:cs="Calibri"/>
          <w:i/>
          <w:iCs/>
          <w:lang w:val="ro-RO"/>
        </w:rPr>
        <w:t xml:space="preserve">de a calcula venitul impozabil pe baza datelor din contabilitatea </w:t>
      </w:r>
      <w:r w:rsidR="00166301" w:rsidRPr="00834B27">
        <w:rPr>
          <w:rFonts w:ascii="Calibri" w:hAnsi="Calibri" w:cs="Calibri"/>
          <w:i/>
          <w:iCs/>
          <w:lang w:val="ro-RO"/>
        </w:rPr>
        <w:t>î</w:t>
      </w:r>
      <w:r w:rsidR="003B479D" w:rsidRPr="00834B27">
        <w:rPr>
          <w:rFonts w:ascii="Calibri" w:hAnsi="Calibri" w:cs="Calibri"/>
          <w:i/>
          <w:iCs/>
          <w:lang w:val="ro-RO"/>
        </w:rPr>
        <w:t>n partid</w:t>
      </w:r>
      <w:r w:rsidR="00166301" w:rsidRPr="00834B27">
        <w:rPr>
          <w:rFonts w:ascii="Calibri" w:hAnsi="Calibri" w:cs="Calibri"/>
          <w:i/>
          <w:iCs/>
          <w:lang w:val="ro-RO"/>
        </w:rPr>
        <w:t>ă</w:t>
      </w:r>
      <w:r w:rsidR="003B479D" w:rsidRPr="00834B27">
        <w:rPr>
          <w:rFonts w:ascii="Calibri" w:hAnsi="Calibri" w:cs="Calibri"/>
          <w:i/>
          <w:iCs/>
          <w:lang w:val="ro-RO"/>
        </w:rPr>
        <w:t xml:space="preserve"> simpl</w:t>
      </w:r>
      <w:r w:rsidR="00166301" w:rsidRPr="00834B27">
        <w:rPr>
          <w:rFonts w:ascii="Calibri" w:hAnsi="Calibri" w:cs="Calibri"/>
          <w:i/>
          <w:iCs/>
          <w:lang w:val="ro-RO"/>
        </w:rPr>
        <w:t>ă</w:t>
      </w:r>
      <w:r w:rsidR="003B479D" w:rsidRPr="00834B27">
        <w:rPr>
          <w:rFonts w:ascii="Calibri" w:hAnsi="Calibri" w:cs="Calibri"/>
          <w:i/>
          <w:iCs/>
          <w:lang w:val="ro-RO"/>
        </w:rPr>
        <w:t>.</w:t>
      </w:r>
    </w:p>
    <w:p w14:paraId="794A372F" w14:textId="7E74E946" w:rsidR="003B479D" w:rsidRPr="00834B27" w:rsidRDefault="00166301" w:rsidP="00B91E74">
      <w:pPr>
        <w:spacing w:line="276" w:lineRule="auto"/>
        <w:jc w:val="both"/>
        <w:rPr>
          <w:rFonts w:ascii="Calibri" w:hAnsi="Calibri" w:cs="Calibri"/>
          <w:i/>
          <w:iCs/>
          <w:lang w:val="ro-RO"/>
        </w:rPr>
      </w:pPr>
      <w:r w:rsidRPr="00834B27">
        <w:rPr>
          <w:rFonts w:ascii="Calibri" w:hAnsi="Calibri" w:cs="Calibri"/>
          <w:i/>
          <w:iCs/>
          <w:lang w:val="ro-RO"/>
        </w:rPr>
        <w:t>Începând</w:t>
      </w:r>
      <w:r w:rsidR="002B4F5E" w:rsidRPr="00834B27">
        <w:rPr>
          <w:rFonts w:ascii="Calibri" w:hAnsi="Calibri" w:cs="Calibri"/>
          <w:i/>
          <w:iCs/>
          <w:lang w:val="ro-RO"/>
        </w:rPr>
        <w:t xml:space="preserve"> din 2024</w:t>
      </w:r>
      <w:r w:rsidR="00CA5523" w:rsidRPr="00834B27">
        <w:rPr>
          <w:rFonts w:ascii="Calibri" w:hAnsi="Calibri" w:cs="Calibri"/>
          <w:i/>
          <w:iCs/>
          <w:lang w:val="ro-RO"/>
        </w:rPr>
        <w:t>, calculul venitului impozabil s-a f</w:t>
      </w:r>
      <w:r w:rsidRPr="00834B27">
        <w:rPr>
          <w:rFonts w:ascii="Calibri" w:hAnsi="Calibri" w:cs="Calibri"/>
          <w:i/>
          <w:iCs/>
          <w:lang w:val="ro-RO"/>
        </w:rPr>
        <w:t>ă</w:t>
      </w:r>
      <w:r w:rsidR="00CA5523" w:rsidRPr="00834B27">
        <w:rPr>
          <w:rFonts w:ascii="Calibri" w:hAnsi="Calibri" w:cs="Calibri"/>
          <w:i/>
          <w:iCs/>
          <w:lang w:val="ro-RO"/>
        </w:rPr>
        <w:t xml:space="preserve">cut doar prin deducerea </w:t>
      </w:r>
      <w:r w:rsidR="00451186" w:rsidRPr="00834B27">
        <w:rPr>
          <w:rFonts w:ascii="Calibri" w:hAnsi="Calibri" w:cs="Calibri"/>
          <w:i/>
          <w:iCs/>
          <w:lang w:val="ro-RO"/>
        </w:rPr>
        <w:t>a 20% din venitul brut</w:t>
      </w:r>
      <w:r w:rsidR="0070407C" w:rsidRPr="00834B27">
        <w:rPr>
          <w:rFonts w:ascii="Calibri" w:hAnsi="Calibri" w:cs="Calibri"/>
          <w:i/>
          <w:iCs/>
          <w:lang w:val="ro-RO"/>
        </w:rPr>
        <w:t>. Tot din 2024</w:t>
      </w:r>
      <w:r w:rsidR="006A3D7F" w:rsidRPr="00834B27">
        <w:rPr>
          <w:rFonts w:ascii="Calibri" w:hAnsi="Calibri" w:cs="Calibri"/>
          <w:i/>
          <w:iCs/>
          <w:lang w:val="ro-RO"/>
        </w:rPr>
        <w:t>,</w:t>
      </w:r>
      <w:r w:rsidR="0070407C" w:rsidRPr="00834B27">
        <w:rPr>
          <w:rFonts w:ascii="Calibri" w:hAnsi="Calibri" w:cs="Calibri"/>
          <w:i/>
          <w:iCs/>
          <w:lang w:val="ro-RO"/>
        </w:rPr>
        <w:t xml:space="preserve"> a fost introdus</w:t>
      </w:r>
      <w:r w:rsidRPr="00834B27">
        <w:rPr>
          <w:rFonts w:ascii="Calibri" w:hAnsi="Calibri" w:cs="Calibri"/>
          <w:i/>
          <w:iCs/>
          <w:lang w:val="ro-RO"/>
        </w:rPr>
        <w:t>ă</w:t>
      </w:r>
      <w:r w:rsidR="0070407C" w:rsidRPr="00834B27">
        <w:rPr>
          <w:rFonts w:ascii="Calibri" w:hAnsi="Calibri" w:cs="Calibri"/>
          <w:i/>
          <w:iCs/>
          <w:lang w:val="ro-RO"/>
        </w:rPr>
        <w:t xml:space="preserve"> pentru prima dat</w:t>
      </w:r>
      <w:r w:rsidRPr="00834B27">
        <w:rPr>
          <w:rFonts w:ascii="Calibri" w:hAnsi="Calibri" w:cs="Calibri"/>
          <w:i/>
          <w:iCs/>
          <w:lang w:val="ro-RO"/>
        </w:rPr>
        <w:t>ă</w:t>
      </w:r>
      <w:r w:rsidR="0070407C" w:rsidRPr="00834B27">
        <w:rPr>
          <w:rFonts w:ascii="Calibri" w:hAnsi="Calibri" w:cs="Calibri"/>
          <w:i/>
          <w:iCs/>
          <w:lang w:val="ro-RO"/>
        </w:rPr>
        <w:t xml:space="preserve"> </w:t>
      </w:r>
      <w:r w:rsidRPr="00834B27">
        <w:rPr>
          <w:rFonts w:ascii="Calibri" w:hAnsi="Calibri" w:cs="Calibri"/>
          <w:i/>
          <w:iCs/>
          <w:lang w:val="ro-RO"/>
        </w:rPr>
        <w:t>obliga</w:t>
      </w:r>
      <w:r w:rsidR="00D77C4B" w:rsidRPr="00834B27">
        <w:rPr>
          <w:rFonts w:ascii="Calibri" w:hAnsi="Calibri" w:cs="Calibri"/>
          <w:i/>
          <w:iCs/>
          <w:lang w:val="ro-RO"/>
        </w:rPr>
        <w:t>ț</w:t>
      </w:r>
      <w:r w:rsidRPr="00834B27">
        <w:rPr>
          <w:rFonts w:ascii="Calibri" w:hAnsi="Calibri" w:cs="Calibri"/>
          <w:i/>
          <w:iCs/>
          <w:lang w:val="ro-RO"/>
        </w:rPr>
        <w:t>ia</w:t>
      </w:r>
      <w:r w:rsidR="0070407C" w:rsidRPr="00834B27">
        <w:rPr>
          <w:rFonts w:ascii="Calibri" w:hAnsi="Calibri" w:cs="Calibri"/>
          <w:i/>
          <w:iCs/>
          <w:lang w:val="ro-RO"/>
        </w:rPr>
        <w:t xml:space="preserve"> de </w:t>
      </w:r>
      <w:r w:rsidRPr="00834B27">
        <w:rPr>
          <w:rFonts w:ascii="Calibri" w:hAnsi="Calibri" w:cs="Calibri"/>
          <w:i/>
          <w:iCs/>
          <w:lang w:val="ro-RO"/>
        </w:rPr>
        <w:t>re</w:t>
      </w:r>
      <w:r w:rsidR="00D77C4B" w:rsidRPr="00834B27">
        <w:rPr>
          <w:rFonts w:ascii="Calibri" w:hAnsi="Calibri" w:cs="Calibri"/>
          <w:i/>
          <w:iCs/>
          <w:lang w:val="ro-RO"/>
        </w:rPr>
        <w:t>ț</w:t>
      </w:r>
      <w:r w:rsidRPr="00834B27">
        <w:rPr>
          <w:rFonts w:ascii="Calibri" w:hAnsi="Calibri" w:cs="Calibri"/>
          <w:i/>
          <w:iCs/>
          <w:lang w:val="ro-RO"/>
        </w:rPr>
        <w:t>inere</w:t>
      </w:r>
      <w:r w:rsidR="00D03971" w:rsidRPr="00834B27">
        <w:rPr>
          <w:rFonts w:ascii="Calibri" w:hAnsi="Calibri" w:cs="Calibri"/>
          <w:i/>
          <w:iCs/>
          <w:lang w:val="ro-RO"/>
        </w:rPr>
        <w:t xml:space="preserve"> a impozitului de </w:t>
      </w:r>
      <w:r w:rsidRPr="00834B27">
        <w:rPr>
          <w:rFonts w:ascii="Calibri" w:hAnsi="Calibri" w:cs="Calibri"/>
          <w:i/>
          <w:iCs/>
          <w:lang w:val="ro-RO"/>
        </w:rPr>
        <w:t>către</w:t>
      </w:r>
      <w:r w:rsidR="00D03971" w:rsidRPr="00834B27">
        <w:rPr>
          <w:rFonts w:ascii="Calibri" w:hAnsi="Calibri" w:cs="Calibri"/>
          <w:i/>
          <w:iCs/>
          <w:lang w:val="ro-RO"/>
        </w:rPr>
        <w:t xml:space="preserve"> </w:t>
      </w:r>
      <w:r w:rsidRPr="00834B27">
        <w:rPr>
          <w:rFonts w:ascii="Calibri" w:hAnsi="Calibri" w:cs="Calibri"/>
          <w:i/>
          <w:iCs/>
          <w:lang w:val="ro-RO"/>
        </w:rPr>
        <w:t>chiriașii</w:t>
      </w:r>
      <w:r w:rsidR="00D03971" w:rsidRPr="00834B27">
        <w:rPr>
          <w:rFonts w:ascii="Calibri" w:hAnsi="Calibri" w:cs="Calibri"/>
          <w:i/>
          <w:iCs/>
          <w:lang w:val="ro-RO"/>
        </w:rPr>
        <w:t xml:space="preserve"> care </w:t>
      </w:r>
      <w:r w:rsidR="00D77C4B" w:rsidRPr="00834B27">
        <w:rPr>
          <w:rFonts w:ascii="Calibri" w:hAnsi="Calibri" w:cs="Calibri"/>
          <w:i/>
          <w:iCs/>
          <w:lang w:val="ro-RO"/>
        </w:rPr>
        <w:t>ț</w:t>
      </w:r>
      <w:r w:rsidRPr="00834B27">
        <w:rPr>
          <w:rFonts w:ascii="Calibri" w:hAnsi="Calibri" w:cs="Calibri"/>
          <w:i/>
          <w:iCs/>
          <w:lang w:val="ro-RO"/>
        </w:rPr>
        <w:t>in</w:t>
      </w:r>
      <w:r w:rsidR="00D03971" w:rsidRPr="00834B27">
        <w:rPr>
          <w:rFonts w:ascii="Calibri" w:hAnsi="Calibri" w:cs="Calibri"/>
          <w:i/>
          <w:iCs/>
          <w:lang w:val="ro-RO"/>
        </w:rPr>
        <w:t xml:space="preserve"> contabilitate.</w:t>
      </w:r>
    </w:p>
    <w:p w14:paraId="7E9970F6" w14:textId="77777777" w:rsidR="005030D8" w:rsidRPr="00834B27" w:rsidRDefault="005030D8" w:rsidP="00B91E74">
      <w:pPr>
        <w:spacing w:line="276" w:lineRule="auto"/>
        <w:jc w:val="both"/>
        <w:rPr>
          <w:rFonts w:ascii="Calibri" w:hAnsi="Calibri" w:cs="Calibri"/>
          <w:i/>
          <w:iCs/>
          <w:lang w:val="ro-RO"/>
        </w:rPr>
      </w:pPr>
    </w:p>
    <w:p w14:paraId="214B5EBD" w14:textId="392497A9" w:rsidR="00D03971" w:rsidRPr="00834B27" w:rsidRDefault="00945C70" w:rsidP="00B91E74">
      <w:pPr>
        <w:pStyle w:val="Listparagraf"/>
        <w:numPr>
          <w:ilvl w:val="2"/>
          <w:numId w:val="26"/>
        </w:numPr>
        <w:spacing w:line="276" w:lineRule="auto"/>
        <w:contextualSpacing w:val="0"/>
        <w:jc w:val="both"/>
        <w:rPr>
          <w:rFonts w:ascii="Calibri" w:hAnsi="Calibri" w:cs="Calibri"/>
          <w:b/>
          <w:bCs/>
          <w:lang w:val="ro-RO"/>
        </w:rPr>
      </w:pPr>
      <w:r w:rsidRPr="00834B27">
        <w:rPr>
          <w:rFonts w:ascii="Calibri" w:hAnsi="Calibri" w:cs="Calibri"/>
          <w:b/>
          <w:bCs/>
          <w:lang w:val="ro-RO"/>
        </w:rPr>
        <w:t xml:space="preserve">CAS </w:t>
      </w:r>
    </w:p>
    <w:p w14:paraId="54358363" w14:textId="57F50161" w:rsidR="00945C70" w:rsidRPr="00834B27" w:rsidRDefault="00945C70" w:rsidP="00B91E74">
      <w:pPr>
        <w:spacing w:line="276" w:lineRule="auto"/>
        <w:jc w:val="both"/>
        <w:rPr>
          <w:rFonts w:ascii="Calibri" w:hAnsi="Calibri" w:cs="Calibri"/>
          <w:lang w:val="ro-RO"/>
        </w:rPr>
      </w:pPr>
      <w:r w:rsidRPr="00834B27">
        <w:rPr>
          <w:rFonts w:ascii="Calibri" w:hAnsi="Calibri" w:cs="Calibri"/>
          <w:lang w:val="ro-RO"/>
        </w:rPr>
        <w:t>Nu se datoreaz</w:t>
      </w:r>
      <w:r w:rsidR="00166301" w:rsidRPr="00834B27">
        <w:rPr>
          <w:rFonts w:ascii="Calibri" w:hAnsi="Calibri" w:cs="Calibri"/>
          <w:lang w:val="ro-RO"/>
        </w:rPr>
        <w:t>ă</w:t>
      </w:r>
      <w:r w:rsidRPr="00834B27">
        <w:rPr>
          <w:rFonts w:ascii="Calibri" w:hAnsi="Calibri" w:cs="Calibri"/>
          <w:lang w:val="ro-RO"/>
        </w:rPr>
        <w:t xml:space="preserve"> CAS pentru acest tip de venituri, cu </w:t>
      </w:r>
      <w:r w:rsidR="00166301" w:rsidRPr="00834B27">
        <w:rPr>
          <w:rFonts w:ascii="Calibri" w:hAnsi="Calibri" w:cs="Calibri"/>
          <w:lang w:val="ro-RO"/>
        </w:rPr>
        <w:t>excep</w:t>
      </w:r>
      <w:r w:rsidR="00D77C4B" w:rsidRPr="00834B27">
        <w:rPr>
          <w:rFonts w:ascii="Calibri" w:hAnsi="Calibri" w:cs="Calibri"/>
          <w:lang w:val="ro-RO"/>
        </w:rPr>
        <w:t>ț</w:t>
      </w:r>
      <w:r w:rsidR="00166301" w:rsidRPr="00834B27">
        <w:rPr>
          <w:rFonts w:ascii="Calibri" w:hAnsi="Calibri" w:cs="Calibri"/>
          <w:lang w:val="ro-RO"/>
        </w:rPr>
        <w:t>ia</w:t>
      </w:r>
      <w:r w:rsidRPr="00834B27">
        <w:rPr>
          <w:rFonts w:ascii="Calibri" w:hAnsi="Calibri" w:cs="Calibri"/>
          <w:lang w:val="ro-RO"/>
        </w:rPr>
        <w:t xml:space="preserve"> veniturilor din </w:t>
      </w:r>
      <w:r w:rsidR="00166301" w:rsidRPr="00834B27">
        <w:rPr>
          <w:rFonts w:ascii="Calibri" w:hAnsi="Calibri" w:cs="Calibri"/>
          <w:lang w:val="ro-RO"/>
        </w:rPr>
        <w:t>închirierea</w:t>
      </w:r>
      <w:r w:rsidRPr="00834B27">
        <w:rPr>
          <w:rFonts w:ascii="Calibri" w:hAnsi="Calibri" w:cs="Calibri"/>
          <w:lang w:val="ro-RO"/>
        </w:rPr>
        <w:t xml:space="preserve"> </w:t>
      </w:r>
      <w:r w:rsidR="003032C2" w:rsidRPr="00834B27">
        <w:rPr>
          <w:rFonts w:ascii="Calibri" w:hAnsi="Calibri" w:cs="Calibri"/>
          <w:lang w:val="ro-RO"/>
        </w:rPr>
        <w:t xml:space="preserve">a mai mult de 7 </w:t>
      </w:r>
      <w:r w:rsidRPr="00834B27">
        <w:rPr>
          <w:rFonts w:ascii="Calibri" w:hAnsi="Calibri" w:cs="Calibri"/>
          <w:lang w:val="ro-RO"/>
        </w:rPr>
        <w:t xml:space="preserve">camere </w:t>
      </w:r>
      <w:r w:rsidR="00166301" w:rsidRPr="00834B27">
        <w:rPr>
          <w:rFonts w:ascii="Calibri" w:hAnsi="Calibri" w:cs="Calibri"/>
          <w:lang w:val="ro-RO"/>
        </w:rPr>
        <w:t>î</w:t>
      </w:r>
      <w:r w:rsidR="004753CF" w:rsidRPr="00834B27">
        <w:rPr>
          <w:rFonts w:ascii="Calibri" w:hAnsi="Calibri" w:cs="Calibri"/>
          <w:lang w:val="ro-RO"/>
        </w:rPr>
        <w:t xml:space="preserve">n </w:t>
      </w:r>
      <w:r w:rsidR="00166301" w:rsidRPr="00834B27">
        <w:rPr>
          <w:rFonts w:ascii="Calibri" w:hAnsi="Calibri" w:cs="Calibri"/>
          <w:lang w:val="ro-RO"/>
        </w:rPr>
        <w:t>locuin</w:t>
      </w:r>
      <w:r w:rsidR="00D77C4B" w:rsidRPr="00834B27">
        <w:rPr>
          <w:rFonts w:ascii="Calibri" w:hAnsi="Calibri" w:cs="Calibri"/>
          <w:lang w:val="ro-RO"/>
        </w:rPr>
        <w:t>ț</w:t>
      </w:r>
      <w:r w:rsidR="00166301" w:rsidRPr="00834B27">
        <w:rPr>
          <w:rFonts w:ascii="Calibri" w:hAnsi="Calibri" w:cs="Calibri"/>
          <w:lang w:val="ro-RO"/>
        </w:rPr>
        <w:t>e</w:t>
      </w:r>
      <w:r w:rsidR="004753CF" w:rsidRPr="00834B27">
        <w:rPr>
          <w:rFonts w:ascii="Calibri" w:hAnsi="Calibri" w:cs="Calibri"/>
          <w:lang w:val="ro-RO"/>
        </w:rPr>
        <w:t xml:space="preserve"> proprii sau </w:t>
      </w:r>
      <w:r w:rsidR="00302D30" w:rsidRPr="00834B27">
        <w:rPr>
          <w:rFonts w:ascii="Calibri" w:hAnsi="Calibri" w:cs="Calibri"/>
          <w:lang w:val="ro-RO"/>
        </w:rPr>
        <w:t>prestarea de servicii de cazare</w:t>
      </w:r>
      <w:r w:rsidR="004753CF" w:rsidRPr="00834B27">
        <w:rPr>
          <w:rFonts w:ascii="Calibri" w:hAnsi="Calibri" w:cs="Calibri"/>
          <w:lang w:val="ro-RO"/>
        </w:rPr>
        <w:t xml:space="preserve">, venituri ce sunt considerate venituri din </w:t>
      </w:r>
      <w:r w:rsidR="00166301" w:rsidRPr="00834B27">
        <w:rPr>
          <w:rFonts w:ascii="Calibri" w:hAnsi="Calibri" w:cs="Calibri"/>
          <w:lang w:val="ro-RO"/>
        </w:rPr>
        <w:t>activită</w:t>
      </w:r>
      <w:r w:rsidR="00D77C4B" w:rsidRPr="00834B27">
        <w:rPr>
          <w:rFonts w:ascii="Calibri" w:hAnsi="Calibri" w:cs="Calibri"/>
          <w:lang w:val="ro-RO"/>
        </w:rPr>
        <w:t>ț</w:t>
      </w:r>
      <w:r w:rsidR="00166301" w:rsidRPr="00834B27">
        <w:rPr>
          <w:rFonts w:ascii="Calibri" w:hAnsi="Calibri" w:cs="Calibri"/>
          <w:lang w:val="ro-RO"/>
        </w:rPr>
        <w:t>i</w:t>
      </w:r>
      <w:r w:rsidR="004753CF" w:rsidRPr="00834B27">
        <w:rPr>
          <w:rFonts w:ascii="Calibri" w:hAnsi="Calibri" w:cs="Calibri"/>
          <w:lang w:val="ro-RO"/>
        </w:rPr>
        <w:t xml:space="preserve"> independente.</w:t>
      </w:r>
    </w:p>
    <w:p w14:paraId="22817CFE" w14:textId="77777777" w:rsidR="005030D8" w:rsidRPr="00834B27" w:rsidRDefault="005030D8" w:rsidP="00B91E74">
      <w:pPr>
        <w:spacing w:line="276" w:lineRule="auto"/>
        <w:jc w:val="both"/>
        <w:rPr>
          <w:rFonts w:ascii="Calibri" w:hAnsi="Calibri" w:cs="Calibri"/>
          <w:lang w:val="ro-RO"/>
        </w:rPr>
      </w:pPr>
    </w:p>
    <w:p w14:paraId="579E2A17" w14:textId="5E83B9A7" w:rsidR="004753CF" w:rsidRPr="00834B27" w:rsidRDefault="004753CF" w:rsidP="00B91E74">
      <w:pPr>
        <w:pStyle w:val="Listparagraf"/>
        <w:numPr>
          <w:ilvl w:val="2"/>
          <w:numId w:val="26"/>
        </w:numPr>
        <w:spacing w:line="276" w:lineRule="auto"/>
        <w:contextualSpacing w:val="0"/>
        <w:jc w:val="both"/>
        <w:rPr>
          <w:rFonts w:ascii="Calibri" w:hAnsi="Calibri" w:cs="Calibri"/>
          <w:b/>
          <w:bCs/>
          <w:lang w:val="ro-RO"/>
        </w:rPr>
      </w:pPr>
      <w:r w:rsidRPr="00834B27">
        <w:rPr>
          <w:rFonts w:ascii="Calibri" w:hAnsi="Calibri" w:cs="Calibri"/>
          <w:b/>
          <w:bCs/>
          <w:lang w:val="ro-RO"/>
        </w:rPr>
        <w:t>CASS</w:t>
      </w:r>
    </w:p>
    <w:p w14:paraId="4DD5C776" w14:textId="147C1688" w:rsidR="0039567C" w:rsidRPr="00834B27" w:rsidRDefault="0039567C" w:rsidP="00B91E74">
      <w:pPr>
        <w:spacing w:line="276" w:lineRule="auto"/>
        <w:jc w:val="both"/>
        <w:rPr>
          <w:rFonts w:ascii="Calibri" w:hAnsi="Calibri" w:cs="Calibri"/>
          <w:lang w:val="ro-RO"/>
        </w:rPr>
      </w:pPr>
      <w:r w:rsidRPr="00834B27">
        <w:rPr>
          <w:rFonts w:ascii="Calibri" w:hAnsi="Calibri" w:cs="Calibri"/>
          <w:b/>
          <w:bCs/>
          <w:u w:val="single"/>
          <w:lang w:val="ro-RO"/>
        </w:rPr>
        <w:t>Cota de CASS:</w:t>
      </w:r>
      <w:r w:rsidRPr="00834B27">
        <w:rPr>
          <w:rFonts w:ascii="Calibri" w:hAnsi="Calibri" w:cs="Calibri"/>
          <w:lang w:val="ro-RO"/>
        </w:rPr>
        <w:t xml:space="preserve"> 10%;</w:t>
      </w:r>
    </w:p>
    <w:p w14:paraId="79692A32" w14:textId="29BE70B8" w:rsidR="0039567C" w:rsidRPr="00834B27" w:rsidRDefault="0039567C" w:rsidP="00B91E74">
      <w:pPr>
        <w:spacing w:line="276" w:lineRule="auto"/>
        <w:jc w:val="both"/>
        <w:rPr>
          <w:rFonts w:ascii="Calibri" w:hAnsi="Calibri" w:cs="Calibri"/>
          <w:lang w:val="ro-RO"/>
        </w:rPr>
      </w:pPr>
      <w:r w:rsidRPr="00834B27">
        <w:rPr>
          <w:rFonts w:ascii="Calibri" w:hAnsi="Calibri" w:cs="Calibri"/>
          <w:b/>
          <w:bCs/>
          <w:u w:val="single"/>
          <w:lang w:val="ro-RO"/>
        </w:rPr>
        <w:lastRenderedPageBreak/>
        <w:t>Baza de calcul:</w:t>
      </w:r>
      <w:r w:rsidRPr="00834B27">
        <w:rPr>
          <w:rFonts w:ascii="Calibri" w:hAnsi="Calibri" w:cs="Calibri"/>
          <w:lang w:val="ro-RO"/>
        </w:rPr>
        <w:t xml:space="preserve"> </w:t>
      </w:r>
      <w:r w:rsidR="007270BA" w:rsidRPr="00834B27">
        <w:rPr>
          <w:rFonts w:ascii="Calibri" w:hAnsi="Calibri" w:cs="Calibri"/>
          <w:lang w:val="ro-RO"/>
        </w:rPr>
        <w:t xml:space="preserve">fiind incluse </w:t>
      </w:r>
      <w:r w:rsidR="00166301" w:rsidRPr="00834B27">
        <w:rPr>
          <w:rFonts w:ascii="Calibri" w:hAnsi="Calibri" w:cs="Calibri"/>
          <w:lang w:val="ro-RO"/>
        </w:rPr>
        <w:t>î</w:t>
      </w:r>
      <w:r w:rsidR="007270BA" w:rsidRPr="00834B27">
        <w:rPr>
          <w:rFonts w:ascii="Calibri" w:hAnsi="Calibri" w:cs="Calibri"/>
          <w:lang w:val="ro-RO"/>
        </w:rPr>
        <w:t>n</w:t>
      </w:r>
      <w:r w:rsidR="00166301" w:rsidRPr="00834B27">
        <w:rPr>
          <w:rFonts w:ascii="Calibri" w:hAnsi="Calibri" w:cs="Calibri"/>
          <w:lang w:val="ro-RO"/>
        </w:rPr>
        <w:t xml:space="preserve"> „</w:t>
      </w:r>
      <w:r w:rsidR="007270BA" w:rsidRPr="00834B27">
        <w:rPr>
          <w:rFonts w:ascii="Calibri" w:hAnsi="Calibri" w:cs="Calibri"/>
          <w:lang w:val="ro-RO"/>
        </w:rPr>
        <w:t>co</w:t>
      </w:r>
      <w:r w:rsidR="00D71399" w:rsidRPr="00834B27">
        <w:rPr>
          <w:rFonts w:ascii="Calibri" w:hAnsi="Calibri" w:cs="Calibri"/>
          <w:lang w:val="ro-RO"/>
        </w:rPr>
        <w:t>ș</w:t>
      </w:r>
      <w:r w:rsidR="007270BA" w:rsidRPr="00834B27">
        <w:rPr>
          <w:rFonts w:ascii="Calibri" w:hAnsi="Calibri" w:cs="Calibri"/>
          <w:lang w:val="ro-RO"/>
        </w:rPr>
        <w:t>”, baza de calcul al CASS este 0/6/12/</w:t>
      </w:r>
      <w:r w:rsidR="00A11EA2" w:rsidRPr="00834B27">
        <w:rPr>
          <w:rFonts w:ascii="Calibri" w:hAnsi="Calibri" w:cs="Calibri"/>
          <w:lang w:val="ro-RO"/>
        </w:rPr>
        <w:t>24</w:t>
      </w:r>
      <w:r w:rsidR="00207640" w:rsidRPr="00834B27">
        <w:rPr>
          <w:rFonts w:ascii="Calibri" w:hAnsi="Calibri" w:cs="Calibri"/>
          <w:lang w:val="ro-RO"/>
        </w:rPr>
        <w:t xml:space="preserve"> SM</w:t>
      </w:r>
      <w:r w:rsidR="000E7B1F" w:rsidRPr="00834B27">
        <w:rPr>
          <w:rFonts w:ascii="Calibri" w:hAnsi="Calibri" w:cs="Calibri"/>
          <w:lang w:val="ro-RO"/>
        </w:rPr>
        <w:t xml:space="preserve"> </w:t>
      </w:r>
      <w:r w:rsidR="00166301" w:rsidRPr="00834B27">
        <w:rPr>
          <w:rFonts w:ascii="Calibri" w:hAnsi="Calibri" w:cs="Calibri"/>
          <w:lang w:val="ro-RO"/>
        </w:rPr>
        <w:t>î</w:t>
      </w:r>
      <w:r w:rsidR="000E7B1F" w:rsidRPr="00834B27">
        <w:rPr>
          <w:rFonts w:ascii="Calibri" w:hAnsi="Calibri" w:cs="Calibri"/>
          <w:lang w:val="ro-RO"/>
        </w:rPr>
        <w:t xml:space="preserve">n </w:t>
      </w:r>
      <w:r w:rsidR="00166301" w:rsidRPr="00834B27">
        <w:rPr>
          <w:rFonts w:ascii="Calibri" w:hAnsi="Calibri" w:cs="Calibri"/>
          <w:lang w:val="ro-RO"/>
        </w:rPr>
        <w:t>func</w:t>
      </w:r>
      <w:r w:rsidR="00D77C4B" w:rsidRPr="00834B27">
        <w:rPr>
          <w:rFonts w:ascii="Calibri" w:hAnsi="Calibri" w:cs="Calibri"/>
          <w:lang w:val="ro-RO"/>
        </w:rPr>
        <w:t>ț</w:t>
      </w:r>
      <w:r w:rsidR="00166301" w:rsidRPr="00834B27">
        <w:rPr>
          <w:rFonts w:ascii="Calibri" w:hAnsi="Calibri" w:cs="Calibri"/>
          <w:lang w:val="ro-RO"/>
        </w:rPr>
        <w:t>ie</w:t>
      </w:r>
      <w:r w:rsidR="000E7B1F" w:rsidRPr="00834B27">
        <w:rPr>
          <w:rFonts w:ascii="Calibri" w:hAnsi="Calibri" w:cs="Calibri"/>
          <w:lang w:val="ro-RO"/>
        </w:rPr>
        <w:t xml:space="preserve"> de suma veniturilor impozabile incluse </w:t>
      </w:r>
      <w:r w:rsidR="00166301" w:rsidRPr="00834B27">
        <w:rPr>
          <w:rFonts w:ascii="Calibri" w:hAnsi="Calibri" w:cs="Calibri"/>
          <w:lang w:val="ro-RO"/>
        </w:rPr>
        <w:t>î</w:t>
      </w:r>
      <w:r w:rsidR="000E7B1F" w:rsidRPr="00834B27">
        <w:rPr>
          <w:rFonts w:ascii="Calibri" w:hAnsi="Calibri" w:cs="Calibri"/>
          <w:lang w:val="ro-RO"/>
        </w:rPr>
        <w:t xml:space="preserve">n </w:t>
      </w:r>
      <w:r w:rsidR="00166301" w:rsidRPr="00834B27">
        <w:rPr>
          <w:rFonts w:ascii="Calibri" w:hAnsi="Calibri" w:cs="Calibri"/>
          <w:lang w:val="ro-RO"/>
        </w:rPr>
        <w:t>„</w:t>
      </w:r>
      <w:r w:rsidR="000E7B1F" w:rsidRPr="00834B27">
        <w:rPr>
          <w:rFonts w:ascii="Calibri" w:hAnsi="Calibri" w:cs="Calibri"/>
          <w:lang w:val="ro-RO"/>
        </w:rPr>
        <w:t>co</w:t>
      </w:r>
      <w:r w:rsidR="00D71399" w:rsidRPr="00834B27">
        <w:rPr>
          <w:rFonts w:ascii="Calibri" w:hAnsi="Calibri" w:cs="Calibri"/>
          <w:lang w:val="ro-RO"/>
        </w:rPr>
        <w:t>ș</w:t>
      </w:r>
      <w:r w:rsidR="000E7B1F" w:rsidRPr="00834B27">
        <w:rPr>
          <w:rFonts w:ascii="Calibri" w:hAnsi="Calibri" w:cs="Calibri"/>
          <w:lang w:val="ro-RO"/>
        </w:rPr>
        <w:t>”</w:t>
      </w:r>
      <w:r w:rsidR="00C97826" w:rsidRPr="00834B27">
        <w:rPr>
          <w:rFonts w:ascii="Calibri" w:hAnsi="Calibri" w:cs="Calibri"/>
          <w:lang w:val="ro-RO"/>
        </w:rPr>
        <w:t xml:space="preserve">, cu </w:t>
      </w:r>
      <w:r w:rsidR="00166301" w:rsidRPr="00834B27">
        <w:rPr>
          <w:rFonts w:ascii="Calibri" w:hAnsi="Calibri" w:cs="Calibri"/>
          <w:lang w:val="ro-RO"/>
        </w:rPr>
        <w:t>excep</w:t>
      </w:r>
      <w:r w:rsidR="00D77C4B" w:rsidRPr="00834B27">
        <w:rPr>
          <w:rFonts w:ascii="Calibri" w:hAnsi="Calibri" w:cs="Calibri"/>
          <w:lang w:val="ro-RO"/>
        </w:rPr>
        <w:t>ț</w:t>
      </w:r>
      <w:r w:rsidR="00166301" w:rsidRPr="00834B27">
        <w:rPr>
          <w:rFonts w:ascii="Calibri" w:hAnsi="Calibri" w:cs="Calibri"/>
          <w:lang w:val="ro-RO"/>
        </w:rPr>
        <w:t>ia</w:t>
      </w:r>
      <w:r w:rsidR="00C97826" w:rsidRPr="00834B27">
        <w:rPr>
          <w:rFonts w:ascii="Calibri" w:hAnsi="Calibri" w:cs="Calibri"/>
          <w:lang w:val="ro-RO"/>
        </w:rPr>
        <w:t xml:space="preserve"> veniturilor din </w:t>
      </w:r>
      <w:r w:rsidR="00166301" w:rsidRPr="00834B27">
        <w:rPr>
          <w:rFonts w:ascii="Calibri" w:hAnsi="Calibri" w:cs="Calibri"/>
          <w:lang w:val="ro-RO"/>
        </w:rPr>
        <w:t>î</w:t>
      </w:r>
      <w:r w:rsidR="00C97826" w:rsidRPr="00834B27">
        <w:rPr>
          <w:rFonts w:ascii="Calibri" w:hAnsi="Calibri" w:cs="Calibri"/>
          <w:lang w:val="ro-RO"/>
        </w:rPr>
        <w:t>nchi</w:t>
      </w:r>
      <w:r w:rsidR="00166301" w:rsidRPr="00834B27">
        <w:rPr>
          <w:rFonts w:ascii="Calibri" w:hAnsi="Calibri" w:cs="Calibri"/>
          <w:lang w:val="ro-RO"/>
        </w:rPr>
        <w:t>ri</w:t>
      </w:r>
      <w:r w:rsidR="00C97826" w:rsidRPr="00834B27">
        <w:rPr>
          <w:rFonts w:ascii="Calibri" w:hAnsi="Calibri" w:cs="Calibri"/>
          <w:lang w:val="ro-RO"/>
        </w:rPr>
        <w:t xml:space="preserve">erea </w:t>
      </w:r>
      <w:r w:rsidR="00727B88" w:rsidRPr="00834B27">
        <w:rPr>
          <w:rFonts w:ascii="Calibri" w:hAnsi="Calibri" w:cs="Calibri"/>
          <w:lang w:val="ro-RO"/>
        </w:rPr>
        <w:t xml:space="preserve">a mai mult de 7 </w:t>
      </w:r>
      <w:r w:rsidR="00C97826" w:rsidRPr="00834B27">
        <w:rPr>
          <w:rFonts w:ascii="Calibri" w:hAnsi="Calibri" w:cs="Calibri"/>
          <w:lang w:val="ro-RO"/>
        </w:rPr>
        <w:t xml:space="preserve">camere </w:t>
      </w:r>
      <w:r w:rsidR="00166301" w:rsidRPr="00834B27">
        <w:rPr>
          <w:rFonts w:ascii="Calibri" w:hAnsi="Calibri" w:cs="Calibri"/>
          <w:lang w:val="ro-RO"/>
        </w:rPr>
        <w:t>î</w:t>
      </w:r>
      <w:r w:rsidR="00C97826" w:rsidRPr="00834B27">
        <w:rPr>
          <w:rFonts w:ascii="Calibri" w:hAnsi="Calibri" w:cs="Calibri"/>
          <w:lang w:val="ro-RO"/>
        </w:rPr>
        <w:t xml:space="preserve">n </w:t>
      </w:r>
      <w:r w:rsidR="00166301" w:rsidRPr="00834B27">
        <w:rPr>
          <w:rFonts w:ascii="Calibri" w:hAnsi="Calibri" w:cs="Calibri"/>
          <w:lang w:val="ro-RO"/>
        </w:rPr>
        <w:t>locuin</w:t>
      </w:r>
      <w:r w:rsidR="00D77C4B" w:rsidRPr="00834B27">
        <w:rPr>
          <w:rFonts w:ascii="Calibri" w:hAnsi="Calibri" w:cs="Calibri"/>
          <w:lang w:val="ro-RO"/>
        </w:rPr>
        <w:t>ț</w:t>
      </w:r>
      <w:r w:rsidR="00166301" w:rsidRPr="00834B27">
        <w:rPr>
          <w:rFonts w:ascii="Calibri" w:hAnsi="Calibri" w:cs="Calibri"/>
          <w:lang w:val="ro-RO"/>
        </w:rPr>
        <w:t>e</w:t>
      </w:r>
      <w:r w:rsidR="00C97826" w:rsidRPr="00834B27">
        <w:rPr>
          <w:rFonts w:ascii="Calibri" w:hAnsi="Calibri" w:cs="Calibri"/>
          <w:lang w:val="ro-RO"/>
        </w:rPr>
        <w:t xml:space="preserve"> proprii sau </w:t>
      </w:r>
      <w:r w:rsidR="00302D30" w:rsidRPr="00834B27">
        <w:rPr>
          <w:rFonts w:ascii="Calibri" w:hAnsi="Calibri" w:cs="Calibri"/>
          <w:lang w:val="ro-RO"/>
        </w:rPr>
        <w:t>prestarea de se</w:t>
      </w:r>
      <w:r w:rsidR="00056582" w:rsidRPr="00834B27">
        <w:rPr>
          <w:rFonts w:ascii="Calibri" w:hAnsi="Calibri" w:cs="Calibri"/>
          <w:lang w:val="ro-RO"/>
        </w:rPr>
        <w:t>rvicii de cazare</w:t>
      </w:r>
      <w:r w:rsidR="005239FB" w:rsidRPr="00834B27">
        <w:rPr>
          <w:rFonts w:ascii="Calibri" w:hAnsi="Calibri" w:cs="Calibri"/>
          <w:lang w:val="ro-RO"/>
        </w:rPr>
        <w:t xml:space="preserve">, care sunt incluse </w:t>
      </w:r>
      <w:r w:rsidR="00166301" w:rsidRPr="00834B27">
        <w:rPr>
          <w:rFonts w:ascii="Calibri" w:hAnsi="Calibri" w:cs="Calibri"/>
          <w:lang w:val="ro-RO"/>
        </w:rPr>
        <w:t>î</w:t>
      </w:r>
      <w:r w:rsidR="005239FB" w:rsidRPr="00834B27">
        <w:rPr>
          <w:rFonts w:ascii="Calibri" w:hAnsi="Calibri" w:cs="Calibri"/>
          <w:lang w:val="ro-RO"/>
        </w:rPr>
        <w:t xml:space="preserve">n categoria veniturilor din </w:t>
      </w:r>
      <w:r w:rsidR="00166301" w:rsidRPr="00834B27">
        <w:rPr>
          <w:rFonts w:ascii="Calibri" w:hAnsi="Calibri" w:cs="Calibri"/>
          <w:lang w:val="ro-RO"/>
        </w:rPr>
        <w:t>activită</w:t>
      </w:r>
      <w:r w:rsidR="00D77C4B" w:rsidRPr="00834B27">
        <w:rPr>
          <w:rFonts w:ascii="Calibri" w:hAnsi="Calibri" w:cs="Calibri"/>
          <w:lang w:val="ro-RO"/>
        </w:rPr>
        <w:t>ț</w:t>
      </w:r>
      <w:r w:rsidR="00166301" w:rsidRPr="00834B27">
        <w:rPr>
          <w:rFonts w:ascii="Calibri" w:hAnsi="Calibri" w:cs="Calibri"/>
          <w:lang w:val="ro-RO"/>
        </w:rPr>
        <w:t>i</w:t>
      </w:r>
      <w:r w:rsidR="005239FB" w:rsidRPr="00834B27">
        <w:rPr>
          <w:rFonts w:ascii="Calibri" w:hAnsi="Calibri" w:cs="Calibri"/>
          <w:lang w:val="ro-RO"/>
        </w:rPr>
        <w:t xml:space="preserve"> independente;</w:t>
      </w:r>
    </w:p>
    <w:p w14:paraId="4751F893" w14:textId="48F417CE" w:rsidR="005239FB" w:rsidRPr="00834B27" w:rsidRDefault="005239FB" w:rsidP="00B91E74">
      <w:pPr>
        <w:spacing w:line="276" w:lineRule="auto"/>
        <w:jc w:val="both"/>
        <w:rPr>
          <w:rFonts w:ascii="Calibri" w:hAnsi="Calibri" w:cs="Calibri"/>
          <w:lang w:val="ro-RO"/>
        </w:rPr>
      </w:pPr>
      <w:r w:rsidRPr="00834B27">
        <w:rPr>
          <w:rFonts w:ascii="Calibri" w:hAnsi="Calibri" w:cs="Calibri"/>
          <w:b/>
          <w:bCs/>
          <w:u w:val="single"/>
          <w:lang w:val="ro-RO"/>
        </w:rPr>
        <w:t>Plata</w:t>
      </w:r>
      <w:r w:rsidR="00903331" w:rsidRPr="00834B27">
        <w:rPr>
          <w:rFonts w:ascii="Calibri" w:hAnsi="Calibri" w:cs="Calibri"/>
          <w:b/>
          <w:bCs/>
          <w:u w:val="single"/>
          <w:lang w:val="ro-RO"/>
        </w:rPr>
        <w:t>:</w:t>
      </w:r>
      <w:r w:rsidR="00903331" w:rsidRPr="00834B27">
        <w:rPr>
          <w:rFonts w:ascii="Calibri" w:hAnsi="Calibri" w:cs="Calibri"/>
          <w:lang w:val="ro-RO"/>
        </w:rPr>
        <w:t xml:space="preserve"> de </w:t>
      </w:r>
      <w:r w:rsidR="00166301" w:rsidRPr="00834B27">
        <w:rPr>
          <w:rFonts w:ascii="Calibri" w:hAnsi="Calibri" w:cs="Calibri"/>
          <w:lang w:val="ro-RO"/>
        </w:rPr>
        <w:t>către</w:t>
      </w:r>
      <w:r w:rsidR="00903331" w:rsidRPr="00834B27">
        <w:rPr>
          <w:rFonts w:ascii="Calibri" w:hAnsi="Calibri" w:cs="Calibri"/>
          <w:lang w:val="ro-RO"/>
        </w:rPr>
        <w:t xml:space="preserve"> contribuabil, p</w:t>
      </w:r>
      <w:r w:rsidR="00166301" w:rsidRPr="00834B27">
        <w:rPr>
          <w:rFonts w:ascii="Calibri" w:hAnsi="Calibri" w:cs="Calibri"/>
          <w:lang w:val="ro-RO"/>
        </w:rPr>
        <w:t>â</w:t>
      </w:r>
      <w:r w:rsidR="00903331" w:rsidRPr="00834B27">
        <w:rPr>
          <w:rFonts w:ascii="Calibri" w:hAnsi="Calibri" w:cs="Calibri"/>
          <w:lang w:val="ro-RO"/>
        </w:rPr>
        <w:t>n</w:t>
      </w:r>
      <w:r w:rsidR="00166301" w:rsidRPr="00834B27">
        <w:rPr>
          <w:rFonts w:ascii="Calibri" w:hAnsi="Calibri" w:cs="Calibri"/>
          <w:lang w:val="ro-RO"/>
        </w:rPr>
        <w:t>ă</w:t>
      </w:r>
      <w:r w:rsidR="00903331" w:rsidRPr="00834B27">
        <w:rPr>
          <w:rFonts w:ascii="Calibri" w:hAnsi="Calibri" w:cs="Calibri"/>
          <w:lang w:val="ro-RO"/>
        </w:rPr>
        <w:t xml:space="preserve"> la termenul de depunere al D212.</w:t>
      </w:r>
    </w:p>
    <w:p w14:paraId="1B907978" w14:textId="77777777" w:rsidR="00903331" w:rsidRPr="00834B27" w:rsidRDefault="00903331" w:rsidP="00B91E74">
      <w:pPr>
        <w:spacing w:line="276" w:lineRule="auto"/>
        <w:jc w:val="both"/>
        <w:rPr>
          <w:rFonts w:ascii="Calibri" w:hAnsi="Calibri" w:cs="Calibri"/>
          <w:lang w:val="ro-RO"/>
        </w:rPr>
      </w:pPr>
    </w:p>
    <w:p w14:paraId="49577733" w14:textId="1D359F88" w:rsidR="00734B99" w:rsidRPr="00834B27" w:rsidRDefault="00001D0E" w:rsidP="00285F1A">
      <w:pPr>
        <w:pStyle w:val="Listparagraf"/>
        <w:keepNext/>
        <w:numPr>
          <w:ilvl w:val="1"/>
          <w:numId w:val="5"/>
        </w:numPr>
        <w:spacing w:line="276" w:lineRule="auto"/>
        <w:ind w:left="720" w:hanging="720"/>
        <w:contextualSpacing w:val="0"/>
        <w:jc w:val="both"/>
        <w:outlineLvl w:val="1"/>
        <w:rPr>
          <w:rFonts w:ascii="Calibri" w:hAnsi="Calibri" w:cs="Calibri"/>
          <w:b/>
          <w:bCs/>
          <w:lang w:val="ro-RO"/>
        </w:rPr>
      </w:pPr>
      <w:bookmarkStart w:id="6" w:name="_Toc223643875"/>
      <w:r w:rsidRPr="00834B27">
        <w:rPr>
          <w:rFonts w:ascii="Calibri" w:hAnsi="Calibri" w:cs="Calibri"/>
          <w:b/>
          <w:bCs/>
          <w:lang w:val="ro-RO"/>
        </w:rPr>
        <w:t xml:space="preserve">Venituri din </w:t>
      </w:r>
      <w:r w:rsidR="001D3DA8" w:rsidRPr="00834B27">
        <w:rPr>
          <w:rFonts w:ascii="Calibri" w:hAnsi="Calibri" w:cs="Calibri"/>
          <w:b/>
          <w:bCs/>
          <w:lang w:val="ro-RO"/>
        </w:rPr>
        <w:t>investi</w:t>
      </w:r>
      <w:r w:rsidR="00D77C4B" w:rsidRPr="00834B27">
        <w:rPr>
          <w:rFonts w:ascii="Calibri" w:hAnsi="Calibri" w:cs="Calibri"/>
          <w:b/>
          <w:bCs/>
          <w:lang w:val="ro-RO"/>
        </w:rPr>
        <w:t>ț</w:t>
      </w:r>
      <w:r w:rsidR="001D3DA8" w:rsidRPr="00834B27">
        <w:rPr>
          <w:rFonts w:ascii="Calibri" w:hAnsi="Calibri" w:cs="Calibri"/>
          <w:b/>
          <w:bCs/>
          <w:lang w:val="ro-RO"/>
        </w:rPr>
        <w:t>ii</w:t>
      </w:r>
      <w:bookmarkEnd w:id="6"/>
    </w:p>
    <w:p w14:paraId="6C24056E" w14:textId="7720E093" w:rsidR="00C92B72" w:rsidRPr="00834B27" w:rsidRDefault="00CA7817" w:rsidP="00285F1A">
      <w:pPr>
        <w:keepNext/>
        <w:spacing w:line="276" w:lineRule="auto"/>
        <w:jc w:val="both"/>
        <w:rPr>
          <w:rFonts w:ascii="Calibri" w:hAnsi="Calibri" w:cs="Calibri"/>
          <w:lang w:val="ro-RO"/>
        </w:rPr>
      </w:pPr>
      <w:r w:rsidRPr="00834B27">
        <w:rPr>
          <w:rFonts w:ascii="Calibri" w:hAnsi="Calibri" w:cs="Calibri"/>
          <w:lang w:val="ro-RO"/>
        </w:rPr>
        <w:t xml:space="preserve">Potrivit art. 91 din CF, veniturile din </w:t>
      </w:r>
      <w:r w:rsidR="001D3DA8" w:rsidRPr="00834B27">
        <w:rPr>
          <w:rFonts w:ascii="Calibri" w:hAnsi="Calibri" w:cs="Calibri"/>
          <w:lang w:val="ro-RO"/>
        </w:rPr>
        <w:t>investi</w:t>
      </w:r>
      <w:r w:rsidR="00D77C4B" w:rsidRPr="00834B27">
        <w:rPr>
          <w:rFonts w:ascii="Calibri" w:hAnsi="Calibri" w:cs="Calibri"/>
          <w:lang w:val="ro-RO"/>
        </w:rPr>
        <w:t>ț</w:t>
      </w:r>
      <w:r w:rsidR="001D3DA8" w:rsidRPr="00834B27">
        <w:rPr>
          <w:rFonts w:ascii="Calibri" w:hAnsi="Calibri" w:cs="Calibri"/>
          <w:lang w:val="ro-RO"/>
        </w:rPr>
        <w:t>ii</w:t>
      </w:r>
      <w:r w:rsidRPr="00834B27">
        <w:rPr>
          <w:rFonts w:ascii="Calibri" w:hAnsi="Calibri" w:cs="Calibri"/>
          <w:lang w:val="ro-RO"/>
        </w:rPr>
        <w:t xml:space="preserve"> includ:</w:t>
      </w:r>
    </w:p>
    <w:p w14:paraId="001FE458" w14:textId="77777777" w:rsidR="00502CD9" w:rsidRPr="00834B27" w:rsidRDefault="00502CD9" w:rsidP="00B91E74">
      <w:pPr>
        <w:spacing w:line="276" w:lineRule="auto"/>
        <w:jc w:val="both"/>
        <w:rPr>
          <w:rFonts w:ascii="Calibri" w:hAnsi="Calibri" w:cs="Calibri"/>
          <w:lang w:val="ro-RO"/>
        </w:rPr>
      </w:pPr>
      <w:r w:rsidRPr="00834B27">
        <w:rPr>
          <w:rFonts w:ascii="Calibri" w:hAnsi="Calibri" w:cs="Calibri"/>
          <w:lang w:val="ro-RO"/>
        </w:rPr>
        <w:t>a) venituri din dividende;</w:t>
      </w:r>
    </w:p>
    <w:p w14:paraId="6287BA4A" w14:textId="1E24653A" w:rsidR="00502CD9" w:rsidRPr="00834B27" w:rsidRDefault="00502CD9" w:rsidP="00B91E74">
      <w:pPr>
        <w:spacing w:line="276" w:lineRule="auto"/>
        <w:jc w:val="both"/>
        <w:rPr>
          <w:rFonts w:ascii="Calibri" w:hAnsi="Calibri" w:cs="Calibri"/>
          <w:lang w:val="ro-RO"/>
        </w:rPr>
      </w:pPr>
      <w:r w:rsidRPr="00834B27">
        <w:rPr>
          <w:rFonts w:ascii="Calibri" w:hAnsi="Calibri" w:cs="Calibri"/>
          <w:lang w:val="ro-RO"/>
        </w:rPr>
        <w:t xml:space="preserve">b) venituri din dobânzi; </w:t>
      </w:r>
    </w:p>
    <w:p w14:paraId="5B54859D" w14:textId="3D3D7425" w:rsidR="00502CD9" w:rsidRPr="00834B27" w:rsidRDefault="00502CD9" w:rsidP="00B91E74">
      <w:pPr>
        <w:spacing w:line="276" w:lineRule="auto"/>
        <w:jc w:val="both"/>
        <w:rPr>
          <w:rFonts w:ascii="Calibri" w:hAnsi="Calibri" w:cs="Calibri"/>
          <w:lang w:val="ro-RO"/>
        </w:rPr>
      </w:pPr>
      <w:r w:rsidRPr="00834B27">
        <w:rPr>
          <w:rFonts w:ascii="Calibri" w:hAnsi="Calibri" w:cs="Calibri"/>
          <w:lang w:val="ro-RO"/>
        </w:rPr>
        <w:t>c) câștiguri din transferul titlurilor de valoare și orice alte opera</w:t>
      </w:r>
      <w:r w:rsidR="00D77C4B" w:rsidRPr="00834B27">
        <w:rPr>
          <w:rFonts w:ascii="Calibri" w:hAnsi="Calibri" w:cs="Calibri"/>
          <w:lang w:val="ro-RO"/>
        </w:rPr>
        <w:t>ț</w:t>
      </w:r>
      <w:r w:rsidRPr="00834B27">
        <w:rPr>
          <w:rFonts w:ascii="Calibri" w:hAnsi="Calibri" w:cs="Calibri"/>
          <w:lang w:val="ro-RO"/>
        </w:rPr>
        <w:t>iuni cu instrumente financiare, inclusiv instrumente financiare derivate</w:t>
      </w:r>
      <w:r w:rsidR="00B951CE" w:rsidRPr="00834B27">
        <w:rPr>
          <w:rFonts w:ascii="Calibri" w:hAnsi="Calibri" w:cs="Calibri"/>
          <w:lang w:val="ro-RO"/>
        </w:rPr>
        <w:t xml:space="preserve"> </w:t>
      </w:r>
      <w:r w:rsidR="00FE15AD" w:rsidRPr="00834B27">
        <w:rPr>
          <w:rFonts w:ascii="Calibri" w:hAnsi="Calibri" w:cs="Calibri"/>
          <w:lang w:val="ro-RO"/>
        </w:rPr>
        <w:t>ș</w:t>
      </w:r>
      <w:r w:rsidR="00B951CE" w:rsidRPr="00834B27">
        <w:rPr>
          <w:rFonts w:ascii="Calibri" w:hAnsi="Calibri" w:cs="Calibri"/>
          <w:lang w:val="ro-RO"/>
        </w:rPr>
        <w:t xml:space="preserve">i </w:t>
      </w:r>
      <w:r w:rsidRPr="00834B27">
        <w:rPr>
          <w:rFonts w:ascii="Calibri" w:hAnsi="Calibri" w:cs="Calibri"/>
          <w:lang w:val="ro-RO"/>
        </w:rPr>
        <w:t>câștiguri din transferul aurului de investi</w:t>
      </w:r>
      <w:r w:rsidR="00D77C4B" w:rsidRPr="00834B27">
        <w:rPr>
          <w:rFonts w:ascii="Calibri" w:hAnsi="Calibri" w:cs="Calibri"/>
          <w:lang w:val="ro-RO"/>
        </w:rPr>
        <w:t>ț</w:t>
      </w:r>
      <w:r w:rsidRPr="00834B27">
        <w:rPr>
          <w:rFonts w:ascii="Calibri" w:hAnsi="Calibri" w:cs="Calibri"/>
          <w:lang w:val="ro-RO"/>
        </w:rPr>
        <w:t>ii, definit potrivit legii;</w:t>
      </w:r>
    </w:p>
    <w:p w14:paraId="5496AFB3" w14:textId="02920D12" w:rsidR="00502CD9" w:rsidRPr="00834B27" w:rsidRDefault="005A70E8" w:rsidP="00B91E74">
      <w:pPr>
        <w:spacing w:line="276" w:lineRule="auto"/>
        <w:jc w:val="both"/>
        <w:rPr>
          <w:rFonts w:ascii="Calibri" w:hAnsi="Calibri" w:cs="Calibri"/>
          <w:lang w:val="ro-RO"/>
        </w:rPr>
      </w:pPr>
      <w:r w:rsidRPr="00834B27">
        <w:rPr>
          <w:rFonts w:ascii="Calibri" w:hAnsi="Calibri" w:cs="Calibri"/>
          <w:lang w:val="ro-RO"/>
        </w:rPr>
        <w:t>d</w:t>
      </w:r>
      <w:r w:rsidR="00502CD9" w:rsidRPr="00834B27">
        <w:rPr>
          <w:rFonts w:ascii="Calibri" w:hAnsi="Calibri" w:cs="Calibri"/>
          <w:lang w:val="ro-RO"/>
        </w:rPr>
        <w:t>) venituri din lichidarea unei persoane juridice.</w:t>
      </w:r>
    </w:p>
    <w:p w14:paraId="2E57FA74" w14:textId="77777777" w:rsidR="00166301" w:rsidRPr="00834B27" w:rsidRDefault="00166301" w:rsidP="00B91E74">
      <w:pPr>
        <w:spacing w:line="276" w:lineRule="auto"/>
        <w:jc w:val="both"/>
        <w:rPr>
          <w:rFonts w:ascii="Calibri" w:hAnsi="Calibri" w:cs="Calibri"/>
          <w:lang w:val="ro-RO"/>
        </w:rPr>
      </w:pPr>
    </w:p>
    <w:p w14:paraId="3509DBE7" w14:textId="5B377ED3" w:rsidR="007C62D3" w:rsidRPr="00834B27" w:rsidRDefault="005D3466" w:rsidP="005752DC">
      <w:pPr>
        <w:pStyle w:val="Listparagraf"/>
        <w:numPr>
          <w:ilvl w:val="2"/>
          <w:numId w:val="27"/>
        </w:numPr>
        <w:spacing w:line="276" w:lineRule="auto"/>
        <w:contextualSpacing w:val="0"/>
        <w:jc w:val="both"/>
        <w:rPr>
          <w:rFonts w:ascii="Calibri" w:hAnsi="Calibri" w:cs="Calibri"/>
          <w:b/>
          <w:bCs/>
          <w:lang w:val="ro-RO"/>
        </w:rPr>
      </w:pPr>
      <w:r w:rsidRPr="00834B27">
        <w:rPr>
          <w:rFonts w:ascii="Calibri" w:hAnsi="Calibri" w:cs="Calibri"/>
          <w:b/>
          <w:bCs/>
          <w:lang w:val="ro-RO"/>
        </w:rPr>
        <w:t>IV</w:t>
      </w:r>
    </w:p>
    <w:p w14:paraId="16ED5299" w14:textId="2AE1D735" w:rsidR="003B19D4" w:rsidRPr="00834B27" w:rsidRDefault="005D3466" w:rsidP="007C62D3">
      <w:pPr>
        <w:spacing w:line="276" w:lineRule="auto"/>
        <w:jc w:val="both"/>
        <w:rPr>
          <w:rFonts w:ascii="Calibri" w:hAnsi="Calibri" w:cs="Calibri"/>
          <w:b/>
          <w:bCs/>
          <w:u w:val="single"/>
          <w:lang w:val="ro-RO"/>
        </w:rPr>
      </w:pPr>
      <w:r w:rsidRPr="00834B27">
        <w:rPr>
          <w:rFonts w:ascii="Calibri" w:hAnsi="Calibri" w:cs="Calibri"/>
          <w:b/>
          <w:bCs/>
          <w:u w:val="single"/>
          <w:lang w:val="ro-RO"/>
        </w:rPr>
        <w:t>Cota de IV:</w:t>
      </w:r>
    </w:p>
    <w:p w14:paraId="57F9AC96" w14:textId="09E5FCE0" w:rsidR="007C62D3" w:rsidRPr="00834B27" w:rsidRDefault="006D6BD5" w:rsidP="00EF003A">
      <w:pPr>
        <w:pStyle w:val="Listparagraf"/>
        <w:numPr>
          <w:ilvl w:val="0"/>
          <w:numId w:val="10"/>
        </w:numPr>
        <w:spacing w:line="276" w:lineRule="auto"/>
        <w:ind w:left="360"/>
        <w:contextualSpacing w:val="0"/>
        <w:jc w:val="both"/>
        <w:rPr>
          <w:rFonts w:ascii="Calibri" w:hAnsi="Calibri" w:cs="Calibri"/>
          <w:lang w:val="ro-RO"/>
        </w:rPr>
      </w:pPr>
      <w:r w:rsidRPr="00834B27">
        <w:rPr>
          <w:rFonts w:ascii="Calibri" w:hAnsi="Calibri" w:cs="Calibri"/>
          <w:lang w:val="ro-RO"/>
        </w:rPr>
        <w:t xml:space="preserve">Pentru venituri din dividende: </w:t>
      </w:r>
      <w:r w:rsidR="00197436" w:rsidRPr="00834B27">
        <w:rPr>
          <w:rFonts w:ascii="Calibri" w:hAnsi="Calibri" w:cs="Calibri"/>
          <w:lang w:val="ro-RO"/>
        </w:rPr>
        <w:t>1</w:t>
      </w:r>
      <w:r w:rsidR="00696B15" w:rsidRPr="00834B27">
        <w:rPr>
          <w:rFonts w:ascii="Calibri" w:hAnsi="Calibri" w:cs="Calibri"/>
          <w:lang w:val="ro-RO"/>
        </w:rPr>
        <w:t>6</w:t>
      </w:r>
      <w:r w:rsidR="00197436" w:rsidRPr="00834B27">
        <w:rPr>
          <w:rFonts w:ascii="Calibri" w:hAnsi="Calibri" w:cs="Calibri"/>
          <w:lang w:val="ro-RO"/>
        </w:rPr>
        <w:t>%;</w:t>
      </w:r>
    </w:p>
    <w:p w14:paraId="52C5C915" w14:textId="77777777" w:rsidR="00B43347" w:rsidRPr="00834B27" w:rsidRDefault="00B43347" w:rsidP="00B43347">
      <w:pPr>
        <w:pStyle w:val="Listparagraf"/>
        <w:spacing w:line="276" w:lineRule="auto"/>
        <w:ind w:left="360"/>
        <w:contextualSpacing w:val="0"/>
        <w:jc w:val="both"/>
        <w:rPr>
          <w:rFonts w:ascii="Calibri" w:hAnsi="Calibri" w:cs="Calibri"/>
          <w:lang w:val="ro-RO"/>
        </w:rPr>
      </w:pPr>
    </w:p>
    <w:p w14:paraId="26432567" w14:textId="084E9428" w:rsidR="00197436" w:rsidRPr="00834B27" w:rsidRDefault="00F618BF" w:rsidP="00B91E74">
      <w:pPr>
        <w:spacing w:line="276" w:lineRule="auto"/>
        <w:jc w:val="both"/>
        <w:rPr>
          <w:rFonts w:ascii="Calibri" w:hAnsi="Calibri" w:cs="Calibri"/>
          <w:b/>
          <w:bCs/>
          <w:i/>
          <w:iCs/>
          <w:lang w:val="ro-RO"/>
        </w:rPr>
      </w:pPr>
      <w:r w:rsidRPr="00834B27">
        <w:rPr>
          <w:rFonts w:ascii="Calibri" w:hAnsi="Calibri" w:cs="Calibri"/>
          <w:b/>
          <w:bCs/>
          <w:i/>
          <w:iCs/>
          <w:lang w:val="ro-RO"/>
        </w:rPr>
        <w:t>Scurt istoric</w:t>
      </w:r>
    </w:p>
    <w:p w14:paraId="2F30DA42" w14:textId="2C51F933" w:rsidR="00F618BF" w:rsidRPr="00834B27" w:rsidRDefault="008C7003" w:rsidP="00B91E74">
      <w:pPr>
        <w:spacing w:line="276" w:lineRule="auto"/>
        <w:jc w:val="both"/>
        <w:rPr>
          <w:rFonts w:ascii="Calibri" w:hAnsi="Calibri" w:cs="Calibri"/>
          <w:i/>
          <w:iCs/>
          <w:lang w:val="ro-RO"/>
        </w:rPr>
      </w:pPr>
      <w:r w:rsidRPr="00834B27">
        <w:rPr>
          <w:rFonts w:ascii="Calibri" w:hAnsi="Calibri" w:cs="Calibri"/>
          <w:i/>
          <w:iCs/>
          <w:lang w:val="ro-RO"/>
        </w:rPr>
        <w:t>De-a lungul timpului, cota de impozit</w:t>
      </w:r>
      <w:r w:rsidR="009F50A7" w:rsidRPr="00834B27">
        <w:rPr>
          <w:rFonts w:ascii="Calibri" w:hAnsi="Calibri" w:cs="Calibri"/>
          <w:i/>
          <w:iCs/>
          <w:lang w:val="ro-RO"/>
        </w:rPr>
        <w:t>are a dividendelor a variat puternic: a fost 5% p</w:t>
      </w:r>
      <w:r w:rsidR="00166301" w:rsidRPr="00834B27">
        <w:rPr>
          <w:rFonts w:ascii="Calibri" w:hAnsi="Calibri" w:cs="Calibri"/>
          <w:i/>
          <w:iCs/>
          <w:lang w:val="ro-RO"/>
        </w:rPr>
        <w:t>â</w:t>
      </w:r>
      <w:r w:rsidR="009F50A7" w:rsidRPr="00834B27">
        <w:rPr>
          <w:rFonts w:ascii="Calibri" w:hAnsi="Calibri" w:cs="Calibri"/>
          <w:i/>
          <w:iCs/>
          <w:lang w:val="ro-RO"/>
        </w:rPr>
        <w:t>n</w:t>
      </w:r>
      <w:r w:rsidR="00166301" w:rsidRPr="00834B27">
        <w:rPr>
          <w:rFonts w:ascii="Calibri" w:hAnsi="Calibri" w:cs="Calibri"/>
          <w:i/>
          <w:iCs/>
          <w:lang w:val="ro-RO"/>
        </w:rPr>
        <w:t>ă</w:t>
      </w:r>
      <w:r w:rsidR="009F50A7" w:rsidRPr="00834B27">
        <w:rPr>
          <w:rFonts w:ascii="Calibri" w:hAnsi="Calibri" w:cs="Calibri"/>
          <w:i/>
          <w:iCs/>
          <w:lang w:val="ro-RO"/>
        </w:rPr>
        <w:t xml:space="preserve"> </w:t>
      </w:r>
      <w:r w:rsidR="00166301" w:rsidRPr="00834B27">
        <w:rPr>
          <w:rFonts w:ascii="Calibri" w:hAnsi="Calibri" w:cs="Calibri"/>
          <w:i/>
          <w:iCs/>
          <w:lang w:val="ro-RO"/>
        </w:rPr>
        <w:t>î</w:t>
      </w:r>
      <w:r w:rsidR="009F50A7" w:rsidRPr="00834B27">
        <w:rPr>
          <w:rFonts w:ascii="Calibri" w:hAnsi="Calibri" w:cs="Calibri"/>
          <w:i/>
          <w:iCs/>
          <w:lang w:val="ro-RO"/>
        </w:rPr>
        <w:t xml:space="preserve">n 2004, 10% </w:t>
      </w:r>
      <w:r w:rsidR="00166301" w:rsidRPr="00834B27">
        <w:rPr>
          <w:rFonts w:ascii="Calibri" w:hAnsi="Calibri" w:cs="Calibri"/>
          <w:i/>
          <w:iCs/>
          <w:lang w:val="ro-RO"/>
        </w:rPr>
        <w:t>î</w:t>
      </w:r>
      <w:r w:rsidR="009F50A7" w:rsidRPr="00834B27">
        <w:rPr>
          <w:rFonts w:ascii="Calibri" w:hAnsi="Calibri" w:cs="Calibri"/>
          <w:i/>
          <w:iCs/>
          <w:lang w:val="ro-RO"/>
        </w:rPr>
        <w:t>n 2005</w:t>
      </w:r>
      <w:r w:rsidR="00836FC0" w:rsidRPr="00834B27">
        <w:rPr>
          <w:rFonts w:ascii="Calibri" w:hAnsi="Calibri" w:cs="Calibri"/>
          <w:i/>
          <w:iCs/>
          <w:lang w:val="ro-RO"/>
        </w:rPr>
        <w:t xml:space="preserve"> </w:t>
      </w:r>
      <w:r w:rsidR="00166301" w:rsidRPr="00834B27">
        <w:rPr>
          <w:rFonts w:ascii="Calibri" w:hAnsi="Calibri" w:cs="Calibri"/>
          <w:i/>
          <w:iCs/>
          <w:lang w:val="ro-RO"/>
        </w:rPr>
        <w:t>ș</w:t>
      </w:r>
      <w:r w:rsidR="00836FC0" w:rsidRPr="00834B27">
        <w:rPr>
          <w:rFonts w:ascii="Calibri" w:hAnsi="Calibri" w:cs="Calibri"/>
          <w:i/>
          <w:iCs/>
          <w:lang w:val="ro-RO"/>
        </w:rPr>
        <w:t>i 2006</w:t>
      </w:r>
      <w:r w:rsidR="005C7A8E" w:rsidRPr="00834B27">
        <w:rPr>
          <w:rFonts w:ascii="Calibri" w:hAnsi="Calibri" w:cs="Calibri"/>
          <w:i/>
          <w:iCs/>
          <w:lang w:val="ro-RO"/>
        </w:rPr>
        <w:t>, 16% din 200</w:t>
      </w:r>
      <w:r w:rsidR="00836FC0" w:rsidRPr="00834B27">
        <w:rPr>
          <w:rFonts w:ascii="Calibri" w:hAnsi="Calibri" w:cs="Calibri"/>
          <w:i/>
          <w:iCs/>
          <w:lang w:val="ro-RO"/>
        </w:rPr>
        <w:t>7</w:t>
      </w:r>
      <w:r w:rsidR="005C7A8E" w:rsidRPr="00834B27">
        <w:rPr>
          <w:rFonts w:ascii="Calibri" w:hAnsi="Calibri" w:cs="Calibri"/>
          <w:i/>
          <w:iCs/>
          <w:lang w:val="ro-RO"/>
        </w:rPr>
        <w:t xml:space="preserve"> p</w:t>
      </w:r>
      <w:r w:rsidR="00166301" w:rsidRPr="00834B27">
        <w:rPr>
          <w:rFonts w:ascii="Calibri" w:hAnsi="Calibri" w:cs="Calibri"/>
          <w:i/>
          <w:iCs/>
          <w:lang w:val="ro-RO"/>
        </w:rPr>
        <w:t>â</w:t>
      </w:r>
      <w:r w:rsidR="005C7A8E" w:rsidRPr="00834B27">
        <w:rPr>
          <w:rFonts w:ascii="Calibri" w:hAnsi="Calibri" w:cs="Calibri"/>
          <w:i/>
          <w:iCs/>
          <w:lang w:val="ro-RO"/>
        </w:rPr>
        <w:t>n</w:t>
      </w:r>
      <w:r w:rsidR="00166301" w:rsidRPr="00834B27">
        <w:rPr>
          <w:rFonts w:ascii="Calibri" w:hAnsi="Calibri" w:cs="Calibri"/>
          <w:i/>
          <w:iCs/>
          <w:lang w:val="ro-RO"/>
        </w:rPr>
        <w:t>ă</w:t>
      </w:r>
      <w:r w:rsidR="005C7A8E" w:rsidRPr="00834B27">
        <w:rPr>
          <w:rFonts w:ascii="Calibri" w:hAnsi="Calibri" w:cs="Calibri"/>
          <w:i/>
          <w:iCs/>
          <w:lang w:val="ro-RO"/>
        </w:rPr>
        <w:t xml:space="preserve"> </w:t>
      </w:r>
      <w:r w:rsidR="00166301" w:rsidRPr="00834B27">
        <w:rPr>
          <w:rFonts w:ascii="Calibri" w:hAnsi="Calibri" w:cs="Calibri"/>
          <w:i/>
          <w:iCs/>
          <w:lang w:val="ro-RO"/>
        </w:rPr>
        <w:t>î</w:t>
      </w:r>
      <w:r w:rsidR="005C7A8E" w:rsidRPr="00834B27">
        <w:rPr>
          <w:rFonts w:ascii="Calibri" w:hAnsi="Calibri" w:cs="Calibri"/>
          <w:i/>
          <w:iCs/>
          <w:lang w:val="ro-RO"/>
        </w:rPr>
        <w:t>n</w:t>
      </w:r>
      <w:r w:rsidR="00836FC0" w:rsidRPr="00834B27">
        <w:rPr>
          <w:rFonts w:ascii="Calibri" w:hAnsi="Calibri" w:cs="Calibri"/>
          <w:i/>
          <w:iCs/>
          <w:lang w:val="ro-RO"/>
        </w:rPr>
        <w:t xml:space="preserve"> 2016, </w:t>
      </w:r>
      <w:r w:rsidR="005B6EBE" w:rsidRPr="00834B27">
        <w:rPr>
          <w:rFonts w:ascii="Calibri" w:hAnsi="Calibri" w:cs="Calibri"/>
          <w:i/>
          <w:iCs/>
          <w:lang w:val="ro-RO"/>
        </w:rPr>
        <w:t>a revenit la 5% din 2017 p</w:t>
      </w:r>
      <w:r w:rsidR="00166301" w:rsidRPr="00834B27">
        <w:rPr>
          <w:rFonts w:ascii="Calibri" w:hAnsi="Calibri" w:cs="Calibri"/>
          <w:i/>
          <w:iCs/>
          <w:lang w:val="ro-RO"/>
        </w:rPr>
        <w:t>â</w:t>
      </w:r>
      <w:r w:rsidR="005B6EBE" w:rsidRPr="00834B27">
        <w:rPr>
          <w:rFonts w:ascii="Calibri" w:hAnsi="Calibri" w:cs="Calibri"/>
          <w:i/>
          <w:iCs/>
          <w:lang w:val="ro-RO"/>
        </w:rPr>
        <w:t>n</w:t>
      </w:r>
      <w:r w:rsidR="00166301" w:rsidRPr="00834B27">
        <w:rPr>
          <w:rFonts w:ascii="Calibri" w:hAnsi="Calibri" w:cs="Calibri"/>
          <w:i/>
          <w:iCs/>
          <w:lang w:val="ro-RO"/>
        </w:rPr>
        <w:t>ă</w:t>
      </w:r>
      <w:r w:rsidR="005B6EBE" w:rsidRPr="00834B27">
        <w:rPr>
          <w:rFonts w:ascii="Calibri" w:hAnsi="Calibri" w:cs="Calibri"/>
          <w:i/>
          <w:iCs/>
          <w:lang w:val="ro-RO"/>
        </w:rPr>
        <w:t xml:space="preserve"> </w:t>
      </w:r>
      <w:r w:rsidR="00166301" w:rsidRPr="00834B27">
        <w:rPr>
          <w:rFonts w:ascii="Calibri" w:hAnsi="Calibri" w:cs="Calibri"/>
          <w:i/>
          <w:iCs/>
          <w:lang w:val="ro-RO"/>
        </w:rPr>
        <w:t>î</w:t>
      </w:r>
      <w:r w:rsidR="005B6EBE" w:rsidRPr="00834B27">
        <w:rPr>
          <w:rFonts w:ascii="Calibri" w:hAnsi="Calibri" w:cs="Calibri"/>
          <w:i/>
          <w:iCs/>
          <w:lang w:val="ro-RO"/>
        </w:rPr>
        <w:t>n 2022, a fost majorat</w:t>
      </w:r>
      <w:r w:rsidR="00166301" w:rsidRPr="00834B27">
        <w:rPr>
          <w:rFonts w:ascii="Calibri" w:hAnsi="Calibri" w:cs="Calibri"/>
          <w:i/>
          <w:iCs/>
          <w:lang w:val="ro-RO"/>
        </w:rPr>
        <w:t>ă</w:t>
      </w:r>
      <w:r w:rsidR="005B6EBE" w:rsidRPr="00834B27">
        <w:rPr>
          <w:rFonts w:ascii="Calibri" w:hAnsi="Calibri" w:cs="Calibri"/>
          <w:i/>
          <w:iCs/>
          <w:lang w:val="ro-RO"/>
        </w:rPr>
        <w:t xml:space="preserve"> la 8% </w:t>
      </w:r>
      <w:r w:rsidR="00166301" w:rsidRPr="00834B27">
        <w:rPr>
          <w:rFonts w:ascii="Calibri" w:hAnsi="Calibri" w:cs="Calibri"/>
          <w:i/>
          <w:iCs/>
          <w:lang w:val="ro-RO"/>
        </w:rPr>
        <w:t>î</w:t>
      </w:r>
      <w:r w:rsidR="005B6EBE" w:rsidRPr="00834B27">
        <w:rPr>
          <w:rFonts w:ascii="Calibri" w:hAnsi="Calibri" w:cs="Calibri"/>
          <w:i/>
          <w:iCs/>
          <w:lang w:val="ro-RO"/>
        </w:rPr>
        <w:t>n 2023</w:t>
      </w:r>
      <w:r w:rsidR="007F3A92" w:rsidRPr="00834B27">
        <w:rPr>
          <w:rFonts w:ascii="Calibri" w:hAnsi="Calibri" w:cs="Calibri"/>
          <w:i/>
          <w:iCs/>
          <w:lang w:val="ro-RO"/>
        </w:rPr>
        <w:t xml:space="preserve">, mai apoi la 10% </w:t>
      </w:r>
      <w:r w:rsidR="00166301" w:rsidRPr="00834B27">
        <w:rPr>
          <w:rFonts w:ascii="Calibri" w:hAnsi="Calibri" w:cs="Calibri"/>
          <w:i/>
          <w:iCs/>
          <w:lang w:val="ro-RO"/>
        </w:rPr>
        <w:t>î</w:t>
      </w:r>
      <w:r w:rsidR="007F3A92" w:rsidRPr="00834B27">
        <w:rPr>
          <w:rFonts w:ascii="Calibri" w:hAnsi="Calibri" w:cs="Calibri"/>
          <w:i/>
          <w:iCs/>
          <w:lang w:val="ro-RO"/>
        </w:rPr>
        <w:t xml:space="preserve">n 2024 </w:t>
      </w:r>
      <w:r w:rsidR="00166301" w:rsidRPr="00834B27">
        <w:rPr>
          <w:rFonts w:ascii="Calibri" w:hAnsi="Calibri" w:cs="Calibri"/>
          <w:i/>
          <w:iCs/>
          <w:lang w:val="ro-RO"/>
        </w:rPr>
        <w:t>ș</w:t>
      </w:r>
      <w:r w:rsidR="007F3A92" w:rsidRPr="00834B27">
        <w:rPr>
          <w:rFonts w:ascii="Calibri" w:hAnsi="Calibri" w:cs="Calibri"/>
          <w:i/>
          <w:iCs/>
          <w:lang w:val="ro-RO"/>
        </w:rPr>
        <w:t xml:space="preserve">i </w:t>
      </w:r>
      <w:r w:rsidR="00166301" w:rsidRPr="00834B27">
        <w:rPr>
          <w:rFonts w:ascii="Calibri" w:hAnsi="Calibri" w:cs="Calibri"/>
          <w:i/>
          <w:iCs/>
          <w:lang w:val="ro-RO"/>
        </w:rPr>
        <w:t>a revenit</w:t>
      </w:r>
      <w:r w:rsidR="007F3A92" w:rsidRPr="00834B27">
        <w:rPr>
          <w:rFonts w:ascii="Calibri" w:hAnsi="Calibri" w:cs="Calibri"/>
          <w:i/>
          <w:iCs/>
          <w:lang w:val="ro-RO"/>
        </w:rPr>
        <w:t xml:space="preserve"> la 16% (</w:t>
      </w:r>
      <w:r w:rsidR="00166301" w:rsidRPr="00834B27">
        <w:rPr>
          <w:rFonts w:ascii="Calibri" w:hAnsi="Calibri" w:cs="Calibri"/>
          <w:i/>
          <w:iCs/>
          <w:lang w:val="ro-RO"/>
        </w:rPr>
        <w:t>î</w:t>
      </w:r>
      <w:r w:rsidR="007F3A92" w:rsidRPr="00834B27">
        <w:rPr>
          <w:rFonts w:ascii="Calibri" w:hAnsi="Calibri" w:cs="Calibri"/>
          <w:i/>
          <w:iCs/>
          <w:lang w:val="ro-RO"/>
        </w:rPr>
        <w:t xml:space="preserve">n </w:t>
      </w:r>
      <w:r w:rsidR="00166301" w:rsidRPr="00834B27">
        <w:rPr>
          <w:rFonts w:ascii="Calibri" w:hAnsi="Calibri" w:cs="Calibri"/>
          <w:i/>
          <w:iCs/>
          <w:lang w:val="ro-RO"/>
        </w:rPr>
        <w:t>condi</w:t>
      </w:r>
      <w:r w:rsidR="00D77C4B" w:rsidRPr="00834B27">
        <w:rPr>
          <w:rFonts w:ascii="Calibri" w:hAnsi="Calibri" w:cs="Calibri"/>
          <w:i/>
          <w:iCs/>
          <w:lang w:val="ro-RO"/>
        </w:rPr>
        <w:t>ț</w:t>
      </w:r>
      <w:r w:rsidR="00166301" w:rsidRPr="00834B27">
        <w:rPr>
          <w:rFonts w:ascii="Calibri" w:hAnsi="Calibri" w:cs="Calibri"/>
          <w:i/>
          <w:iCs/>
          <w:lang w:val="ro-RO"/>
        </w:rPr>
        <w:t>iile</w:t>
      </w:r>
      <w:r w:rsidR="007F3A92" w:rsidRPr="00834B27">
        <w:rPr>
          <w:rFonts w:ascii="Calibri" w:hAnsi="Calibri" w:cs="Calibri"/>
          <w:i/>
          <w:iCs/>
          <w:lang w:val="ro-RO"/>
        </w:rPr>
        <w:t xml:space="preserve"> </w:t>
      </w:r>
      <w:r w:rsidR="00166301" w:rsidRPr="00834B27">
        <w:rPr>
          <w:rFonts w:ascii="Calibri" w:hAnsi="Calibri" w:cs="Calibri"/>
          <w:i/>
          <w:iCs/>
          <w:lang w:val="ro-RO"/>
        </w:rPr>
        <w:t>î</w:t>
      </w:r>
      <w:r w:rsidR="007F3A92" w:rsidRPr="00834B27">
        <w:rPr>
          <w:rFonts w:ascii="Calibri" w:hAnsi="Calibri" w:cs="Calibri"/>
          <w:i/>
          <w:iCs/>
          <w:lang w:val="ro-RO"/>
        </w:rPr>
        <w:t xml:space="preserve">n care </w:t>
      </w:r>
      <w:r w:rsidR="00166301" w:rsidRPr="00834B27">
        <w:rPr>
          <w:rFonts w:ascii="Calibri" w:hAnsi="Calibri" w:cs="Calibri"/>
          <w:i/>
          <w:iCs/>
          <w:lang w:val="ro-RO"/>
        </w:rPr>
        <w:t>„</w:t>
      </w:r>
      <w:r w:rsidR="000122E5" w:rsidRPr="00834B27">
        <w:rPr>
          <w:rFonts w:ascii="Calibri" w:hAnsi="Calibri" w:cs="Calibri"/>
          <w:i/>
          <w:iCs/>
          <w:lang w:val="ro-RO"/>
        </w:rPr>
        <w:t>cota unic</w:t>
      </w:r>
      <w:r w:rsidR="00166301" w:rsidRPr="00834B27">
        <w:rPr>
          <w:rFonts w:ascii="Calibri" w:hAnsi="Calibri" w:cs="Calibri"/>
          <w:i/>
          <w:iCs/>
          <w:lang w:val="ro-RO"/>
        </w:rPr>
        <w:t>ă</w:t>
      </w:r>
      <w:r w:rsidR="000122E5" w:rsidRPr="00834B27">
        <w:rPr>
          <w:rFonts w:ascii="Calibri" w:hAnsi="Calibri" w:cs="Calibri"/>
          <w:i/>
          <w:iCs/>
          <w:lang w:val="ro-RO"/>
        </w:rPr>
        <w:t xml:space="preserve">” este </w:t>
      </w:r>
      <w:r w:rsidR="00166301" w:rsidRPr="00834B27">
        <w:rPr>
          <w:rFonts w:ascii="Calibri" w:hAnsi="Calibri" w:cs="Calibri"/>
          <w:i/>
          <w:iCs/>
          <w:lang w:val="ro-RO"/>
        </w:rPr>
        <w:t>încă</w:t>
      </w:r>
      <w:r w:rsidR="00285F1A" w:rsidRPr="00834B27">
        <w:rPr>
          <w:rFonts w:ascii="Calibri" w:hAnsi="Calibri" w:cs="Calibri"/>
          <w:i/>
          <w:iCs/>
          <w:lang w:val="ro-RO"/>
        </w:rPr>
        <w:t xml:space="preserve"> de</w:t>
      </w:r>
      <w:r w:rsidR="000122E5" w:rsidRPr="00834B27">
        <w:rPr>
          <w:rFonts w:ascii="Calibri" w:hAnsi="Calibri" w:cs="Calibri"/>
          <w:i/>
          <w:iCs/>
          <w:lang w:val="ro-RO"/>
        </w:rPr>
        <w:t xml:space="preserve"> 10%...)</w:t>
      </w:r>
      <w:r w:rsidR="00815481" w:rsidRPr="00834B27">
        <w:rPr>
          <w:rFonts w:ascii="Calibri" w:hAnsi="Calibri" w:cs="Calibri"/>
          <w:i/>
          <w:iCs/>
          <w:lang w:val="ro-RO"/>
        </w:rPr>
        <w:t>.</w:t>
      </w:r>
    </w:p>
    <w:p w14:paraId="7F05486F" w14:textId="77777777" w:rsidR="003B19D4" w:rsidRPr="00834B27" w:rsidRDefault="003B19D4" w:rsidP="00B91E74">
      <w:pPr>
        <w:spacing w:line="276" w:lineRule="auto"/>
        <w:jc w:val="both"/>
        <w:rPr>
          <w:rFonts w:ascii="Calibri" w:hAnsi="Calibri" w:cs="Calibri"/>
          <w:i/>
          <w:iCs/>
          <w:lang w:val="ro-RO"/>
        </w:rPr>
      </w:pPr>
    </w:p>
    <w:p w14:paraId="728A661B" w14:textId="3488FE85" w:rsidR="007C62D3" w:rsidRPr="00834B27" w:rsidRDefault="00196691" w:rsidP="00EF003A">
      <w:pPr>
        <w:pStyle w:val="Listparagraf"/>
        <w:numPr>
          <w:ilvl w:val="0"/>
          <w:numId w:val="10"/>
        </w:numPr>
        <w:spacing w:line="276" w:lineRule="auto"/>
        <w:ind w:left="360"/>
        <w:contextualSpacing w:val="0"/>
        <w:jc w:val="both"/>
        <w:rPr>
          <w:rFonts w:ascii="Calibri" w:hAnsi="Calibri" w:cs="Calibri"/>
          <w:lang w:val="ro-RO"/>
        </w:rPr>
      </w:pPr>
      <w:r w:rsidRPr="00834B27">
        <w:rPr>
          <w:rFonts w:ascii="Calibri" w:hAnsi="Calibri" w:cs="Calibri"/>
          <w:lang w:val="ro-RO"/>
        </w:rPr>
        <w:t xml:space="preserve">Pentru venituri din </w:t>
      </w:r>
      <w:r w:rsidR="00166301" w:rsidRPr="00834B27">
        <w:rPr>
          <w:rFonts w:ascii="Calibri" w:hAnsi="Calibri" w:cs="Calibri"/>
          <w:lang w:val="ro-RO"/>
        </w:rPr>
        <w:t>dobânzi</w:t>
      </w:r>
      <w:r w:rsidRPr="00834B27">
        <w:rPr>
          <w:rFonts w:ascii="Calibri" w:hAnsi="Calibri" w:cs="Calibri"/>
          <w:lang w:val="ro-RO"/>
        </w:rPr>
        <w:t xml:space="preserve">: 10% </w:t>
      </w:r>
      <w:r w:rsidR="00304B04" w:rsidRPr="00834B27">
        <w:rPr>
          <w:rFonts w:ascii="Calibri" w:hAnsi="Calibri" w:cs="Calibri"/>
          <w:lang w:val="ro-RO"/>
        </w:rPr>
        <w:t xml:space="preserve">(0 pentru venituri din </w:t>
      </w:r>
      <w:r w:rsidR="00166301" w:rsidRPr="00834B27">
        <w:rPr>
          <w:rFonts w:ascii="Calibri" w:hAnsi="Calibri" w:cs="Calibri"/>
          <w:lang w:val="ro-RO"/>
        </w:rPr>
        <w:t>dobânzi</w:t>
      </w:r>
      <w:r w:rsidR="00304B04" w:rsidRPr="00834B27">
        <w:rPr>
          <w:rFonts w:ascii="Calibri" w:hAnsi="Calibri" w:cs="Calibri"/>
          <w:lang w:val="ro-RO"/>
        </w:rPr>
        <w:t xml:space="preserve"> la titluri de stat)</w:t>
      </w:r>
      <w:r w:rsidR="000A0A47" w:rsidRPr="00834B27">
        <w:rPr>
          <w:rFonts w:ascii="Calibri" w:hAnsi="Calibri" w:cs="Calibri"/>
          <w:lang w:val="ro-RO"/>
        </w:rPr>
        <w:t>;</w:t>
      </w:r>
    </w:p>
    <w:p w14:paraId="4D609442" w14:textId="77777777" w:rsidR="00B43347" w:rsidRPr="00834B27" w:rsidRDefault="00B43347" w:rsidP="00B43347">
      <w:pPr>
        <w:pStyle w:val="Listparagraf"/>
        <w:spacing w:line="276" w:lineRule="auto"/>
        <w:ind w:left="360"/>
        <w:contextualSpacing w:val="0"/>
        <w:jc w:val="both"/>
        <w:rPr>
          <w:rFonts w:ascii="Calibri" w:hAnsi="Calibri" w:cs="Calibri"/>
          <w:lang w:val="ro-RO"/>
        </w:rPr>
      </w:pPr>
    </w:p>
    <w:p w14:paraId="4EBDD374" w14:textId="205EDE7F" w:rsidR="000A0A47" w:rsidRPr="00834B27" w:rsidRDefault="000A0A47" w:rsidP="00B91E74">
      <w:pPr>
        <w:spacing w:line="276" w:lineRule="auto"/>
        <w:jc w:val="both"/>
        <w:rPr>
          <w:rFonts w:ascii="Calibri" w:hAnsi="Calibri" w:cs="Calibri"/>
          <w:b/>
          <w:bCs/>
          <w:i/>
          <w:iCs/>
          <w:lang w:val="ro-RO"/>
        </w:rPr>
      </w:pPr>
      <w:r w:rsidRPr="00834B27">
        <w:rPr>
          <w:rFonts w:ascii="Calibri" w:hAnsi="Calibri" w:cs="Calibri"/>
          <w:b/>
          <w:bCs/>
          <w:i/>
          <w:iCs/>
          <w:lang w:val="ro-RO"/>
        </w:rPr>
        <w:t>Scurt i</w:t>
      </w:r>
      <w:r w:rsidR="00CD26DA" w:rsidRPr="00834B27">
        <w:rPr>
          <w:rFonts w:ascii="Calibri" w:hAnsi="Calibri" w:cs="Calibri"/>
          <w:b/>
          <w:bCs/>
          <w:i/>
          <w:iCs/>
          <w:lang w:val="ro-RO"/>
        </w:rPr>
        <w:t>storic</w:t>
      </w:r>
    </w:p>
    <w:p w14:paraId="77D48DD7" w14:textId="127285D8" w:rsidR="00CD26DA" w:rsidRPr="00834B27" w:rsidRDefault="00166301" w:rsidP="00B91E74">
      <w:pPr>
        <w:spacing w:line="276" w:lineRule="auto"/>
        <w:jc w:val="both"/>
        <w:rPr>
          <w:rFonts w:ascii="Calibri" w:hAnsi="Calibri" w:cs="Calibri"/>
          <w:i/>
          <w:iCs/>
          <w:lang w:val="ro-RO"/>
        </w:rPr>
      </w:pPr>
      <w:r w:rsidRPr="00834B27">
        <w:rPr>
          <w:rFonts w:ascii="Calibri" w:hAnsi="Calibri" w:cs="Calibri"/>
          <w:i/>
          <w:iCs/>
          <w:lang w:val="ro-RO"/>
        </w:rPr>
        <w:lastRenderedPageBreak/>
        <w:t>Ș</w:t>
      </w:r>
      <w:r w:rsidR="00CD26DA" w:rsidRPr="00834B27">
        <w:rPr>
          <w:rFonts w:ascii="Calibri" w:hAnsi="Calibri" w:cs="Calibri"/>
          <w:i/>
          <w:iCs/>
          <w:lang w:val="ro-RO"/>
        </w:rPr>
        <w:t xml:space="preserve">i aici au fost </w:t>
      </w:r>
      <w:r w:rsidRPr="00834B27">
        <w:rPr>
          <w:rFonts w:ascii="Calibri" w:hAnsi="Calibri" w:cs="Calibri"/>
          <w:i/>
          <w:iCs/>
          <w:lang w:val="ro-RO"/>
        </w:rPr>
        <w:t>varia</w:t>
      </w:r>
      <w:r w:rsidR="00D77C4B" w:rsidRPr="00834B27">
        <w:rPr>
          <w:rFonts w:ascii="Calibri" w:hAnsi="Calibri" w:cs="Calibri"/>
          <w:i/>
          <w:iCs/>
          <w:lang w:val="ro-RO"/>
        </w:rPr>
        <w:t>ț</w:t>
      </w:r>
      <w:r w:rsidRPr="00834B27">
        <w:rPr>
          <w:rFonts w:ascii="Calibri" w:hAnsi="Calibri" w:cs="Calibri"/>
          <w:i/>
          <w:iCs/>
          <w:lang w:val="ro-RO"/>
        </w:rPr>
        <w:t>ii</w:t>
      </w:r>
      <w:r w:rsidR="00CD26DA" w:rsidRPr="00834B27">
        <w:rPr>
          <w:rFonts w:ascii="Calibri" w:hAnsi="Calibri" w:cs="Calibri"/>
          <w:i/>
          <w:iCs/>
          <w:lang w:val="ro-RO"/>
        </w:rPr>
        <w:t xml:space="preserve"> mari de-a lungul timpului:</w:t>
      </w:r>
      <w:r w:rsidR="001D700D" w:rsidRPr="00834B27">
        <w:rPr>
          <w:rFonts w:ascii="Calibri" w:hAnsi="Calibri" w:cs="Calibri"/>
          <w:i/>
          <w:iCs/>
          <w:lang w:val="ro-RO"/>
        </w:rPr>
        <w:t xml:space="preserve"> 1% p</w:t>
      </w:r>
      <w:r w:rsidR="006811FD" w:rsidRPr="00834B27">
        <w:rPr>
          <w:rFonts w:ascii="Calibri" w:hAnsi="Calibri" w:cs="Calibri"/>
          <w:i/>
          <w:iCs/>
          <w:lang w:val="ro-RO"/>
        </w:rPr>
        <w:t>â</w:t>
      </w:r>
      <w:r w:rsidR="001D700D" w:rsidRPr="00834B27">
        <w:rPr>
          <w:rFonts w:ascii="Calibri" w:hAnsi="Calibri" w:cs="Calibri"/>
          <w:i/>
          <w:iCs/>
          <w:lang w:val="ro-RO"/>
        </w:rPr>
        <w:t>n</w:t>
      </w:r>
      <w:r w:rsidR="006811FD" w:rsidRPr="00834B27">
        <w:rPr>
          <w:rFonts w:ascii="Calibri" w:hAnsi="Calibri" w:cs="Calibri"/>
          <w:i/>
          <w:iCs/>
          <w:lang w:val="ro-RO"/>
        </w:rPr>
        <w:t>ă</w:t>
      </w:r>
      <w:r w:rsidR="001D700D" w:rsidRPr="00834B27">
        <w:rPr>
          <w:rFonts w:ascii="Calibri" w:hAnsi="Calibri" w:cs="Calibri"/>
          <w:i/>
          <w:iCs/>
          <w:lang w:val="ro-RO"/>
        </w:rPr>
        <w:t xml:space="preserve"> </w:t>
      </w:r>
      <w:r w:rsidR="007D0381" w:rsidRPr="00834B27">
        <w:rPr>
          <w:rFonts w:ascii="Calibri" w:hAnsi="Calibri" w:cs="Calibri"/>
          <w:i/>
          <w:iCs/>
          <w:lang w:val="ro-RO"/>
        </w:rPr>
        <w:t>la 1 iunie 2005, 10%</w:t>
      </w:r>
      <w:r w:rsidR="00B605EC" w:rsidRPr="00834B27">
        <w:rPr>
          <w:rFonts w:ascii="Calibri" w:hAnsi="Calibri" w:cs="Calibri"/>
          <w:i/>
          <w:iCs/>
          <w:lang w:val="ro-RO"/>
        </w:rPr>
        <w:t xml:space="preserve"> </w:t>
      </w:r>
      <w:r w:rsidR="006811FD" w:rsidRPr="00834B27">
        <w:rPr>
          <w:rFonts w:ascii="Calibri" w:hAnsi="Calibri" w:cs="Calibri"/>
          <w:i/>
          <w:iCs/>
          <w:lang w:val="ro-RO"/>
        </w:rPr>
        <w:t>după</w:t>
      </w:r>
      <w:r w:rsidR="003A7609" w:rsidRPr="00834B27">
        <w:rPr>
          <w:rFonts w:ascii="Calibri" w:hAnsi="Calibri" w:cs="Calibri"/>
          <w:i/>
          <w:iCs/>
          <w:lang w:val="ro-RO"/>
        </w:rPr>
        <w:t xml:space="preserve"> aceast</w:t>
      </w:r>
      <w:r w:rsidR="006811FD" w:rsidRPr="00834B27">
        <w:rPr>
          <w:rFonts w:ascii="Calibri" w:hAnsi="Calibri" w:cs="Calibri"/>
          <w:i/>
          <w:iCs/>
          <w:lang w:val="ro-RO"/>
        </w:rPr>
        <w:t>ă</w:t>
      </w:r>
      <w:r w:rsidR="003A7609" w:rsidRPr="00834B27">
        <w:rPr>
          <w:rFonts w:ascii="Calibri" w:hAnsi="Calibri" w:cs="Calibri"/>
          <w:i/>
          <w:iCs/>
          <w:lang w:val="ro-RO"/>
        </w:rPr>
        <w:t xml:space="preserve"> dat</w:t>
      </w:r>
      <w:r w:rsidR="006811FD" w:rsidRPr="00834B27">
        <w:rPr>
          <w:rFonts w:ascii="Calibri" w:hAnsi="Calibri" w:cs="Calibri"/>
          <w:i/>
          <w:iCs/>
          <w:lang w:val="ro-RO"/>
        </w:rPr>
        <w:t>ă</w:t>
      </w:r>
      <w:r w:rsidR="003A7609" w:rsidRPr="00834B27">
        <w:rPr>
          <w:rFonts w:ascii="Calibri" w:hAnsi="Calibri" w:cs="Calibri"/>
          <w:i/>
          <w:iCs/>
          <w:lang w:val="ro-RO"/>
        </w:rPr>
        <w:t xml:space="preserve"> </w:t>
      </w:r>
      <w:r w:rsidR="006811FD" w:rsidRPr="00834B27">
        <w:rPr>
          <w:rFonts w:ascii="Calibri" w:hAnsi="Calibri" w:cs="Calibri"/>
          <w:i/>
          <w:iCs/>
          <w:lang w:val="ro-RO"/>
        </w:rPr>
        <w:t>ș</w:t>
      </w:r>
      <w:r w:rsidR="003A7609" w:rsidRPr="00834B27">
        <w:rPr>
          <w:rFonts w:ascii="Calibri" w:hAnsi="Calibri" w:cs="Calibri"/>
          <w:i/>
          <w:iCs/>
          <w:lang w:val="ro-RO"/>
        </w:rPr>
        <w:t>i p</w:t>
      </w:r>
      <w:r w:rsidR="006811FD" w:rsidRPr="00834B27">
        <w:rPr>
          <w:rFonts w:ascii="Calibri" w:hAnsi="Calibri" w:cs="Calibri"/>
          <w:i/>
          <w:iCs/>
          <w:lang w:val="ro-RO"/>
        </w:rPr>
        <w:t>â</w:t>
      </w:r>
      <w:r w:rsidR="003A7609" w:rsidRPr="00834B27">
        <w:rPr>
          <w:rFonts w:ascii="Calibri" w:hAnsi="Calibri" w:cs="Calibri"/>
          <w:i/>
          <w:iCs/>
          <w:lang w:val="ro-RO"/>
        </w:rPr>
        <w:t>n</w:t>
      </w:r>
      <w:r w:rsidR="006811FD" w:rsidRPr="00834B27">
        <w:rPr>
          <w:rFonts w:ascii="Calibri" w:hAnsi="Calibri" w:cs="Calibri"/>
          <w:i/>
          <w:iCs/>
          <w:lang w:val="ro-RO"/>
        </w:rPr>
        <w:t>ă</w:t>
      </w:r>
      <w:r w:rsidR="003A7609" w:rsidRPr="00834B27">
        <w:rPr>
          <w:rFonts w:ascii="Calibri" w:hAnsi="Calibri" w:cs="Calibri"/>
          <w:i/>
          <w:iCs/>
          <w:lang w:val="ro-RO"/>
        </w:rPr>
        <w:t xml:space="preserve"> la </w:t>
      </w:r>
      <w:r w:rsidR="006811FD" w:rsidRPr="00834B27">
        <w:rPr>
          <w:rFonts w:ascii="Calibri" w:hAnsi="Calibri" w:cs="Calibri"/>
          <w:i/>
          <w:iCs/>
          <w:lang w:val="ro-RO"/>
        </w:rPr>
        <w:t>sfârșitul</w:t>
      </w:r>
      <w:r w:rsidR="003A7609" w:rsidRPr="00834B27">
        <w:rPr>
          <w:rFonts w:ascii="Calibri" w:hAnsi="Calibri" w:cs="Calibri"/>
          <w:i/>
          <w:iCs/>
          <w:lang w:val="ro-RO"/>
        </w:rPr>
        <w:t xml:space="preserve"> lui 2006, 16% din 2007 p</w:t>
      </w:r>
      <w:r w:rsidR="001D3DA8" w:rsidRPr="00834B27">
        <w:rPr>
          <w:rFonts w:ascii="Calibri" w:hAnsi="Calibri" w:cs="Calibri"/>
          <w:i/>
          <w:iCs/>
          <w:lang w:val="ro-RO"/>
        </w:rPr>
        <w:t>â</w:t>
      </w:r>
      <w:r w:rsidR="003A7609" w:rsidRPr="00834B27">
        <w:rPr>
          <w:rFonts w:ascii="Calibri" w:hAnsi="Calibri" w:cs="Calibri"/>
          <w:i/>
          <w:iCs/>
          <w:lang w:val="ro-RO"/>
        </w:rPr>
        <w:t>n</w:t>
      </w:r>
      <w:r w:rsidR="001D3DA8" w:rsidRPr="00834B27">
        <w:rPr>
          <w:rFonts w:ascii="Calibri" w:hAnsi="Calibri" w:cs="Calibri"/>
          <w:i/>
          <w:iCs/>
          <w:lang w:val="ro-RO"/>
        </w:rPr>
        <w:t>ă</w:t>
      </w:r>
      <w:r w:rsidR="003A7609" w:rsidRPr="00834B27">
        <w:rPr>
          <w:rFonts w:ascii="Calibri" w:hAnsi="Calibri" w:cs="Calibri"/>
          <w:i/>
          <w:iCs/>
          <w:lang w:val="ro-RO"/>
        </w:rPr>
        <w:t xml:space="preserve"> </w:t>
      </w:r>
      <w:r w:rsidR="006811FD" w:rsidRPr="00834B27">
        <w:rPr>
          <w:rFonts w:ascii="Calibri" w:hAnsi="Calibri" w:cs="Calibri"/>
          <w:i/>
          <w:iCs/>
          <w:lang w:val="ro-RO"/>
        </w:rPr>
        <w:t>î</w:t>
      </w:r>
      <w:r w:rsidR="003A7609" w:rsidRPr="00834B27">
        <w:rPr>
          <w:rFonts w:ascii="Calibri" w:hAnsi="Calibri" w:cs="Calibri"/>
          <w:i/>
          <w:iCs/>
          <w:lang w:val="ro-RO"/>
        </w:rPr>
        <w:t>n 2017, 10% din 2018</w:t>
      </w:r>
      <w:r w:rsidR="009412DB" w:rsidRPr="00834B27">
        <w:rPr>
          <w:rFonts w:ascii="Calibri" w:hAnsi="Calibri" w:cs="Calibri"/>
          <w:i/>
          <w:iCs/>
          <w:lang w:val="ro-RO"/>
        </w:rPr>
        <w:t>.</w:t>
      </w:r>
    </w:p>
    <w:p w14:paraId="25B1A585" w14:textId="77777777" w:rsidR="003B19D4" w:rsidRPr="00834B27" w:rsidRDefault="003B19D4" w:rsidP="00B91E74">
      <w:pPr>
        <w:spacing w:line="276" w:lineRule="auto"/>
        <w:jc w:val="both"/>
        <w:rPr>
          <w:rFonts w:ascii="Calibri" w:hAnsi="Calibri" w:cs="Calibri"/>
          <w:i/>
          <w:iCs/>
          <w:lang w:val="ro-RO"/>
        </w:rPr>
      </w:pPr>
    </w:p>
    <w:p w14:paraId="1AE75947" w14:textId="76BE4C40" w:rsidR="009412DB" w:rsidRPr="00834B27" w:rsidRDefault="009412DB" w:rsidP="00FE15AD">
      <w:pPr>
        <w:pStyle w:val="Listparagraf"/>
        <w:numPr>
          <w:ilvl w:val="0"/>
          <w:numId w:val="10"/>
        </w:numPr>
        <w:spacing w:line="276" w:lineRule="auto"/>
        <w:ind w:left="360"/>
        <w:contextualSpacing w:val="0"/>
        <w:jc w:val="both"/>
        <w:rPr>
          <w:rFonts w:ascii="Calibri" w:hAnsi="Calibri" w:cs="Calibri"/>
          <w:lang w:val="ro-RO"/>
        </w:rPr>
      </w:pPr>
      <w:r w:rsidRPr="00834B27">
        <w:rPr>
          <w:rFonts w:ascii="Calibri" w:hAnsi="Calibri" w:cs="Calibri"/>
          <w:lang w:val="ro-RO"/>
        </w:rPr>
        <w:t xml:space="preserve">Pentru venituri din transferul de titluri de </w:t>
      </w:r>
      <w:r w:rsidR="00E353CA" w:rsidRPr="00834B27">
        <w:rPr>
          <w:rFonts w:ascii="Calibri" w:hAnsi="Calibri" w:cs="Calibri"/>
          <w:lang w:val="ro-RO"/>
        </w:rPr>
        <w:t>valoare</w:t>
      </w:r>
      <w:r w:rsidR="000B305A" w:rsidRPr="00834B27">
        <w:rPr>
          <w:rFonts w:ascii="Calibri" w:hAnsi="Calibri" w:cs="Calibri"/>
          <w:lang w:val="ro-RO"/>
        </w:rPr>
        <w:t>:</w:t>
      </w:r>
    </w:p>
    <w:p w14:paraId="5B1AA8E9" w14:textId="05BAC45B" w:rsidR="000B305A" w:rsidRPr="00834B27" w:rsidRDefault="009544A4" w:rsidP="003B19D4">
      <w:pPr>
        <w:pStyle w:val="Listparagraf"/>
        <w:numPr>
          <w:ilvl w:val="0"/>
          <w:numId w:val="1"/>
        </w:numPr>
        <w:spacing w:line="276" w:lineRule="auto"/>
        <w:ind w:left="360"/>
        <w:contextualSpacing w:val="0"/>
        <w:jc w:val="both"/>
        <w:rPr>
          <w:rFonts w:ascii="Calibri" w:hAnsi="Calibri" w:cs="Calibri"/>
          <w:lang w:val="ro-RO"/>
        </w:rPr>
      </w:pPr>
      <w:r w:rsidRPr="00834B27">
        <w:rPr>
          <w:rFonts w:ascii="Calibri" w:hAnsi="Calibri" w:cs="Calibri"/>
          <w:lang w:val="ro-RO"/>
        </w:rPr>
        <w:t>16%</w:t>
      </w:r>
      <w:r w:rsidR="00056582" w:rsidRPr="00834B27">
        <w:rPr>
          <w:rFonts w:ascii="Calibri" w:hAnsi="Calibri" w:cs="Calibri"/>
          <w:lang w:val="ro-RO"/>
        </w:rPr>
        <w:t xml:space="preserve">, </w:t>
      </w:r>
      <w:r w:rsidRPr="00834B27">
        <w:rPr>
          <w:rFonts w:ascii="Calibri" w:hAnsi="Calibri" w:cs="Calibri"/>
          <w:lang w:val="ro-RO"/>
        </w:rPr>
        <w:t>din 2026);</w:t>
      </w:r>
    </w:p>
    <w:p w14:paraId="50101882" w14:textId="08498FC9" w:rsidR="00B43347" w:rsidRPr="00834B27" w:rsidRDefault="003B19D4" w:rsidP="00E5474C">
      <w:pPr>
        <w:pStyle w:val="Listparagraf"/>
        <w:numPr>
          <w:ilvl w:val="0"/>
          <w:numId w:val="1"/>
        </w:numPr>
        <w:spacing w:line="276" w:lineRule="auto"/>
        <w:ind w:left="360"/>
        <w:contextualSpacing w:val="0"/>
        <w:jc w:val="both"/>
        <w:rPr>
          <w:rFonts w:ascii="Calibri" w:hAnsi="Calibri" w:cs="Calibri"/>
          <w:lang w:val="ro-RO"/>
        </w:rPr>
      </w:pPr>
      <w:r w:rsidRPr="00834B27">
        <w:rPr>
          <w:rFonts w:ascii="Calibri" w:hAnsi="Calibri" w:cs="Calibri"/>
          <w:lang w:val="ro-RO"/>
        </w:rPr>
        <w:t>î</w:t>
      </w:r>
      <w:r w:rsidR="004D0F0C" w:rsidRPr="00834B27">
        <w:rPr>
          <w:rFonts w:ascii="Calibri" w:hAnsi="Calibri" w:cs="Calibri"/>
          <w:lang w:val="ro-RO"/>
        </w:rPr>
        <w:t xml:space="preserve">n cazul </w:t>
      </w:r>
      <w:r w:rsidR="006811FD" w:rsidRPr="00834B27">
        <w:rPr>
          <w:rFonts w:ascii="Calibri" w:hAnsi="Calibri" w:cs="Calibri"/>
          <w:lang w:val="ro-RO"/>
        </w:rPr>
        <w:t>câștigurilor</w:t>
      </w:r>
      <w:r w:rsidR="004D0F0C" w:rsidRPr="00834B27">
        <w:rPr>
          <w:rFonts w:ascii="Calibri" w:hAnsi="Calibri" w:cs="Calibri"/>
          <w:lang w:val="ro-RO"/>
        </w:rPr>
        <w:t xml:space="preserve"> din </w:t>
      </w:r>
      <w:r w:rsidR="006811FD" w:rsidRPr="00834B27">
        <w:rPr>
          <w:rFonts w:ascii="Calibri" w:hAnsi="Calibri" w:cs="Calibri"/>
          <w:lang w:val="ro-RO"/>
        </w:rPr>
        <w:t>tranzac</w:t>
      </w:r>
      <w:r w:rsidR="00D77C4B" w:rsidRPr="00834B27">
        <w:rPr>
          <w:rFonts w:ascii="Calibri" w:hAnsi="Calibri" w:cs="Calibri"/>
          <w:lang w:val="ro-RO"/>
        </w:rPr>
        <w:t>ț</w:t>
      </w:r>
      <w:r w:rsidR="006811FD" w:rsidRPr="00834B27">
        <w:rPr>
          <w:rFonts w:ascii="Calibri" w:hAnsi="Calibri" w:cs="Calibri"/>
          <w:lang w:val="ro-RO"/>
        </w:rPr>
        <w:t>ionarea</w:t>
      </w:r>
      <w:r w:rsidR="004D0F0C" w:rsidRPr="00834B27">
        <w:rPr>
          <w:rFonts w:ascii="Calibri" w:hAnsi="Calibri" w:cs="Calibri"/>
          <w:lang w:val="ro-RO"/>
        </w:rPr>
        <w:t xml:space="preserve"> de titluri listate</w:t>
      </w:r>
      <w:r w:rsidR="002D1264" w:rsidRPr="00834B27">
        <w:rPr>
          <w:rFonts w:ascii="Calibri" w:hAnsi="Calibri" w:cs="Calibri"/>
          <w:lang w:val="ro-RO"/>
        </w:rPr>
        <w:t xml:space="preserve"> prin intermediari rom</w:t>
      </w:r>
      <w:r w:rsidR="006811FD" w:rsidRPr="00834B27">
        <w:rPr>
          <w:rFonts w:ascii="Calibri" w:hAnsi="Calibri" w:cs="Calibri"/>
          <w:lang w:val="ro-RO"/>
        </w:rPr>
        <w:t>â</w:t>
      </w:r>
      <w:r w:rsidR="002D1264" w:rsidRPr="00834B27">
        <w:rPr>
          <w:rFonts w:ascii="Calibri" w:hAnsi="Calibri" w:cs="Calibri"/>
          <w:lang w:val="ro-RO"/>
        </w:rPr>
        <w:t xml:space="preserve">ni: </w:t>
      </w:r>
      <w:r w:rsidR="00056582" w:rsidRPr="00834B27">
        <w:rPr>
          <w:rFonts w:ascii="Calibri" w:hAnsi="Calibri" w:cs="Calibri"/>
          <w:lang w:val="ro-RO"/>
        </w:rPr>
        <w:t>3</w:t>
      </w:r>
      <w:r w:rsidR="00203202" w:rsidRPr="00834B27">
        <w:rPr>
          <w:rFonts w:ascii="Calibri" w:hAnsi="Calibri" w:cs="Calibri"/>
          <w:lang w:val="ro-RO"/>
        </w:rPr>
        <w:t>%</w:t>
      </w:r>
      <w:r w:rsidR="00013061" w:rsidRPr="00834B27">
        <w:rPr>
          <w:rFonts w:ascii="Calibri" w:hAnsi="Calibri" w:cs="Calibri"/>
          <w:lang w:val="ro-RO"/>
        </w:rPr>
        <w:t xml:space="preserve"> (pentru </w:t>
      </w:r>
      <w:r w:rsidR="006811FD" w:rsidRPr="00834B27">
        <w:rPr>
          <w:rFonts w:ascii="Calibri" w:hAnsi="Calibri" w:cs="Calibri"/>
          <w:lang w:val="ro-RO"/>
        </w:rPr>
        <w:t>câștiguri</w:t>
      </w:r>
      <w:r w:rsidR="004D0F0C" w:rsidRPr="00834B27">
        <w:rPr>
          <w:rFonts w:ascii="Calibri" w:hAnsi="Calibri" w:cs="Calibri"/>
          <w:lang w:val="ro-RO"/>
        </w:rPr>
        <w:t xml:space="preserve"> din</w:t>
      </w:r>
      <w:r w:rsidR="006E500B" w:rsidRPr="00834B27">
        <w:rPr>
          <w:rFonts w:ascii="Calibri" w:hAnsi="Calibri" w:cs="Calibri"/>
          <w:lang w:val="ro-RO"/>
        </w:rPr>
        <w:t xml:space="preserve"> </w:t>
      </w:r>
      <w:r w:rsidR="006811FD" w:rsidRPr="00834B27">
        <w:rPr>
          <w:rFonts w:ascii="Calibri" w:hAnsi="Calibri" w:cs="Calibri"/>
          <w:lang w:val="ro-RO"/>
        </w:rPr>
        <w:t>titluri</w:t>
      </w:r>
      <w:r w:rsidR="006E500B" w:rsidRPr="00834B27">
        <w:rPr>
          <w:rFonts w:ascii="Calibri" w:hAnsi="Calibri" w:cs="Calibri"/>
          <w:lang w:val="ro-RO"/>
        </w:rPr>
        <w:t xml:space="preserve"> </w:t>
      </w:r>
      <w:r w:rsidR="006811FD" w:rsidRPr="00834B27">
        <w:rPr>
          <w:rFonts w:ascii="Calibri" w:hAnsi="Calibri" w:cs="Calibri"/>
          <w:lang w:val="ro-RO"/>
        </w:rPr>
        <w:t>de</w:t>
      </w:r>
      <w:r w:rsidR="00D77C4B" w:rsidRPr="00834B27">
        <w:rPr>
          <w:rFonts w:ascii="Calibri" w:hAnsi="Calibri" w:cs="Calibri"/>
          <w:lang w:val="ro-RO"/>
        </w:rPr>
        <w:t>ț</w:t>
      </w:r>
      <w:r w:rsidR="006811FD" w:rsidRPr="00834B27">
        <w:rPr>
          <w:rFonts w:ascii="Calibri" w:hAnsi="Calibri" w:cs="Calibri"/>
          <w:lang w:val="ro-RO"/>
        </w:rPr>
        <w:t>inute</w:t>
      </w:r>
      <w:r w:rsidR="006E500B" w:rsidRPr="00834B27">
        <w:rPr>
          <w:rFonts w:ascii="Calibri" w:hAnsi="Calibri" w:cs="Calibri"/>
          <w:lang w:val="ro-RO"/>
        </w:rPr>
        <w:t xml:space="preserve"> </w:t>
      </w:r>
      <w:r w:rsidR="00EB350B" w:rsidRPr="00834B27">
        <w:rPr>
          <w:rFonts w:ascii="Calibri" w:hAnsi="Calibri" w:cs="Calibri"/>
          <w:lang w:val="ro-RO"/>
        </w:rPr>
        <w:t xml:space="preserve">cel </w:t>
      </w:r>
      <w:r w:rsidR="006811FD" w:rsidRPr="00834B27">
        <w:rPr>
          <w:rFonts w:ascii="Calibri" w:hAnsi="Calibri" w:cs="Calibri"/>
          <w:lang w:val="ro-RO"/>
        </w:rPr>
        <w:t>pu</w:t>
      </w:r>
      <w:r w:rsidR="00D77C4B" w:rsidRPr="00834B27">
        <w:rPr>
          <w:rFonts w:ascii="Calibri" w:hAnsi="Calibri" w:cs="Calibri"/>
          <w:lang w:val="ro-RO"/>
        </w:rPr>
        <w:t>ț</w:t>
      </w:r>
      <w:r w:rsidR="006811FD" w:rsidRPr="00834B27">
        <w:rPr>
          <w:rFonts w:ascii="Calibri" w:hAnsi="Calibri" w:cs="Calibri"/>
          <w:lang w:val="ro-RO"/>
        </w:rPr>
        <w:t>in</w:t>
      </w:r>
      <w:r w:rsidR="00EB350B" w:rsidRPr="00834B27">
        <w:rPr>
          <w:rFonts w:ascii="Calibri" w:hAnsi="Calibri" w:cs="Calibri"/>
          <w:lang w:val="ro-RO"/>
        </w:rPr>
        <w:t xml:space="preserve"> </w:t>
      </w:r>
      <w:r w:rsidR="006E500B" w:rsidRPr="00834B27">
        <w:rPr>
          <w:rFonts w:ascii="Calibri" w:hAnsi="Calibri" w:cs="Calibri"/>
          <w:lang w:val="ro-RO"/>
        </w:rPr>
        <w:t xml:space="preserve"> 365 de zile</w:t>
      </w:r>
      <w:r w:rsidR="006869F4" w:rsidRPr="00834B27">
        <w:rPr>
          <w:rFonts w:ascii="Calibri" w:hAnsi="Calibri" w:cs="Calibri"/>
          <w:lang w:val="ro-RO"/>
        </w:rPr>
        <w:t xml:space="preserve">) sau </w:t>
      </w:r>
      <w:r w:rsidR="00056582" w:rsidRPr="00834B27">
        <w:rPr>
          <w:rFonts w:ascii="Calibri" w:hAnsi="Calibri" w:cs="Calibri"/>
          <w:lang w:val="ro-RO"/>
        </w:rPr>
        <w:t>6</w:t>
      </w:r>
      <w:r w:rsidR="00203202" w:rsidRPr="00834B27">
        <w:rPr>
          <w:rFonts w:ascii="Calibri" w:hAnsi="Calibri" w:cs="Calibri"/>
          <w:lang w:val="ro-RO"/>
        </w:rPr>
        <w:t xml:space="preserve">% </w:t>
      </w:r>
      <w:r w:rsidR="006869F4" w:rsidRPr="00834B27">
        <w:rPr>
          <w:rFonts w:ascii="Calibri" w:hAnsi="Calibri" w:cs="Calibri"/>
          <w:lang w:val="ro-RO"/>
        </w:rPr>
        <w:t xml:space="preserve">(pentru </w:t>
      </w:r>
      <w:r w:rsidR="006811FD" w:rsidRPr="00834B27">
        <w:rPr>
          <w:rFonts w:ascii="Calibri" w:hAnsi="Calibri" w:cs="Calibri"/>
          <w:lang w:val="ro-RO"/>
        </w:rPr>
        <w:t>câștiguri</w:t>
      </w:r>
      <w:r w:rsidR="006869F4" w:rsidRPr="00834B27">
        <w:rPr>
          <w:rFonts w:ascii="Calibri" w:hAnsi="Calibri" w:cs="Calibri"/>
          <w:lang w:val="ro-RO"/>
        </w:rPr>
        <w:t xml:space="preserve"> din </w:t>
      </w:r>
      <w:r w:rsidR="006811FD" w:rsidRPr="00834B27">
        <w:rPr>
          <w:rFonts w:ascii="Calibri" w:hAnsi="Calibri" w:cs="Calibri"/>
          <w:lang w:val="ro-RO"/>
        </w:rPr>
        <w:t>vânzarea</w:t>
      </w:r>
      <w:r w:rsidR="006869F4" w:rsidRPr="00834B27">
        <w:rPr>
          <w:rFonts w:ascii="Calibri" w:hAnsi="Calibri" w:cs="Calibri"/>
          <w:lang w:val="ro-RO"/>
        </w:rPr>
        <w:t xml:space="preserve"> de </w:t>
      </w:r>
      <w:r w:rsidR="006811FD" w:rsidRPr="00834B27">
        <w:rPr>
          <w:rFonts w:ascii="Calibri" w:hAnsi="Calibri" w:cs="Calibri"/>
          <w:lang w:val="ro-RO"/>
        </w:rPr>
        <w:t>titluri</w:t>
      </w:r>
      <w:r w:rsidR="006869F4" w:rsidRPr="00834B27">
        <w:rPr>
          <w:rFonts w:ascii="Calibri" w:hAnsi="Calibri" w:cs="Calibri"/>
          <w:lang w:val="ro-RO"/>
        </w:rPr>
        <w:t xml:space="preserve"> </w:t>
      </w:r>
      <w:r w:rsidR="006811FD" w:rsidRPr="00834B27">
        <w:rPr>
          <w:rFonts w:ascii="Calibri" w:hAnsi="Calibri" w:cs="Calibri"/>
          <w:lang w:val="ro-RO"/>
        </w:rPr>
        <w:t>de</w:t>
      </w:r>
      <w:r w:rsidR="00D77C4B" w:rsidRPr="00834B27">
        <w:rPr>
          <w:rFonts w:ascii="Calibri" w:hAnsi="Calibri" w:cs="Calibri"/>
          <w:lang w:val="ro-RO"/>
        </w:rPr>
        <w:t>ț</w:t>
      </w:r>
      <w:r w:rsidR="006811FD" w:rsidRPr="00834B27">
        <w:rPr>
          <w:rFonts w:ascii="Calibri" w:hAnsi="Calibri" w:cs="Calibri"/>
          <w:lang w:val="ro-RO"/>
        </w:rPr>
        <w:t>inute</w:t>
      </w:r>
      <w:r w:rsidR="006869F4" w:rsidRPr="00834B27">
        <w:rPr>
          <w:rFonts w:ascii="Calibri" w:hAnsi="Calibri" w:cs="Calibri"/>
          <w:lang w:val="ro-RO"/>
        </w:rPr>
        <w:t xml:space="preserve"> mai</w:t>
      </w:r>
      <w:r w:rsidR="00EB350B" w:rsidRPr="00834B27">
        <w:rPr>
          <w:rFonts w:ascii="Calibri" w:hAnsi="Calibri" w:cs="Calibri"/>
          <w:lang w:val="ro-RO"/>
        </w:rPr>
        <w:t xml:space="preserve"> </w:t>
      </w:r>
      <w:r w:rsidR="006811FD" w:rsidRPr="00834B27">
        <w:rPr>
          <w:rFonts w:ascii="Calibri" w:hAnsi="Calibri" w:cs="Calibri"/>
          <w:lang w:val="ro-RO"/>
        </w:rPr>
        <w:t>pu</w:t>
      </w:r>
      <w:r w:rsidR="00D77C4B" w:rsidRPr="00834B27">
        <w:rPr>
          <w:rFonts w:ascii="Calibri" w:hAnsi="Calibri" w:cs="Calibri"/>
          <w:lang w:val="ro-RO"/>
        </w:rPr>
        <w:t>ț</w:t>
      </w:r>
      <w:r w:rsidR="006811FD" w:rsidRPr="00834B27">
        <w:rPr>
          <w:rFonts w:ascii="Calibri" w:hAnsi="Calibri" w:cs="Calibri"/>
          <w:lang w:val="ro-RO"/>
        </w:rPr>
        <w:t>in</w:t>
      </w:r>
      <w:r w:rsidR="006869F4" w:rsidRPr="00834B27">
        <w:rPr>
          <w:rFonts w:ascii="Calibri" w:hAnsi="Calibri" w:cs="Calibri"/>
          <w:lang w:val="ro-RO"/>
        </w:rPr>
        <w:t xml:space="preserve"> 365 de zile</w:t>
      </w:r>
      <w:r w:rsidR="00EB350B" w:rsidRPr="00834B27">
        <w:rPr>
          <w:rFonts w:ascii="Calibri" w:hAnsi="Calibri" w:cs="Calibri"/>
          <w:lang w:val="ro-RO"/>
        </w:rPr>
        <w:t>)</w:t>
      </w:r>
      <w:r w:rsidR="006869F4" w:rsidRPr="00834B27">
        <w:rPr>
          <w:rFonts w:ascii="Calibri" w:hAnsi="Calibri" w:cs="Calibri"/>
          <w:lang w:val="ro-RO"/>
        </w:rPr>
        <w:t xml:space="preserve"> </w:t>
      </w:r>
      <w:r w:rsidR="00203202" w:rsidRPr="00834B27">
        <w:rPr>
          <w:rFonts w:ascii="Calibri" w:hAnsi="Calibri" w:cs="Calibri"/>
          <w:lang w:val="ro-RO"/>
        </w:rPr>
        <w:t>de titluri listate</w:t>
      </w:r>
      <w:r w:rsidR="00101039" w:rsidRPr="00834B27">
        <w:rPr>
          <w:rFonts w:ascii="Calibri" w:hAnsi="Calibri" w:cs="Calibri"/>
          <w:lang w:val="ro-RO"/>
        </w:rPr>
        <w:t xml:space="preserve">. </w:t>
      </w:r>
    </w:p>
    <w:p w14:paraId="4D4A8ABC" w14:textId="7AE07F6C" w:rsidR="00AD5D70" w:rsidRPr="00834B27" w:rsidRDefault="00AD5D70" w:rsidP="00B91E74">
      <w:pPr>
        <w:spacing w:line="276" w:lineRule="auto"/>
        <w:jc w:val="both"/>
        <w:rPr>
          <w:rFonts w:ascii="Calibri" w:hAnsi="Calibri" w:cs="Calibri"/>
          <w:b/>
          <w:bCs/>
          <w:i/>
          <w:iCs/>
          <w:lang w:val="ro-RO"/>
        </w:rPr>
      </w:pPr>
      <w:r w:rsidRPr="00834B27">
        <w:rPr>
          <w:rFonts w:ascii="Calibri" w:hAnsi="Calibri" w:cs="Calibri"/>
          <w:b/>
          <w:bCs/>
          <w:i/>
          <w:iCs/>
          <w:lang w:val="ro-RO"/>
        </w:rPr>
        <w:t>Scurt istoric</w:t>
      </w:r>
    </w:p>
    <w:p w14:paraId="3F236D9D" w14:textId="3377FB24" w:rsidR="00AD5D70" w:rsidRPr="00834B27" w:rsidRDefault="006811FD" w:rsidP="00B91E74">
      <w:pPr>
        <w:spacing w:line="276" w:lineRule="auto"/>
        <w:jc w:val="both"/>
        <w:rPr>
          <w:rFonts w:ascii="Calibri" w:hAnsi="Calibri" w:cs="Calibri"/>
          <w:i/>
          <w:iCs/>
          <w:lang w:val="ro-RO"/>
        </w:rPr>
      </w:pPr>
      <w:r w:rsidRPr="00834B27">
        <w:rPr>
          <w:rFonts w:ascii="Calibri" w:hAnsi="Calibri" w:cs="Calibri"/>
          <w:i/>
          <w:iCs/>
          <w:lang w:val="ro-RO"/>
        </w:rPr>
        <w:t>Ș</w:t>
      </w:r>
      <w:r w:rsidR="00A4093A" w:rsidRPr="00834B27">
        <w:rPr>
          <w:rFonts w:ascii="Calibri" w:hAnsi="Calibri" w:cs="Calibri"/>
          <w:i/>
          <w:iCs/>
          <w:lang w:val="ro-RO"/>
        </w:rPr>
        <w:t xml:space="preserve">i aici am avut </w:t>
      </w:r>
      <w:r w:rsidRPr="00834B27">
        <w:rPr>
          <w:rFonts w:ascii="Calibri" w:hAnsi="Calibri" w:cs="Calibri"/>
          <w:i/>
          <w:iCs/>
          <w:lang w:val="ro-RO"/>
        </w:rPr>
        <w:t>varia</w:t>
      </w:r>
      <w:r w:rsidR="00D77C4B" w:rsidRPr="00834B27">
        <w:rPr>
          <w:rFonts w:ascii="Calibri" w:hAnsi="Calibri" w:cs="Calibri"/>
          <w:i/>
          <w:iCs/>
          <w:lang w:val="ro-RO"/>
        </w:rPr>
        <w:t>ț</w:t>
      </w:r>
      <w:r w:rsidRPr="00834B27">
        <w:rPr>
          <w:rFonts w:ascii="Calibri" w:hAnsi="Calibri" w:cs="Calibri"/>
          <w:i/>
          <w:iCs/>
          <w:lang w:val="ro-RO"/>
        </w:rPr>
        <w:t>ii</w:t>
      </w:r>
      <w:r w:rsidR="00A4093A" w:rsidRPr="00834B27">
        <w:rPr>
          <w:rFonts w:ascii="Calibri" w:hAnsi="Calibri" w:cs="Calibri"/>
          <w:i/>
          <w:iCs/>
          <w:lang w:val="ro-RO"/>
        </w:rPr>
        <w:t xml:space="preserve"> mari de-a lungul timpului: 1% p</w:t>
      </w:r>
      <w:r w:rsidRPr="00834B27">
        <w:rPr>
          <w:rFonts w:ascii="Calibri" w:hAnsi="Calibri" w:cs="Calibri"/>
          <w:i/>
          <w:iCs/>
          <w:lang w:val="ro-RO"/>
        </w:rPr>
        <w:t>â</w:t>
      </w:r>
      <w:r w:rsidR="00A4093A" w:rsidRPr="00834B27">
        <w:rPr>
          <w:rFonts w:ascii="Calibri" w:hAnsi="Calibri" w:cs="Calibri"/>
          <w:i/>
          <w:iCs/>
          <w:lang w:val="ro-RO"/>
        </w:rPr>
        <w:t>n</w:t>
      </w:r>
      <w:r w:rsidRPr="00834B27">
        <w:rPr>
          <w:rFonts w:ascii="Calibri" w:hAnsi="Calibri" w:cs="Calibri"/>
          <w:i/>
          <w:iCs/>
          <w:lang w:val="ro-RO"/>
        </w:rPr>
        <w:t>ă</w:t>
      </w:r>
      <w:r w:rsidR="00A4093A" w:rsidRPr="00834B27">
        <w:rPr>
          <w:rFonts w:ascii="Calibri" w:hAnsi="Calibri" w:cs="Calibri"/>
          <w:i/>
          <w:iCs/>
          <w:lang w:val="ro-RO"/>
        </w:rPr>
        <w:t xml:space="preserve"> la 1 iunie 2005</w:t>
      </w:r>
      <w:r w:rsidR="0035516D" w:rsidRPr="00834B27">
        <w:rPr>
          <w:rFonts w:ascii="Calibri" w:hAnsi="Calibri" w:cs="Calibri"/>
          <w:i/>
          <w:iCs/>
          <w:lang w:val="ro-RO"/>
        </w:rPr>
        <w:t>, 1%/16% (</w:t>
      </w:r>
      <w:r w:rsidRPr="00834B27">
        <w:rPr>
          <w:rFonts w:ascii="Calibri" w:hAnsi="Calibri" w:cs="Calibri"/>
          <w:i/>
          <w:iCs/>
          <w:lang w:val="ro-RO"/>
        </w:rPr>
        <w:t>î</w:t>
      </w:r>
      <w:r w:rsidR="0035516D" w:rsidRPr="00834B27">
        <w:rPr>
          <w:rFonts w:ascii="Calibri" w:hAnsi="Calibri" w:cs="Calibri"/>
          <w:i/>
          <w:iCs/>
          <w:lang w:val="ro-RO"/>
        </w:rPr>
        <w:t xml:space="preserve">n </w:t>
      </w:r>
      <w:r w:rsidRPr="00834B27">
        <w:rPr>
          <w:rFonts w:ascii="Calibri" w:hAnsi="Calibri" w:cs="Calibri"/>
          <w:i/>
          <w:iCs/>
          <w:lang w:val="ro-RO"/>
        </w:rPr>
        <w:t>func</w:t>
      </w:r>
      <w:r w:rsidR="00D77C4B" w:rsidRPr="00834B27">
        <w:rPr>
          <w:rFonts w:ascii="Calibri" w:hAnsi="Calibri" w:cs="Calibri"/>
          <w:i/>
          <w:iCs/>
          <w:lang w:val="ro-RO"/>
        </w:rPr>
        <w:t>ț</w:t>
      </w:r>
      <w:r w:rsidRPr="00834B27">
        <w:rPr>
          <w:rFonts w:ascii="Calibri" w:hAnsi="Calibri" w:cs="Calibri"/>
          <w:i/>
          <w:iCs/>
          <w:lang w:val="ro-RO"/>
        </w:rPr>
        <w:t>ie</w:t>
      </w:r>
      <w:r w:rsidR="0035516D" w:rsidRPr="00834B27">
        <w:rPr>
          <w:rFonts w:ascii="Calibri" w:hAnsi="Calibri" w:cs="Calibri"/>
          <w:i/>
          <w:iCs/>
          <w:lang w:val="ro-RO"/>
        </w:rPr>
        <w:t xml:space="preserve"> de perioada de </w:t>
      </w:r>
      <w:r w:rsidRPr="00834B27">
        <w:rPr>
          <w:rFonts w:ascii="Calibri" w:hAnsi="Calibri" w:cs="Calibri"/>
          <w:i/>
          <w:iCs/>
          <w:lang w:val="ro-RO"/>
        </w:rPr>
        <w:t>de</w:t>
      </w:r>
      <w:r w:rsidR="00D77C4B" w:rsidRPr="00834B27">
        <w:rPr>
          <w:rFonts w:ascii="Calibri" w:hAnsi="Calibri" w:cs="Calibri"/>
          <w:i/>
          <w:iCs/>
          <w:lang w:val="ro-RO"/>
        </w:rPr>
        <w:t>ț</w:t>
      </w:r>
      <w:r w:rsidRPr="00834B27">
        <w:rPr>
          <w:rFonts w:ascii="Calibri" w:hAnsi="Calibri" w:cs="Calibri"/>
          <w:i/>
          <w:iCs/>
          <w:lang w:val="ro-RO"/>
        </w:rPr>
        <w:t>inere</w:t>
      </w:r>
      <w:r w:rsidR="00E5225D" w:rsidRPr="00834B27">
        <w:rPr>
          <w:rFonts w:ascii="Calibri" w:hAnsi="Calibri" w:cs="Calibri"/>
          <w:i/>
          <w:iCs/>
          <w:lang w:val="ro-RO"/>
        </w:rPr>
        <w:t>, pragul fiind la 1 an)</w:t>
      </w:r>
      <w:r w:rsidR="00FF08A3" w:rsidRPr="00834B27">
        <w:rPr>
          <w:rFonts w:ascii="Calibri" w:hAnsi="Calibri" w:cs="Calibri"/>
          <w:i/>
          <w:iCs/>
          <w:lang w:val="ro-RO"/>
        </w:rPr>
        <w:t xml:space="preserve">, 16% din 2007 (indiferent de perioada de </w:t>
      </w:r>
      <w:r w:rsidRPr="00834B27">
        <w:rPr>
          <w:rFonts w:ascii="Calibri" w:hAnsi="Calibri" w:cs="Calibri"/>
          <w:i/>
          <w:iCs/>
          <w:lang w:val="ro-RO"/>
        </w:rPr>
        <w:t>de</w:t>
      </w:r>
      <w:r w:rsidR="00D77C4B" w:rsidRPr="00834B27">
        <w:rPr>
          <w:rFonts w:ascii="Calibri" w:hAnsi="Calibri" w:cs="Calibri"/>
          <w:i/>
          <w:iCs/>
          <w:lang w:val="ro-RO"/>
        </w:rPr>
        <w:t>ț</w:t>
      </w:r>
      <w:r w:rsidRPr="00834B27">
        <w:rPr>
          <w:rFonts w:ascii="Calibri" w:hAnsi="Calibri" w:cs="Calibri"/>
          <w:i/>
          <w:iCs/>
          <w:lang w:val="ro-RO"/>
        </w:rPr>
        <w:t>inere</w:t>
      </w:r>
      <w:r w:rsidR="00FF08A3" w:rsidRPr="00834B27">
        <w:rPr>
          <w:rFonts w:ascii="Calibri" w:hAnsi="Calibri" w:cs="Calibri"/>
          <w:i/>
          <w:iCs/>
          <w:lang w:val="ro-RO"/>
        </w:rPr>
        <w:t>)</w:t>
      </w:r>
      <w:r w:rsidR="00E21F55" w:rsidRPr="00834B27">
        <w:rPr>
          <w:rFonts w:ascii="Calibri" w:hAnsi="Calibri" w:cs="Calibri"/>
          <w:i/>
          <w:iCs/>
          <w:lang w:val="ro-RO"/>
        </w:rPr>
        <w:t xml:space="preserve"> p</w:t>
      </w:r>
      <w:r w:rsidRPr="00834B27">
        <w:rPr>
          <w:rFonts w:ascii="Calibri" w:hAnsi="Calibri" w:cs="Calibri"/>
          <w:i/>
          <w:iCs/>
          <w:lang w:val="ro-RO"/>
        </w:rPr>
        <w:t>â</w:t>
      </w:r>
      <w:r w:rsidR="00E21F55" w:rsidRPr="00834B27">
        <w:rPr>
          <w:rFonts w:ascii="Calibri" w:hAnsi="Calibri" w:cs="Calibri"/>
          <w:i/>
          <w:iCs/>
          <w:lang w:val="ro-RO"/>
        </w:rPr>
        <w:t>n</w:t>
      </w:r>
      <w:r w:rsidRPr="00834B27">
        <w:rPr>
          <w:rFonts w:ascii="Calibri" w:hAnsi="Calibri" w:cs="Calibri"/>
          <w:i/>
          <w:iCs/>
          <w:lang w:val="ro-RO"/>
        </w:rPr>
        <w:t>ă</w:t>
      </w:r>
      <w:r w:rsidR="00E21F55" w:rsidRPr="00834B27">
        <w:rPr>
          <w:rFonts w:ascii="Calibri" w:hAnsi="Calibri" w:cs="Calibri"/>
          <w:i/>
          <w:iCs/>
          <w:lang w:val="ro-RO"/>
        </w:rPr>
        <w:t xml:space="preserve"> </w:t>
      </w:r>
      <w:r w:rsidRPr="00834B27">
        <w:rPr>
          <w:rFonts w:ascii="Calibri" w:hAnsi="Calibri" w:cs="Calibri"/>
          <w:i/>
          <w:iCs/>
          <w:lang w:val="ro-RO"/>
        </w:rPr>
        <w:t>î</w:t>
      </w:r>
      <w:r w:rsidR="00E21F55" w:rsidRPr="00834B27">
        <w:rPr>
          <w:rFonts w:ascii="Calibri" w:hAnsi="Calibri" w:cs="Calibri"/>
          <w:i/>
          <w:iCs/>
          <w:lang w:val="ro-RO"/>
        </w:rPr>
        <w:t>n 2017, 10% din 2018 p</w:t>
      </w:r>
      <w:r w:rsidRPr="00834B27">
        <w:rPr>
          <w:rFonts w:ascii="Calibri" w:hAnsi="Calibri" w:cs="Calibri"/>
          <w:i/>
          <w:iCs/>
          <w:lang w:val="ro-RO"/>
        </w:rPr>
        <w:t>â</w:t>
      </w:r>
      <w:r w:rsidR="00E21F55" w:rsidRPr="00834B27">
        <w:rPr>
          <w:rFonts w:ascii="Calibri" w:hAnsi="Calibri" w:cs="Calibri"/>
          <w:i/>
          <w:iCs/>
          <w:lang w:val="ro-RO"/>
        </w:rPr>
        <w:t>n</w:t>
      </w:r>
      <w:r w:rsidRPr="00834B27">
        <w:rPr>
          <w:rFonts w:ascii="Calibri" w:hAnsi="Calibri" w:cs="Calibri"/>
          <w:i/>
          <w:iCs/>
          <w:lang w:val="ro-RO"/>
        </w:rPr>
        <w:t>ă</w:t>
      </w:r>
      <w:r w:rsidR="00E21F55" w:rsidRPr="00834B27">
        <w:rPr>
          <w:rFonts w:ascii="Calibri" w:hAnsi="Calibri" w:cs="Calibri"/>
          <w:i/>
          <w:iCs/>
          <w:lang w:val="ro-RO"/>
        </w:rPr>
        <w:t xml:space="preserve"> </w:t>
      </w:r>
      <w:r w:rsidRPr="00834B27">
        <w:rPr>
          <w:rFonts w:ascii="Calibri" w:hAnsi="Calibri" w:cs="Calibri"/>
          <w:i/>
          <w:iCs/>
          <w:lang w:val="ro-RO"/>
        </w:rPr>
        <w:t>î</w:t>
      </w:r>
      <w:r w:rsidR="00E21F55" w:rsidRPr="00834B27">
        <w:rPr>
          <w:rFonts w:ascii="Calibri" w:hAnsi="Calibri" w:cs="Calibri"/>
          <w:i/>
          <w:iCs/>
          <w:lang w:val="ro-RO"/>
        </w:rPr>
        <w:t>n 2025, 16% din 2026</w:t>
      </w:r>
      <w:r w:rsidR="00E353CA" w:rsidRPr="00834B27">
        <w:rPr>
          <w:rFonts w:ascii="Calibri" w:hAnsi="Calibri" w:cs="Calibri"/>
          <w:i/>
          <w:iCs/>
          <w:lang w:val="ro-RO"/>
        </w:rPr>
        <w:t>.</w:t>
      </w:r>
    </w:p>
    <w:p w14:paraId="0850BE4A" w14:textId="0BFF836D" w:rsidR="00953CCC" w:rsidRPr="00834B27" w:rsidRDefault="00953CCC" w:rsidP="00B91E74">
      <w:pPr>
        <w:spacing w:line="276" w:lineRule="auto"/>
        <w:jc w:val="both"/>
        <w:rPr>
          <w:rFonts w:ascii="Calibri" w:hAnsi="Calibri" w:cs="Calibri"/>
          <w:i/>
          <w:iCs/>
          <w:lang w:val="ro-RO"/>
        </w:rPr>
      </w:pPr>
      <w:r w:rsidRPr="00834B27">
        <w:rPr>
          <w:rFonts w:ascii="Calibri" w:hAnsi="Calibri" w:cs="Calibri"/>
          <w:i/>
          <w:iCs/>
          <w:lang w:val="ro-RO"/>
        </w:rPr>
        <w:t>Din 2023</w:t>
      </w:r>
      <w:r w:rsidR="0099505C" w:rsidRPr="00834B27">
        <w:rPr>
          <w:rFonts w:ascii="Calibri" w:hAnsi="Calibri" w:cs="Calibri"/>
          <w:i/>
          <w:iCs/>
          <w:lang w:val="ro-RO"/>
        </w:rPr>
        <w:t xml:space="preserve">, </w:t>
      </w:r>
      <w:r w:rsidR="006A3D7F" w:rsidRPr="00834B27">
        <w:rPr>
          <w:rFonts w:ascii="Calibri" w:hAnsi="Calibri" w:cs="Calibri"/>
          <w:i/>
          <w:iCs/>
          <w:lang w:val="ro-RO"/>
        </w:rPr>
        <w:t>câștigurile</w:t>
      </w:r>
      <w:r w:rsidR="0099505C" w:rsidRPr="00834B27">
        <w:rPr>
          <w:rFonts w:ascii="Calibri" w:hAnsi="Calibri" w:cs="Calibri"/>
          <w:i/>
          <w:iCs/>
          <w:lang w:val="ro-RO"/>
        </w:rPr>
        <w:t xml:space="preserve"> </w:t>
      </w:r>
      <w:r w:rsidR="006A3D7F" w:rsidRPr="00834B27">
        <w:rPr>
          <w:rFonts w:ascii="Calibri" w:hAnsi="Calibri" w:cs="Calibri"/>
          <w:i/>
          <w:iCs/>
          <w:lang w:val="ro-RO"/>
        </w:rPr>
        <w:t>ob</w:t>
      </w:r>
      <w:r w:rsidR="00D77C4B" w:rsidRPr="00834B27">
        <w:rPr>
          <w:rFonts w:ascii="Calibri" w:hAnsi="Calibri" w:cs="Calibri"/>
          <w:i/>
          <w:iCs/>
          <w:lang w:val="ro-RO"/>
        </w:rPr>
        <w:t>ț</w:t>
      </w:r>
      <w:r w:rsidR="006A3D7F" w:rsidRPr="00834B27">
        <w:rPr>
          <w:rFonts w:ascii="Calibri" w:hAnsi="Calibri" w:cs="Calibri"/>
          <w:i/>
          <w:iCs/>
          <w:lang w:val="ro-RO"/>
        </w:rPr>
        <w:t>inute</w:t>
      </w:r>
      <w:r w:rsidR="0099505C" w:rsidRPr="00834B27">
        <w:rPr>
          <w:rFonts w:ascii="Calibri" w:hAnsi="Calibri" w:cs="Calibri"/>
          <w:i/>
          <w:iCs/>
          <w:lang w:val="ro-RO"/>
        </w:rPr>
        <w:t xml:space="preserve"> din </w:t>
      </w:r>
      <w:r w:rsidR="006A3D7F" w:rsidRPr="00834B27">
        <w:rPr>
          <w:rFonts w:ascii="Calibri" w:hAnsi="Calibri" w:cs="Calibri"/>
          <w:i/>
          <w:iCs/>
          <w:lang w:val="ro-RO"/>
        </w:rPr>
        <w:t>tranzac</w:t>
      </w:r>
      <w:r w:rsidR="00D77C4B" w:rsidRPr="00834B27">
        <w:rPr>
          <w:rFonts w:ascii="Calibri" w:hAnsi="Calibri" w:cs="Calibri"/>
          <w:i/>
          <w:iCs/>
          <w:lang w:val="ro-RO"/>
        </w:rPr>
        <w:t>ț</w:t>
      </w:r>
      <w:r w:rsidR="006A3D7F" w:rsidRPr="00834B27">
        <w:rPr>
          <w:rFonts w:ascii="Calibri" w:hAnsi="Calibri" w:cs="Calibri"/>
          <w:i/>
          <w:iCs/>
          <w:lang w:val="ro-RO"/>
        </w:rPr>
        <w:t>ionarea</w:t>
      </w:r>
      <w:r w:rsidR="0099505C" w:rsidRPr="00834B27">
        <w:rPr>
          <w:rFonts w:ascii="Calibri" w:hAnsi="Calibri" w:cs="Calibri"/>
          <w:i/>
          <w:iCs/>
          <w:lang w:val="ro-RO"/>
        </w:rPr>
        <w:t xml:space="preserve"> pe </w:t>
      </w:r>
      <w:r w:rsidR="006A3D7F" w:rsidRPr="00834B27">
        <w:rPr>
          <w:rFonts w:ascii="Calibri" w:hAnsi="Calibri" w:cs="Calibri"/>
          <w:i/>
          <w:iCs/>
          <w:lang w:val="ro-RO"/>
        </w:rPr>
        <w:t>pie</w:t>
      </w:r>
      <w:r w:rsidR="00D77C4B" w:rsidRPr="00834B27">
        <w:rPr>
          <w:rFonts w:ascii="Calibri" w:hAnsi="Calibri" w:cs="Calibri"/>
          <w:i/>
          <w:iCs/>
          <w:lang w:val="ro-RO"/>
        </w:rPr>
        <w:t>ț</w:t>
      </w:r>
      <w:r w:rsidR="006A3D7F" w:rsidRPr="00834B27">
        <w:rPr>
          <w:rFonts w:ascii="Calibri" w:hAnsi="Calibri" w:cs="Calibri"/>
          <w:i/>
          <w:iCs/>
          <w:lang w:val="ro-RO"/>
        </w:rPr>
        <w:t>e</w:t>
      </w:r>
      <w:r w:rsidR="0099505C" w:rsidRPr="00834B27">
        <w:rPr>
          <w:rFonts w:ascii="Calibri" w:hAnsi="Calibri" w:cs="Calibri"/>
          <w:i/>
          <w:iCs/>
          <w:lang w:val="ro-RO"/>
        </w:rPr>
        <w:t xml:space="preserve"> reglementate, prin intermediul unor brokeri </w:t>
      </w:r>
      <w:r w:rsidR="006A3D7F" w:rsidRPr="00834B27">
        <w:rPr>
          <w:rFonts w:ascii="Calibri" w:hAnsi="Calibri" w:cs="Calibri"/>
          <w:i/>
          <w:iCs/>
          <w:lang w:val="ro-RO"/>
        </w:rPr>
        <w:t>înregistra</w:t>
      </w:r>
      <w:r w:rsidR="00D77C4B" w:rsidRPr="00834B27">
        <w:rPr>
          <w:rFonts w:ascii="Calibri" w:hAnsi="Calibri" w:cs="Calibri"/>
          <w:i/>
          <w:iCs/>
          <w:lang w:val="ro-RO"/>
        </w:rPr>
        <w:t>ț</w:t>
      </w:r>
      <w:r w:rsidR="006A3D7F" w:rsidRPr="00834B27">
        <w:rPr>
          <w:rFonts w:ascii="Calibri" w:hAnsi="Calibri" w:cs="Calibri"/>
          <w:i/>
          <w:iCs/>
          <w:lang w:val="ro-RO"/>
        </w:rPr>
        <w:t>i</w:t>
      </w:r>
      <w:r w:rsidR="0099505C" w:rsidRPr="00834B27">
        <w:rPr>
          <w:rFonts w:ascii="Calibri" w:hAnsi="Calibri" w:cs="Calibri"/>
          <w:i/>
          <w:iCs/>
          <w:lang w:val="ro-RO"/>
        </w:rPr>
        <w:t xml:space="preserve"> </w:t>
      </w:r>
      <w:r w:rsidR="006A3D7F" w:rsidRPr="00834B27">
        <w:rPr>
          <w:rFonts w:ascii="Calibri" w:hAnsi="Calibri" w:cs="Calibri"/>
          <w:i/>
          <w:iCs/>
          <w:lang w:val="ro-RO"/>
        </w:rPr>
        <w:t>î</w:t>
      </w:r>
      <w:r w:rsidR="008361BF" w:rsidRPr="00834B27">
        <w:rPr>
          <w:rFonts w:ascii="Calibri" w:hAnsi="Calibri" w:cs="Calibri"/>
          <w:i/>
          <w:iCs/>
          <w:lang w:val="ro-RO"/>
        </w:rPr>
        <w:t>n Rom</w:t>
      </w:r>
      <w:r w:rsidR="00D71399" w:rsidRPr="00834B27">
        <w:rPr>
          <w:rFonts w:ascii="Calibri" w:hAnsi="Calibri" w:cs="Calibri"/>
          <w:i/>
          <w:iCs/>
          <w:lang w:val="ro-RO"/>
        </w:rPr>
        <w:t>â</w:t>
      </w:r>
      <w:r w:rsidR="008361BF" w:rsidRPr="00834B27">
        <w:rPr>
          <w:rFonts w:ascii="Calibri" w:hAnsi="Calibri" w:cs="Calibri"/>
          <w:i/>
          <w:iCs/>
          <w:lang w:val="ro-RO"/>
        </w:rPr>
        <w:t>nia</w:t>
      </w:r>
      <w:r w:rsidR="005E3FFC" w:rsidRPr="00834B27">
        <w:rPr>
          <w:rFonts w:ascii="Calibri" w:hAnsi="Calibri" w:cs="Calibri"/>
          <w:i/>
          <w:iCs/>
          <w:lang w:val="ro-RO"/>
        </w:rPr>
        <w:t>,</w:t>
      </w:r>
      <w:r w:rsidR="008361BF" w:rsidRPr="00834B27">
        <w:rPr>
          <w:rFonts w:ascii="Calibri" w:hAnsi="Calibri" w:cs="Calibri"/>
          <w:i/>
          <w:iCs/>
          <w:lang w:val="ro-RO"/>
        </w:rPr>
        <w:t xml:space="preserve"> au fost supuse unui impozit de 1%/3%</w:t>
      </w:r>
      <w:r w:rsidR="007A5272" w:rsidRPr="00834B27">
        <w:rPr>
          <w:rFonts w:ascii="Calibri" w:hAnsi="Calibri" w:cs="Calibri"/>
          <w:i/>
          <w:iCs/>
          <w:lang w:val="ro-RO"/>
        </w:rPr>
        <w:t xml:space="preserve"> pe </w:t>
      </w:r>
      <w:r w:rsidR="006A3D7F" w:rsidRPr="00834B27">
        <w:rPr>
          <w:rFonts w:ascii="Calibri" w:hAnsi="Calibri" w:cs="Calibri"/>
          <w:i/>
          <w:iCs/>
          <w:lang w:val="ro-RO"/>
        </w:rPr>
        <w:t>câștigul</w:t>
      </w:r>
      <w:r w:rsidR="007A5272" w:rsidRPr="00834B27">
        <w:rPr>
          <w:rFonts w:ascii="Calibri" w:hAnsi="Calibri" w:cs="Calibri"/>
          <w:i/>
          <w:iCs/>
          <w:lang w:val="ro-RO"/>
        </w:rPr>
        <w:t xml:space="preserve"> </w:t>
      </w:r>
      <w:r w:rsidR="006A3D7F" w:rsidRPr="00834B27">
        <w:rPr>
          <w:rFonts w:ascii="Calibri" w:hAnsi="Calibri" w:cs="Calibri"/>
          <w:i/>
          <w:iCs/>
          <w:lang w:val="ro-RO"/>
        </w:rPr>
        <w:t>ob</w:t>
      </w:r>
      <w:r w:rsidR="00D77C4B" w:rsidRPr="00834B27">
        <w:rPr>
          <w:rFonts w:ascii="Calibri" w:hAnsi="Calibri" w:cs="Calibri"/>
          <w:i/>
          <w:iCs/>
          <w:lang w:val="ro-RO"/>
        </w:rPr>
        <w:t>ț</w:t>
      </w:r>
      <w:r w:rsidR="006A3D7F" w:rsidRPr="00834B27">
        <w:rPr>
          <w:rFonts w:ascii="Calibri" w:hAnsi="Calibri" w:cs="Calibri"/>
          <w:i/>
          <w:iCs/>
          <w:lang w:val="ro-RO"/>
        </w:rPr>
        <w:t>inut</w:t>
      </w:r>
      <w:r w:rsidR="007A5272" w:rsidRPr="00834B27">
        <w:rPr>
          <w:rFonts w:ascii="Calibri" w:hAnsi="Calibri" w:cs="Calibri"/>
          <w:i/>
          <w:iCs/>
          <w:lang w:val="ro-RO"/>
        </w:rPr>
        <w:t xml:space="preserve"> din fiecare </w:t>
      </w:r>
      <w:r w:rsidR="006A3D7F" w:rsidRPr="00834B27">
        <w:rPr>
          <w:rFonts w:ascii="Calibri" w:hAnsi="Calibri" w:cs="Calibri"/>
          <w:i/>
          <w:iCs/>
          <w:lang w:val="ro-RO"/>
        </w:rPr>
        <w:t>tranzac</w:t>
      </w:r>
      <w:r w:rsidR="00D77C4B" w:rsidRPr="00834B27">
        <w:rPr>
          <w:rFonts w:ascii="Calibri" w:hAnsi="Calibri" w:cs="Calibri"/>
          <w:i/>
          <w:iCs/>
          <w:lang w:val="ro-RO"/>
        </w:rPr>
        <w:t>ț</w:t>
      </w:r>
      <w:r w:rsidR="006A3D7F" w:rsidRPr="00834B27">
        <w:rPr>
          <w:rFonts w:ascii="Calibri" w:hAnsi="Calibri" w:cs="Calibri"/>
          <w:i/>
          <w:iCs/>
          <w:lang w:val="ro-RO"/>
        </w:rPr>
        <w:t>ie</w:t>
      </w:r>
      <w:r w:rsidR="007A5272" w:rsidRPr="00834B27">
        <w:rPr>
          <w:rFonts w:ascii="Calibri" w:hAnsi="Calibri" w:cs="Calibri"/>
          <w:i/>
          <w:iCs/>
          <w:lang w:val="ro-RO"/>
        </w:rPr>
        <w:t xml:space="preserve">, </w:t>
      </w:r>
      <w:r w:rsidR="006A3D7F" w:rsidRPr="00834B27">
        <w:rPr>
          <w:rFonts w:ascii="Calibri" w:hAnsi="Calibri" w:cs="Calibri"/>
          <w:i/>
          <w:iCs/>
          <w:lang w:val="ro-RO"/>
        </w:rPr>
        <w:t>î</w:t>
      </w:r>
      <w:r w:rsidR="007A5272" w:rsidRPr="00834B27">
        <w:rPr>
          <w:rFonts w:ascii="Calibri" w:hAnsi="Calibri" w:cs="Calibri"/>
          <w:i/>
          <w:iCs/>
          <w:lang w:val="ro-RO"/>
        </w:rPr>
        <w:t xml:space="preserve">n </w:t>
      </w:r>
      <w:r w:rsidR="006A3D7F" w:rsidRPr="00834B27">
        <w:rPr>
          <w:rFonts w:ascii="Calibri" w:hAnsi="Calibri" w:cs="Calibri"/>
          <w:i/>
          <w:iCs/>
          <w:lang w:val="ro-RO"/>
        </w:rPr>
        <w:t>func</w:t>
      </w:r>
      <w:r w:rsidR="00D77C4B" w:rsidRPr="00834B27">
        <w:rPr>
          <w:rFonts w:ascii="Calibri" w:hAnsi="Calibri" w:cs="Calibri"/>
          <w:i/>
          <w:iCs/>
          <w:lang w:val="ro-RO"/>
        </w:rPr>
        <w:t>ț</w:t>
      </w:r>
      <w:r w:rsidR="006A3D7F" w:rsidRPr="00834B27">
        <w:rPr>
          <w:rFonts w:ascii="Calibri" w:hAnsi="Calibri" w:cs="Calibri"/>
          <w:i/>
          <w:iCs/>
          <w:lang w:val="ro-RO"/>
        </w:rPr>
        <w:t>ie</w:t>
      </w:r>
      <w:r w:rsidR="007A5272" w:rsidRPr="00834B27">
        <w:rPr>
          <w:rFonts w:ascii="Calibri" w:hAnsi="Calibri" w:cs="Calibri"/>
          <w:i/>
          <w:iCs/>
          <w:lang w:val="ro-RO"/>
        </w:rPr>
        <w:t xml:space="preserve"> de perioada de </w:t>
      </w:r>
      <w:r w:rsidR="006A3D7F" w:rsidRPr="00834B27">
        <w:rPr>
          <w:rFonts w:ascii="Calibri" w:hAnsi="Calibri" w:cs="Calibri"/>
          <w:i/>
          <w:iCs/>
          <w:lang w:val="ro-RO"/>
        </w:rPr>
        <w:t>de</w:t>
      </w:r>
      <w:r w:rsidR="00D77C4B" w:rsidRPr="00834B27">
        <w:rPr>
          <w:rFonts w:ascii="Calibri" w:hAnsi="Calibri" w:cs="Calibri"/>
          <w:i/>
          <w:iCs/>
          <w:lang w:val="ro-RO"/>
        </w:rPr>
        <w:t>ț</w:t>
      </w:r>
      <w:r w:rsidR="006A3D7F" w:rsidRPr="00834B27">
        <w:rPr>
          <w:rFonts w:ascii="Calibri" w:hAnsi="Calibri" w:cs="Calibri"/>
          <w:i/>
          <w:iCs/>
          <w:lang w:val="ro-RO"/>
        </w:rPr>
        <w:t>inere</w:t>
      </w:r>
      <w:r w:rsidR="007A5272" w:rsidRPr="00834B27">
        <w:rPr>
          <w:rFonts w:ascii="Calibri" w:hAnsi="Calibri" w:cs="Calibri"/>
          <w:i/>
          <w:iCs/>
          <w:lang w:val="ro-RO"/>
        </w:rPr>
        <w:t xml:space="preserve"> (</w:t>
      </w:r>
      <w:r w:rsidR="00890D04" w:rsidRPr="00834B27">
        <w:rPr>
          <w:rFonts w:ascii="Calibri" w:hAnsi="Calibri" w:cs="Calibri"/>
          <w:i/>
          <w:iCs/>
          <w:lang w:val="ro-RO"/>
        </w:rPr>
        <w:t xml:space="preserve">cel </w:t>
      </w:r>
      <w:r w:rsidR="006A3D7F" w:rsidRPr="00834B27">
        <w:rPr>
          <w:rFonts w:ascii="Calibri" w:hAnsi="Calibri" w:cs="Calibri"/>
          <w:i/>
          <w:iCs/>
          <w:lang w:val="ro-RO"/>
        </w:rPr>
        <w:t>pu</w:t>
      </w:r>
      <w:r w:rsidR="00D77C4B" w:rsidRPr="00834B27">
        <w:rPr>
          <w:rFonts w:ascii="Calibri" w:hAnsi="Calibri" w:cs="Calibri"/>
          <w:i/>
          <w:iCs/>
          <w:lang w:val="ro-RO"/>
        </w:rPr>
        <w:t>ț</w:t>
      </w:r>
      <w:r w:rsidR="006A3D7F" w:rsidRPr="00834B27">
        <w:rPr>
          <w:rFonts w:ascii="Calibri" w:hAnsi="Calibri" w:cs="Calibri"/>
          <w:i/>
          <w:iCs/>
          <w:lang w:val="ro-RO"/>
        </w:rPr>
        <w:t>in</w:t>
      </w:r>
      <w:r w:rsidR="00890D04" w:rsidRPr="00834B27">
        <w:rPr>
          <w:rFonts w:ascii="Calibri" w:hAnsi="Calibri" w:cs="Calibri"/>
          <w:i/>
          <w:iCs/>
          <w:lang w:val="ro-RO"/>
        </w:rPr>
        <w:t xml:space="preserve"> 1 an, respectiv mai </w:t>
      </w:r>
      <w:r w:rsidR="006A3D7F" w:rsidRPr="00834B27">
        <w:rPr>
          <w:rFonts w:ascii="Calibri" w:hAnsi="Calibri" w:cs="Calibri"/>
          <w:i/>
          <w:iCs/>
          <w:lang w:val="ro-RO"/>
        </w:rPr>
        <w:t>pu</w:t>
      </w:r>
      <w:r w:rsidR="00D77C4B" w:rsidRPr="00834B27">
        <w:rPr>
          <w:rFonts w:ascii="Calibri" w:hAnsi="Calibri" w:cs="Calibri"/>
          <w:i/>
          <w:iCs/>
          <w:lang w:val="ro-RO"/>
        </w:rPr>
        <w:t>ț</w:t>
      </w:r>
      <w:r w:rsidR="006A3D7F" w:rsidRPr="00834B27">
        <w:rPr>
          <w:rFonts w:ascii="Calibri" w:hAnsi="Calibri" w:cs="Calibri"/>
          <w:i/>
          <w:iCs/>
          <w:lang w:val="ro-RO"/>
        </w:rPr>
        <w:t>in</w:t>
      </w:r>
      <w:r w:rsidR="00890D04" w:rsidRPr="00834B27">
        <w:rPr>
          <w:rFonts w:ascii="Calibri" w:hAnsi="Calibri" w:cs="Calibri"/>
          <w:i/>
          <w:iCs/>
          <w:lang w:val="ro-RO"/>
        </w:rPr>
        <w:t xml:space="preserve"> de 1 an), </w:t>
      </w:r>
      <w:r w:rsidR="006A3D7F" w:rsidRPr="00834B27">
        <w:rPr>
          <w:rFonts w:ascii="Calibri" w:hAnsi="Calibri" w:cs="Calibri"/>
          <w:i/>
          <w:iCs/>
          <w:lang w:val="ro-RO"/>
        </w:rPr>
        <w:t>fără</w:t>
      </w:r>
      <w:r w:rsidR="00890D04" w:rsidRPr="00834B27">
        <w:rPr>
          <w:rFonts w:ascii="Calibri" w:hAnsi="Calibri" w:cs="Calibri"/>
          <w:i/>
          <w:iCs/>
          <w:lang w:val="ro-RO"/>
        </w:rPr>
        <w:t xml:space="preserve"> a fi luate </w:t>
      </w:r>
      <w:r w:rsidR="006A3D7F" w:rsidRPr="00834B27">
        <w:rPr>
          <w:rFonts w:ascii="Calibri" w:hAnsi="Calibri" w:cs="Calibri"/>
          <w:i/>
          <w:iCs/>
          <w:lang w:val="ro-RO"/>
        </w:rPr>
        <w:t>î</w:t>
      </w:r>
      <w:r w:rsidR="00890D04" w:rsidRPr="00834B27">
        <w:rPr>
          <w:rFonts w:ascii="Calibri" w:hAnsi="Calibri" w:cs="Calibri"/>
          <w:i/>
          <w:iCs/>
          <w:lang w:val="ro-RO"/>
        </w:rPr>
        <w:t xml:space="preserve">n calcul </w:t>
      </w:r>
      <w:r w:rsidR="006A3D7F" w:rsidRPr="00834B27">
        <w:rPr>
          <w:rFonts w:ascii="Calibri" w:hAnsi="Calibri" w:cs="Calibri"/>
          <w:i/>
          <w:iCs/>
          <w:lang w:val="ro-RO"/>
        </w:rPr>
        <w:t>vânzările</w:t>
      </w:r>
      <w:r w:rsidR="00896A6F" w:rsidRPr="00834B27">
        <w:rPr>
          <w:rFonts w:ascii="Calibri" w:hAnsi="Calibri" w:cs="Calibri"/>
          <w:i/>
          <w:iCs/>
          <w:lang w:val="ro-RO"/>
        </w:rPr>
        <w:t xml:space="preserve"> </w:t>
      </w:r>
      <w:r w:rsidR="006A3D7F" w:rsidRPr="00834B27">
        <w:rPr>
          <w:rFonts w:ascii="Calibri" w:hAnsi="Calibri" w:cs="Calibri"/>
          <w:i/>
          <w:iCs/>
          <w:lang w:val="ro-RO"/>
        </w:rPr>
        <w:t>î</w:t>
      </w:r>
      <w:r w:rsidR="00896A6F" w:rsidRPr="00834B27">
        <w:rPr>
          <w:rFonts w:ascii="Calibri" w:hAnsi="Calibri" w:cs="Calibri"/>
          <w:i/>
          <w:iCs/>
          <w:lang w:val="ro-RO"/>
        </w:rPr>
        <w:t>n pierdere. Din 2026, aceste procente au fost majorate la 3%, respectiv 6%.</w:t>
      </w:r>
    </w:p>
    <w:p w14:paraId="7D891F70" w14:textId="13C91493" w:rsidR="005E3FFC" w:rsidRPr="00834B27" w:rsidRDefault="005E3FFC" w:rsidP="00B91E74">
      <w:pPr>
        <w:spacing w:line="276" w:lineRule="auto"/>
        <w:jc w:val="both"/>
        <w:rPr>
          <w:rFonts w:ascii="Calibri" w:hAnsi="Calibri" w:cs="Calibri"/>
          <w:i/>
          <w:iCs/>
          <w:lang w:val="ro-RO"/>
        </w:rPr>
      </w:pPr>
      <w:r w:rsidRPr="00834B27">
        <w:rPr>
          <w:rFonts w:ascii="Calibri" w:hAnsi="Calibri" w:cs="Calibri"/>
          <w:i/>
          <w:iCs/>
          <w:lang w:val="ro-RO"/>
        </w:rPr>
        <w:t>În total, în 22 de ani (2004–2026), cota de impozitare a dividendelor s-a modificat de 7 ori.</w:t>
      </w:r>
    </w:p>
    <w:p w14:paraId="74F378CB" w14:textId="77777777" w:rsidR="007C62D3" w:rsidRPr="00834B27" w:rsidRDefault="007C62D3" w:rsidP="00B91E74">
      <w:pPr>
        <w:spacing w:line="276" w:lineRule="auto"/>
        <w:jc w:val="both"/>
        <w:rPr>
          <w:rFonts w:ascii="Calibri" w:hAnsi="Calibri" w:cs="Calibri"/>
          <w:i/>
          <w:iCs/>
          <w:lang w:val="ro-RO"/>
        </w:rPr>
      </w:pPr>
    </w:p>
    <w:p w14:paraId="47AC3300" w14:textId="6436A189" w:rsidR="00E353CA" w:rsidRPr="00834B27" w:rsidRDefault="005A70E8" w:rsidP="00FE15AD">
      <w:pPr>
        <w:pStyle w:val="Listparagraf"/>
        <w:numPr>
          <w:ilvl w:val="0"/>
          <w:numId w:val="10"/>
        </w:numPr>
        <w:spacing w:line="276" w:lineRule="auto"/>
        <w:ind w:left="360"/>
        <w:contextualSpacing w:val="0"/>
        <w:jc w:val="both"/>
        <w:rPr>
          <w:rFonts w:ascii="Calibri" w:hAnsi="Calibri" w:cs="Calibri"/>
          <w:b/>
          <w:bCs/>
          <w:lang w:val="ro-RO"/>
        </w:rPr>
      </w:pPr>
      <w:r w:rsidRPr="00834B27">
        <w:rPr>
          <w:rFonts w:ascii="Calibri" w:hAnsi="Calibri" w:cs="Calibri"/>
          <w:b/>
          <w:bCs/>
          <w:lang w:val="ro-RO"/>
        </w:rPr>
        <w:t>Venituri din lichidarea unei persoane juridice</w:t>
      </w:r>
    </w:p>
    <w:p w14:paraId="12EC58FA" w14:textId="11674715" w:rsidR="005A70E8" w:rsidRPr="00834B27" w:rsidRDefault="005A70E8" w:rsidP="00B91E74">
      <w:pPr>
        <w:spacing w:line="276" w:lineRule="auto"/>
        <w:jc w:val="both"/>
        <w:rPr>
          <w:rFonts w:ascii="Calibri" w:hAnsi="Calibri" w:cs="Calibri"/>
          <w:lang w:val="ro-RO"/>
        </w:rPr>
      </w:pPr>
      <w:r w:rsidRPr="00834B27">
        <w:rPr>
          <w:rFonts w:ascii="Calibri" w:hAnsi="Calibri" w:cs="Calibri"/>
          <w:b/>
          <w:bCs/>
          <w:u w:val="single"/>
          <w:lang w:val="ro-RO"/>
        </w:rPr>
        <w:t>Cota de IV:</w:t>
      </w:r>
      <w:r w:rsidRPr="00834B27">
        <w:rPr>
          <w:rFonts w:ascii="Calibri" w:hAnsi="Calibri" w:cs="Calibri"/>
          <w:lang w:val="ro-RO"/>
        </w:rPr>
        <w:t xml:space="preserve"> 10%</w:t>
      </w:r>
      <w:r w:rsidR="00AE29BB" w:rsidRPr="00834B27">
        <w:rPr>
          <w:rFonts w:ascii="Calibri" w:hAnsi="Calibri" w:cs="Calibri"/>
          <w:lang w:val="ro-RO"/>
        </w:rPr>
        <w:t>.</w:t>
      </w:r>
    </w:p>
    <w:p w14:paraId="5CF3FEAD" w14:textId="1490CE19" w:rsidR="008D4DAC" w:rsidRPr="00834B27" w:rsidRDefault="00C66E71" w:rsidP="00B91E74">
      <w:pPr>
        <w:spacing w:line="276" w:lineRule="auto"/>
        <w:jc w:val="both"/>
        <w:rPr>
          <w:rFonts w:ascii="Calibri" w:hAnsi="Calibri" w:cs="Calibri"/>
          <w:lang w:val="ro-RO"/>
        </w:rPr>
      </w:pPr>
      <w:r w:rsidRPr="00834B27">
        <w:rPr>
          <w:rFonts w:ascii="Calibri" w:hAnsi="Calibri" w:cs="Calibri"/>
          <w:b/>
          <w:bCs/>
          <w:u w:val="single"/>
          <w:lang w:val="ro-RO"/>
        </w:rPr>
        <w:t>Cota de CASS:</w:t>
      </w:r>
      <w:r w:rsidRPr="00834B27">
        <w:rPr>
          <w:rFonts w:ascii="Calibri" w:hAnsi="Calibri" w:cs="Calibri"/>
          <w:lang w:val="ro-RO"/>
        </w:rPr>
        <w:t xml:space="preserve"> 10%</w:t>
      </w:r>
      <w:r w:rsidR="00D81DF2" w:rsidRPr="00834B27">
        <w:rPr>
          <w:rFonts w:ascii="Calibri" w:hAnsi="Calibri" w:cs="Calibri"/>
          <w:lang w:val="ro-RO"/>
        </w:rPr>
        <w:t>;</w:t>
      </w:r>
    </w:p>
    <w:p w14:paraId="20DDC6FA" w14:textId="248CDCEC" w:rsidR="00D81DF2" w:rsidRPr="00834B27" w:rsidRDefault="00D81DF2" w:rsidP="00B91E74">
      <w:pPr>
        <w:spacing w:line="276" w:lineRule="auto"/>
        <w:jc w:val="both"/>
        <w:rPr>
          <w:rFonts w:ascii="Calibri" w:hAnsi="Calibri" w:cs="Calibri"/>
          <w:lang w:val="ro-RO"/>
        </w:rPr>
      </w:pPr>
      <w:r w:rsidRPr="00834B27">
        <w:rPr>
          <w:rFonts w:ascii="Calibri" w:hAnsi="Calibri" w:cs="Calibri"/>
          <w:b/>
          <w:bCs/>
          <w:u w:val="single"/>
          <w:lang w:val="ro-RO"/>
        </w:rPr>
        <w:t xml:space="preserve">Baza </w:t>
      </w:r>
      <w:r w:rsidR="004C7028" w:rsidRPr="00834B27">
        <w:rPr>
          <w:rFonts w:ascii="Calibri" w:hAnsi="Calibri" w:cs="Calibri"/>
          <w:b/>
          <w:bCs/>
          <w:u w:val="single"/>
          <w:lang w:val="ro-RO"/>
        </w:rPr>
        <w:t>de calcul al CASS:</w:t>
      </w:r>
      <w:r w:rsidR="004C7028" w:rsidRPr="00834B27">
        <w:rPr>
          <w:rFonts w:ascii="Calibri" w:hAnsi="Calibri" w:cs="Calibri"/>
          <w:lang w:val="ro-RO"/>
        </w:rPr>
        <w:t xml:space="preserve"> </w:t>
      </w:r>
      <w:r w:rsidR="00AF2D76" w:rsidRPr="00834B27">
        <w:rPr>
          <w:rFonts w:ascii="Calibri" w:hAnsi="Calibri" w:cs="Calibri"/>
          <w:lang w:val="ro-RO"/>
        </w:rPr>
        <w:t>6/12/</w:t>
      </w:r>
      <w:r w:rsidR="004C7028" w:rsidRPr="00834B27">
        <w:rPr>
          <w:rFonts w:ascii="Calibri" w:hAnsi="Calibri" w:cs="Calibri"/>
          <w:lang w:val="ro-RO"/>
        </w:rPr>
        <w:t xml:space="preserve">24 </w:t>
      </w:r>
      <w:r w:rsidR="00285F1A" w:rsidRPr="00834B27">
        <w:rPr>
          <w:rFonts w:ascii="Calibri" w:hAnsi="Calibri" w:cs="Calibri"/>
          <w:lang w:val="ro-RO"/>
        </w:rPr>
        <w:t>SM</w:t>
      </w:r>
      <w:r w:rsidR="004C7028" w:rsidRPr="00834B27">
        <w:rPr>
          <w:rFonts w:ascii="Calibri" w:hAnsi="Calibri" w:cs="Calibri"/>
          <w:lang w:val="ro-RO"/>
        </w:rPr>
        <w:t xml:space="preserve">/an, </w:t>
      </w:r>
      <w:r w:rsidR="006A3D7F" w:rsidRPr="00834B27">
        <w:rPr>
          <w:rFonts w:ascii="Calibri" w:hAnsi="Calibri" w:cs="Calibri"/>
          <w:lang w:val="ro-RO"/>
        </w:rPr>
        <w:t>împreună</w:t>
      </w:r>
      <w:r w:rsidR="004C7028" w:rsidRPr="00834B27">
        <w:rPr>
          <w:rFonts w:ascii="Calibri" w:hAnsi="Calibri" w:cs="Calibri"/>
          <w:lang w:val="ro-RO"/>
        </w:rPr>
        <w:t xml:space="preserve"> cu </w:t>
      </w:r>
      <w:r w:rsidR="006A3D7F" w:rsidRPr="00834B27">
        <w:rPr>
          <w:rFonts w:ascii="Calibri" w:hAnsi="Calibri" w:cs="Calibri"/>
          <w:lang w:val="ro-RO"/>
        </w:rPr>
        <w:t>celelalte</w:t>
      </w:r>
      <w:r w:rsidR="004C7028" w:rsidRPr="00834B27">
        <w:rPr>
          <w:rFonts w:ascii="Calibri" w:hAnsi="Calibri" w:cs="Calibri"/>
          <w:lang w:val="ro-RO"/>
        </w:rPr>
        <w:t xml:space="preserve"> venituri din „co</w:t>
      </w:r>
      <w:r w:rsidR="00285F1A" w:rsidRPr="00834B27">
        <w:rPr>
          <w:rFonts w:ascii="Calibri" w:hAnsi="Calibri" w:cs="Calibri"/>
          <w:lang w:val="ro-RO"/>
        </w:rPr>
        <w:t>ș</w:t>
      </w:r>
      <w:r w:rsidR="004C7028" w:rsidRPr="00834B27">
        <w:rPr>
          <w:rFonts w:ascii="Calibri" w:hAnsi="Calibri" w:cs="Calibri"/>
          <w:lang w:val="ro-RO"/>
        </w:rPr>
        <w:t>”</w:t>
      </w:r>
      <w:r w:rsidR="00D26DC2" w:rsidRPr="00834B27">
        <w:rPr>
          <w:rFonts w:ascii="Calibri" w:hAnsi="Calibri" w:cs="Calibri"/>
          <w:lang w:val="ro-RO"/>
        </w:rPr>
        <w:t>;</w:t>
      </w:r>
    </w:p>
    <w:p w14:paraId="1D43DF94" w14:textId="01816AE6" w:rsidR="00D26DC2" w:rsidRPr="00834B27" w:rsidRDefault="00D26DC2" w:rsidP="00B91E74">
      <w:pPr>
        <w:spacing w:line="276" w:lineRule="auto"/>
        <w:jc w:val="both"/>
        <w:rPr>
          <w:rFonts w:ascii="Calibri" w:hAnsi="Calibri" w:cs="Calibri"/>
          <w:lang w:val="ro-RO"/>
        </w:rPr>
      </w:pPr>
      <w:r w:rsidRPr="00834B27">
        <w:rPr>
          <w:rFonts w:ascii="Calibri" w:hAnsi="Calibri" w:cs="Calibri"/>
          <w:b/>
          <w:bCs/>
          <w:u w:val="single"/>
          <w:lang w:val="ro-RO"/>
        </w:rPr>
        <w:t>CAS</w:t>
      </w:r>
      <w:r w:rsidR="006410E9" w:rsidRPr="00834B27">
        <w:rPr>
          <w:rFonts w:ascii="Calibri" w:hAnsi="Calibri" w:cs="Calibri"/>
          <w:b/>
          <w:bCs/>
          <w:u w:val="single"/>
          <w:lang w:val="ro-RO"/>
        </w:rPr>
        <w:t>:</w:t>
      </w:r>
      <w:r w:rsidR="006410E9" w:rsidRPr="00834B27">
        <w:rPr>
          <w:rFonts w:ascii="Calibri" w:hAnsi="Calibri" w:cs="Calibri"/>
          <w:lang w:val="ro-RO"/>
        </w:rPr>
        <w:t xml:space="preserve"> nu se </w:t>
      </w:r>
      <w:r w:rsidR="006A3D7F" w:rsidRPr="00834B27">
        <w:rPr>
          <w:rFonts w:ascii="Calibri" w:hAnsi="Calibri" w:cs="Calibri"/>
          <w:lang w:val="ro-RO"/>
        </w:rPr>
        <w:t>datorează</w:t>
      </w:r>
      <w:r w:rsidR="006410E9" w:rsidRPr="00834B27">
        <w:rPr>
          <w:rFonts w:ascii="Calibri" w:hAnsi="Calibri" w:cs="Calibri"/>
          <w:lang w:val="ro-RO"/>
        </w:rPr>
        <w:t>.</w:t>
      </w:r>
    </w:p>
    <w:p w14:paraId="2BF7D814" w14:textId="0430F23C" w:rsidR="00AE29BB" w:rsidRPr="00834B27" w:rsidRDefault="00AE29BB" w:rsidP="00B91E74">
      <w:pPr>
        <w:spacing w:line="276" w:lineRule="auto"/>
        <w:jc w:val="both"/>
        <w:rPr>
          <w:rFonts w:ascii="Calibri" w:hAnsi="Calibri" w:cs="Calibri"/>
          <w:lang w:val="ro-RO"/>
        </w:rPr>
      </w:pPr>
      <w:r w:rsidRPr="00834B27">
        <w:rPr>
          <w:rFonts w:ascii="Calibri" w:hAnsi="Calibri" w:cs="Calibri"/>
          <w:i/>
          <w:iCs/>
          <w:lang w:val="ro-RO"/>
        </w:rPr>
        <w:t>Not</w:t>
      </w:r>
      <w:r w:rsidR="00285F1A" w:rsidRPr="00834B27">
        <w:rPr>
          <w:rFonts w:ascii="Calibri" w:hAnsi="Calibri" w:cs="Calibri"/>
          <w:i/>
          <w:iCs/>
          <w:lang w:val="ro-RO"/>
        </w:rPr>
        <w:t>ă</w:t>
      </w:r>
      <w:r w:rsidRPr="00834B27">
        <w:rPr>
          <w:rFonts w:ascii="Calibri" w:hAnsi="Calibri" w:cs="Calibri"/>
          <w:i/>
          <w:iCs/>
          <w:lang w:val="ro-RO"/>
        </w:rPr>
        <w:t>:</w:t>
      </w:r>
      <w:r w:rsidRPr="00834B27">
        <w:rPr>
          <w:rFonts w:ascii="Calibri" w:hAnsi="Calibri" w:cs="Calibri"/>
          <w:lang w:val="ro-RO"/>
        </w:rPr>
        <w:t xml:space="preserve"> </w:t>
      </w:r>
      <w:r w:rsidR="00F90E21" w:rsidRPr="00834B27">
        <w:rPr>
          <w:rFonts w:ascii="Calibri" w:hAnsi="Calibri" w:cs="Calibri"/>
          <w:lang w:val="ro-RO"/>
        </w:rPr>
        <w:t>de remarcat</w:t>
      </w:r>
      <w:r w:rsidRPr="00834B27">
        <w:rPr>
          <w:rFonts w:ascii="Calibri" w:hAnsi="Calibri" w:cs="Calibri"/>
          <w:lang w:val="ro-RO"/>
        </w:rPr>
        <w:t xml:space="preserve"> c</w:t>
      </w:r>
      <w:r w:rsidR="006811FD" w:rsidRPr="00834B27">
        <w:rPr>
          <w:rFonts w:ascii="Calibri" w:hAnsi="Calibri" w:cs="Calibri"/>
          <w:lang w:val="ro-RO"/>
        </w:rPr>
        <w:t>ă,</w:t>
      </w:r>
      <w:r w:rsidR="00211006" w:rsidRPr="00834B27">
        <w:rPr>
          <w:rFonts w:ascii="Calibri" w:hAnsi="Calibri" w:cs="Calibri"/>
          <w:lang w:val="ro-RO"/>
        </w:rPr>
        <w:t xml:space="preserve"> </w:t>
      </w:r>
      <w:r w:rsidR="006811FD" w:rsidRPr="00834B27">
        <w:rPr>
          <w:rFonts w:ascii="Calibri" w:hAnsi="Calibri" w:cs="Calibri"/>
          <w:lang w:val="ro-RO"/>
        </w:rPr>
        <w:t>deși</w:t>
      </w:r>
      <w:r w:rsidR="00211006" w:rsidRPr="00834B27">
        <w:rPr>
          <w:rFonts w:ascii="Calibri" w:hAnsi="Calibri" w:cs="Calibri"/>
          <w:lang w:val="ro-RO"/>
        </w:rPr>
        <w:t xml:space="preserve"> cota de impozitare a dividendelor </w:t>
      </w:r>
      <w:r w:rsidR="006811FD" w:rsidRPr="00834B27">
        <w:rPr>
          <w:rFonts w:ascii="Calibri" w:hAnsi="Calibri" w:cs="Calibri"/>
          <w:lang w:val="ro-RO"/>
        </w:rPr>
        <w:t>ș</w:t>
      </w:r>
      <w:r w:rsidR="006F29EF" w:rsidRPr="00834B27">
        <w:rPr>
          <w:rFonts w:ascii="Calibri" w:hAnsi="Calibri" w:cs="Calibri"/>
          <w:lang w:val="ro-RO"/>
        </w:rPr>
        <w:t xml:space="preserve">i a </w:t>
      </w:r>
      <w:r w:rsidR="006811FD" w:rsidRPr="00834B27">
        <w:rPr>
          <w:rFonts w:ascii="Calibri" w:hAnsi="Calibri" w:cs="Calibri"/>
          <w:lang w:val="ro-RO"/>
        </w:rPr>
        <w:t>câștigurilor</w:t>
      </w:r>
      <w:r w:rsidR="006F29EF" w:rsidRPr="00834B27">
        <w:rPr>
          <w:rFonts w:ascii="Calibri" w:hAnsi="Calibri" w:cs="Calibri"/>
          <w:lang w:val="ro-RO"/>
        </w:rPr>
        <w:t xml:space="preserve"> din transferul titlurilor de valoare </w:t>
      </w:r>
      <w:r w:rsidR="00211006" w:rsidRPr="00834B27">
        <w:rPr>
          <w:rFonts w:ascii="Calibri" w:hAnsi="Calibri" w:cs="Calibri"/>
          <w:lang w:val="ro-RO"/>
        </w:rPr>
        <w:t>cre</w:t>
      </w:r>
      <w:r w:rsidR="006811FD" w:rsidRPr="00834B27">
        <w:rPr>
          <w:rFonts w:ascii="Calibri" w:hAnsi="Calibri" w:cs="Calibri"/>
          <w:lang w:val="ro-RO"/>
        </w:rPr>
        <w:t>ș</w:t>
      </w:r>
      <w:r w:rsidR="00211006" w:rsidRPr="00834B27">
        <w:rPr>
          <w:rFonts w:ascii="Calibri" w:hAnsi="Calibri" w:cs="Calibri"/>
          <w:lang w:val="ro-RO"/>
        </w:rPr>
        <w:t xml:space="preserve">te la 16% din 2026, </w:t>
      </w:r>
      <w:r w:rsidR="006811FD" w:rsidRPr="00834B27">
        <w:rPr>
          <w:rFonts w:ascii="Calibri" w:hAnsi="Calibri" w:cs="Calibri"/>
          <w:lang w:val="ro-RO"/>
        </w:rPr>
        <w:t>î</w:t>
      </w:r>
      <w:r w:rsidR="00211006" w:rsidRPr="00834B27">
        <w:rPr>
          <w:rFonts w:ascii="Calibri" w:hAnsi="Calibri" w:cs="Calibri"/>
          <w:lang w:val="ro-RO"/>
        </w:rPr>
        <w:t>n cazul venitur</w:t>
      </w:r>
      <w:r w:rsidR="006F29EF" w:rsidRPr="00834B27">
        <w:rPr>
          <w:rFonts w:ascii="Calibri" w:hAnsi="Calibri" w:cs="Calibri"/>
          <w:lang w:val="ro-RO"/>
        </w:rPr>
        <w:t>ilor din lichidare</w:t>
      </w:r>
      <w:r w:rsidR="00C55DE8" w:rsidRPr="00834B27">
        <w:rPr>
          <w:rFonts w:ascii="Calibri" w:hAnsi="Calibri" w:cs="Calibri"/>
          <w:lang w:val="ro-RO"/>
        </w:rPr>
        <w:t>,</w:t>
      </w:r>
      <w:r w:rsidR="006F29EF" w:rsidRPr="00834B27">
        <w:rPr>
          <w:rFonts w:ascii="Calibri" w:hAnsi="Calibri" w:cs="Calibri"/>
          <w:lang w:val="ro-RO"/>
        </w:rPr>
        <w:t xml:space="preserve"> cota </w:t>
      </w:r>
      <w:r w:rsidR="006811FD" w:rsidRPr="00834B27">
        <w:rPr>
          <w:rFonts w:ascii="Calibri" w:hAnsi="Calibri" w:cs="Calibri"/>
          <w:lang w:val="ro-RO"/>
        </w:rPr>
        <w:t>rămâne</w:t>
      </w:r>
      <w:r w:rsidR="006F29EF" w:rsidRPr="00834B27">
        <w:rPr>
          <w:rFonts w:ascii="Calibri" w:hAnsi="Calibri" w:cs="Calibri"/>
          <w:lang w:val="ro-RO"/>
        </w:rPr>
        <w:t xml:space="preserve"> neschimbat</w:t>
      </w:r>
      <w:r w:rsidR="006811FD" w:rsidRPr="00834B27">
        <w:rPr>
          <w:rFonts w:ascii="Calibri" w:hAnsi="Calibri" w:cs="Calibri"/>
          <w:lang w:val="ro-RO"/>
        </w:rPr>
        <w:t>ă</w:t>
      </w:r>
      <w:r w:rsidR="00285F1A" w:rsidRPr="00834B27">
        <w:rPr>
          <w:rFonts w:ascii="Calibri" w:hAnsi="Calibri" w:cs="Calibri"/>
          <w:lang w:val="ro-RO"/>
        </w:rPr>
        <w:t>.</w:t>
      </w:r>
    </w:p>
    <w:p w14:paraId="0355D896" w14:textId="77777777" w:rsidR="007C62D3" w:rsidRPr="00834B27" w:rsidRDefault="007C62D3" w:rsidP="00B91E74">
      <w:pPr>
        <w:spacing w:line="276" w:lineRule="auto"/>
        <w:jc w:val="both"/>
        <w:rPr>
          <w:rFonts w:ascii="Calibri" w:hAnsi="Calibri" w:cs="Calibri"/>
          <w:lang w:val="ro-RO"/>
        </w:rPr>
      </w:pPr>
    </w:p>
    <w:p w14:paraId="1E18F9FC" w14:textId="1AEBE61F" w:rsidR="001E78BB" w:rsidRPr="00834B27" w:rsidRDefault="001E78BB" w:rsidP="00B91E74">
      <w:pPr>
        <w:spacing w:line="276" w:lineRule="auto"/>
        <w:jc w:val="both"/>
        <w:rPr>
          <w:rFonts w:ascii="Calibri" w:hAnsi="Calibri" w:cs="Calibri"/>
          <w:b/>
          <w:bCs/>
          <w:lang w:val="ro-RO"/>
        </w:rPr>
      </w:pPr>
      <w:r w:rsidRPr="00834B27">
        <w:rPr>
          <w:rFonts w:ascii="Calibri" w:hAnsi="Calibri" w:cs="Calibri"/>
          <w:b/>
          <w:bCs/>
          <w:lang w:val="ro-RO"/>
        </w:rPr>
        <w:t>Baza de calcul a</w:t>
      </w:r>
      <w:r w:rsidR="00D71399" w:rsidRPr="00834B27">
        <w:rPr>
          <w:rFonts w:ascii="Calibri" w:hAnsi="Calibri" w:cs="Calibri"/>
          <w:b/>
          <w:bCs/>
          <w:lang w:val="ro-RO"/>
        </w:rPr>
        <w:t>l</w:t>
      </w:r>
      <w:r w:rsidRPr="00834B27">
        <w:rPr>
          <w:rFonts w:ascii="Calibri" w:hAnsi="Calibri" w:cs="Calibri"/>
          <w:b/>
          <w:bCs/>
          <w:lang w:val="ro-RO"/>
        </w:rPr>
        <w:t xml:space="preserve"> IV</w:t>
      </w:r>
      <w:r w:rsidR="00D71399" w:rsidRPr="00834B27">
        <w:rPr>
          <w:rFonts w:ascii="Calibri" w:hAnsi="Calibri" w:cs="Calibri"/>
          <w:b/>
          <w:bCs/>
          <w:lang w:val="ro-RO"/>
        </w:rPr>
        <w:t>:</w:t>
      </w:r>
    </w:p>
    <w:p w14:paraId="6D07FB10" w14:textId="0505A46F" w:rsidR="001E78BB" w:rsidRPr="00834B27" w:rsidRDefault="00556EF7" w:rsidP="005030D8">
      <w:pPr>
        <w:pStyle w:val="Listparagraf"/>
        <w:numPr>
          <w:ilvl w:val="0"/>
          <w:numId w:val="11"/>
        </w:numPr>
        <w:spacing w:line="276" w:lineRule="auto"/>
        <w:ind w:left="360"/>
        <w:contextualSpacing w:val="0"/>
        <w:jc w:val="both"/>
        <w:rPr>
          <w:rFonts w:ascii="Calibri" w:hAnsi="Calibri" w:cs="Calibri"/>
          <w:lang w:val="ro-RO"/>
        </w:rPr>
      </w:pPr>
      <w:r w:rsidRPr="00834B27">
        <w:rPr>
          <w:rFonts w:ascii="Calibri" w:hAnsi="Calibri" w:cs="Calibri"/>
          <w:lang w:val="ro-RO"/>
        </w:rPr>
        <w:t>Pentru venituri din dividende: venitul brut;</w:t>
      </w:r>
    </w:p>
    <w:p w14:paraId="496E7290" w14:textId="37BD52EA" w:rsidR="00556EF7" w:rsidRPr="00834B27" w:rsidRDefault="00556EF7" w:rsidP="005030D8">
      <w:pPr>
        <w:pStyle w:val="Listparagraf"/>
        <w:numPr>
          <w:ilvl w:val="0"/>
          <w:numId w:val="11"/>
        </w:numPr>
        <w:spacing w:line="276" w:lineRule="auto"/>
        <w:ind w:left="360"/>
        <w:contextualSpacing w:val="0"/>
        <w:jc w:val="both"/>
        <w:rPr>
          <w:rFonts w:ascii="Calibri" w:hAnsi="Calibri" w:cs="Calibri"/>
          <w:lang w:val="ro-RO"/>
        </w:rPr>
      </w:pPr>
      <w:r w:rsidRPr="00834B27">
        <w:rPr>
          <w:rFonts w:ascii="Calibri" w:hAnsi="Calibri" w:cs="Calibri"/>
          <w:lang w:val="ro-RO"/>
        </w:rPr>
        <w:lastRenderedPageBreak/>
        <w:t xml:space="preserve">Pentru venituri din </w:t>
      </w:r>
      <w:r w:rsidR="006811FD" w:rsidRPr="00834B27">
        <w:rPr>
          <w:rFonts w:ascii="Calibri" w:hAnsi="Calibri" w:cs="Calibri"/>
          <w:lang w:val="ro-RO"/>
        </w:rPr>
        <w:t>dobânzi</w:t>
      </w:r>
      <w:r w:rsidRPr="00834B27">
        <w:rPr>
          <w:rFonts w:ascii="Calibri" w:hAnsi="Calibri" w:cs="Calibri"/>
          <w:lang w:val="ro-RO"/>
        </w:rPr>
        <w:t>: venitul brut;</w:t>
      </w:r>
    </w:p>
    <w:p w14:paraId="11E0576F" w14:textId="09F78A18" w:rsidR="00556EF7" w:rsidRPr="00834B27" w:rsidRDefault="00556EF7" w:rsidP="005030D8">
      <w:pPr>
        <w:pStyle w:val="Listparagraf"/>
        <w:numPr>
          <w:ilvl w:val="0"/>
          <w:numId w:val="11"/>
        </w:numPr>
        <w:spacing w:line="276" w:lineRule="auto"/>
        <w:ind w:left="360"/>
        <w:contextualSpacing w:val="0"/>
        <w:jc w:val="both"/>
        <w:rPr>
          <w:rFonts w:ascii="Calibri" w:hAnsi="Calibri" w:cs="Calibri"/>
          <w:lang w:val="ro-RO"/>
        </w:rPr>
      </w:pPr>
      <w:r w:rsidRPr="00834B27">
        <w:rPr>
          <w:rFonts w:ascii="Calibri" w:hAnsi="Calibri" w:cs="Calibri"/>
          <w:lang w:val="ro-RO"/>
        </w:rPr>
        <w:t xml:space="preserve">Pentru </w:t>
      </w:r>
      <w:r w:rsidR="006811FD" w:rsidRPr="00834B27">
        <w:rPr>
          <w:rFonts w:ascii="Calibri" w:hAnsi="Calibri" w:cs="Calibri"/>
          <w:lang w:val="ro-RO"/>
        </w:rPr>
        <w:t>câștigul</w:t>
      </w:r>
      <w:r w:rsidRPr="00834B27">
        <w:rPr>
          <w:rFonts w:ascii="Calibri" w:hAnsi="Calibri" w:cs="Calibri"/>
          <w:lang w:val="ro-RO"/>
        </w:rPr>
        <w:t xml:space="preserve"> din </w:t>
      </w:r>
      <w:r w:rsidR="003106B5" w:rsidRPr="00834B27">
        <w:rPr>
          <w:rFonts w:ascii="Calibri" w:hAnsi="Calibri" w:cs="Calibri"/>
          <w:lang w:val="ro-RO"/>
        </w:rPr>
        <w:t>transferul de titluri de valoare</w:t>
      </w:r>
      <w:r w:rsidR="003B19D4" w:rsidRPr="00834B27">
        <w:rPr>
          <w:rStyle w:val="Referinnotdesubsol"/>
          <w:rFonts w:ascii="Calibri" w:hAnsi="Calibri" w:cs="Calibri"/>
          <w:lang w:val="ro-RO"/>
        </w:rPr>
        <w:footnoteReference w:id="11"/>
      </w:r>
      <w:r w:rsidR="003106B5" w:rsidRPr="00834B27">
        <w:rPr>
          <w:rFonts w:ascii="Calibri" w:hAnsi="Calibri" w:cs="Calibri"/>
          <w:lang w:val="ro-RO"/>
        </w:rPr>
        <w:t>:</w:t>
      </w:r>
    </w:p>
    <w:p w14:paraId="68DCC695" w14:textId="60A7793E" w:rsidR="003106B5" w:rsidRPr="00834B27" w:rsidRDefault="003B19D4" w:rsidP="00B91E74">
      <w:pPr>
        <w:pStyle w:val="Listparagraf"/>
        <w:numPr>
          <w:ilvl w:val="0"/>
          <w:numId w:val="1"/>
        </w:numPr>
        <w:spacing w:line="276" w:lineRule="auto"/>
        <w:contextualSpacing w:val="0"/>
        <w:jc w:val="both"/>
        <w:rPr>
          <w:rFonts w:ascii="Calibri" w:hAnsi="Calibri" w:cs="Calibri"/>
          <w:lang w:val="ro-RO"/>
        </w:rPr>
      </w:pPr>
      <w:r w:rsidRPr="00834B27">
        <w:rPr>
          <w:rFonts w:ascii="Calibri" w:hAnsi="Calibri" w:cs="Calibri"/>
          <w:lang w:val="ro-RO"/>
        </w:rPr>
        <w:t>l</w:t>
      </w:r>
      <w:r w:rsidR="003106B5" w:rsidRPr="00834B27">
        <w:rPr>
          <w:rFonts w:ascii="Calibri" w:hAnsi="Calibri" w:cs="Calibri"/>
          <w:lang w:val="ro-RO"/>
        </w:rPr>
        <w:t xml:space="preserve">a transferul </w:t>
      </w:r>
      <w:r w:rsidR="006811FD" w:rsidRPr="00834B27">
        <w:rPr>
          <w:rFonts w:ascii="Calibri" w:hAnsi="Calibri" w:cs="Calibri"/>
          <w:lang w:val="ro-RO"/>
        </w:rPr>
        <w:t>păr</w:t>
      </w:r>
      <w:r w:rsidR="00D77C4B" w:rsidRPr="00834B27">
        <w:rPr>
          <w:rFonts w:ascii="Calibri" w:hAnsi="Calibri" w:cs="Calibri"/>
          <w:lang w:val="ro-RO"/>
        </w:rPr>
        <w:t>ț</w:t>
      </w:r>
      <w:r w:rsidR="006811FD" w:rsidRPr="00834B27">
        <w:rPr>
          <w:rFonts w:ascii="Calibri" w:hAnsi="Calibri" w:cs="Calibri"/>
          <w:lang w:val="ro-RO"/>
        </w:rPr>
        <w:t>ilor</w:t>
      </w:r>
      <w:r w:rsidR="001471B2" w:rsidRPr="00834B27">
        <w:rPr>
          <w:rFonts w:ascii="Calibri" w:hAnsi="Calibri" w:cs="Calibri"/>
          <w:lang w:val="ro-RO"/>
        </w:rPr>
        <w:t xml:space="preserve"> sociale </w:t>
      </w:r>
      <w:r w:rsidR="006811FD" w:rsidRPr="00834B27">
        <w:rPr>
          <w:rFonts w:ascii="Calibri" w:hAnsi="Calibri" w:cs="Calibri"/>
          <w:lang w:val="ro-RO"/>
        </w:rPr>
        <w:t>ș</w:t>
      </w:r>
      <w:r w:rsidR="001471B2" w:rsidRPr="00834B27">
        <w:rPr>
          <w:rFonts w:ascii="Calibri" w:hAnsi="Calibri" w:cs="Calibri"/>
          <w:lang w:val="ro-RO"/>
        </w:rPr>
        <w:t xml:space="preserve">i al </w:t>
      </w:r>
      <w:r w:rsidR="006811FD" w:rsidRPr="00834B27">
        <w:rPr>
          <w:rFonts w:ascii="Calibri" w:hAnsi="Calibri" w:cs="Calibri"/>
          <w:lang w:val="ro-RO"/>
        </w:rPr>
        <w:t>ac</w:t>
      </w:r>
      <w:r w:rsidR="00D77C4B" w:rsidRPr="00834B27">
        <w:rPr>
          <w:rFonts w:ascii="Calibri" w:hAnsi="Calibri" w:cs="Calibri"/>
          <w:lang w:val="ro-RO"/>
        </w:rPr>
        <w:t>ț</w:t>
      </w:r>
      <w:r w:rsidR="006811FD" w:rsidRPr="00834B27">
        <w:rPr>
          <w:rFonts w:ascii="Calibri" w:hAnsi="Calibri" w:cs="Calibri"/>
          <w:lang w:val="ro-RO"/>
        </w:rPr>
        <w:t>iunilor</w:t>
      </w:r>
      <w:r w:rsidR="001471B2" w:rsidRPr="00834B27">
        <w:rPr>
          <w:rFonts w:ascii="Calibri" w:hAnsi="Calibri" w:cs="Calibri"/>
          <w:lang w:val="ro-RO"/>
        </w:rPr>
        <w:t xml:space="preserve"> care nu sunt </w:t>
      </w:r>
      <w:r w:rsidR="006811FD" w:rsidRPr="00834B27">
        <w:rPr>
          <w:rFonts w:ascii="Calibri" w:hAnsi="Calibri" w:cs="Calibri"/>
          <w:lang w:val="ro-RO"/>
        </w:rPr>
        <w:t>tranzac</w:t>
      </w:r>
      <w:r w:rsidR="00D77C4B" w:rsidRPr="00834B27">
        <w:rPr>
          <w:rFonts w:ascii="Calibri" w:hAnsi="Calibri" w:cs="Calibri"/>
          <w:lang w:val="ro-RO"/>
        </w:rPr>
        <w:t>ț</w:t>
      </w:r>
      <w:r w:rsidR="006811FD" w:rsidRPr="00834B27">
        <w:rPr>
          <w:rFonts w:ascii="Calibri" w:hAnsi="Calibri" w:cs="Calibri"/>
          <w:lang w:val="ro-RO"/>
        </w:rPr>
        <w:t>ionate</w:t>
      </w:r>
      <w:r w:rsidR="001471B2" w:rsidRPr="00834B27">
        <w:rPr>
          <w:rFonts w:ascii="Calibri" w:hAnsi="Calibri" w:cs="Calibri"/>
          <w:lang w:val="ro-RO"/>
        </w:rPr>
        <w:t xml:space="preserve">, baza de calcul al IV </w:t>
      </w:r>
      <w:r w:rsidR="006F2F3C" w:rsidRPr="00834B27">
        <w:rPr>
          <w:rFonts w:ascii="Calibri" w:hAnsi="Calibri" w:cs="Calibri"/>
          <w:lang w:val="ro-RO"/>
        </w:rPr>
        <w:t xml:space="preserve">este venitul </w:t>
      </w:r>
      <w:r w:rsidR="006811FD" w:rsidRPr="00834B27">
        <w:rPr>
          <w:rFonts w:ascii="Calibri" w:hAnsi="Calibri" w:cs="Calibri"/>
          <w:lang w:val="ro-RO"/>
        </w:rPr>
        <w:t>ob</w:t>
      </w:r>
      <w:r w:rsidR="00D77C4B" w:rsidRPr="00834B27">
        <w:rPr>
          <w:rFonts w:ascii="Calibri" w:hAnsi="Calibri" w:cs="Calibri"/>
          <w:lang w:val="ro-RO"/>
        </w:rPr>
        <w:t>ț</w:t>
      </w:r>
      <w:r w:rsidR="006811FD" w:rsidRPr="00834B27">
        <w:rPr>
          <w:rFonts w:ascii="Calibri" w:hAnsi="Calibri" w:cs="Calibri"/>
          <w:lang w:val="ro-RO"/>
        </w:rPr>
        <w:t>inut</w:t>
      </w:r>
      <w:r w:rsidR="006F2F3C" w:rsidRPr="00834B27">
        <w:rPr>
          <w:rFonts w:ascii="Calibri" w:hAnsi="Calibri" w:cs="Calibri"/>
          <w:lang w:val="ro-RO"/>
        </w:rPr>
        <w:t xml:space="preserve"> din </w:t>
      </w:r>
      <w:r w:rsidR="006811FD" w:rsidRPr="00834B27">
        <w:rPr>
          <w:rFonts w:ascii="Calibri" w:hAnsi="Calibri" w:cs="Calibri"/>
          <w:lang w:val="ro-RO"/>
        </w:rPr>
        <w:t>vânzare</w:t>
      </w:r>
      <w:r w:rsidR="006F2F3C" w:rsidRPr="00834B27">
        <w:rPr>
          <w:rFonts w:ascii="Calibri" w:hAnsi="Calibri" w:cs="Calibri"/>
          <w:lang w:val="ro-RO"/>
        </w:rPr>
        <w:t xml:space="preserve"> minus valoarea fiscal</w:t>
      </w:r>
      <w:r w:rsidR="006811FD" w:rsidRPr="00834B27">
        <w:rPr>
          <w:rFonts w:ascii="Calibri" w:hAnsi="Calibri" w:cs="Calibri"/>
          <w:lang w:val="ro-RO"/>
        </w:rPr>
        <w:t>ă</w:t>
      </w:r>
      <w:r w:rsidR="006F2F3C" w:rsidRPr="00834B27">
        <w:rPr>
          <w:rFonts w:ascii="Calibri" w:hAnsi="Calibri" w:cs="Calibri"/>
          <w:lang w:val="ro-RO"/>
        </w:rPr>
        <w:t xml:space="preserve"> a </w:t>
      </w:r>
      <w:r w:rsidR="006811FD" w:rsidRPr="00834B27">
        <w:rPr>
          <w:rFonts w:ascii="Calibri" w:hAnsi="Calibri" w:cs="Calibri"/>
          <w:lang w:val="ro-RO"/>
        </w:rPr>
        <w:t>titlurilor</w:t>
      </w:r>
      <w:r w:rsidR="008C0450" w:rsidRPr="00834B27">
        <w:rPr>
          <w:rFonts w:ascii="Calibri" w:hAnsi="Calibri" w:cs="Calibri"/>
          <w:lang w:val="ro-RO"/>
        </w:rPr>
        <w:t>. Impozitul se calculeaza la nivelul anului, castigurile fiind compensate cu pierderile din acelasi an</w:t>
      </w:r>
      <w:r w:rsidR="00057D24" w:rsidRPr="00834B27">
        <w:rPr>
          <w:rFonts w:ascii="Calibri" w:hAnsi="Calibri" w:cs="Calibri"/>
          <w:lang w:val="ro-RO"/>
        </w:rPr>
        <w:t>;</w:t>
      </w:r>
    </w:p>
    <w:p w14:paraId="2DD1EECE" w14:textId="795F4CA1" w:rsidR="00057D24" w:rsidRPr="00834B27" w:rsidRDefault="003B19D4" w:rsidP="00B91E74">
      <w:pPr>
        <w:pStyle w:val="Listparagraf"/>
        <w:numPr>
          <w:ilvl w:val="0"/>
          <w:numId w:val="1"/>
        </w:numPr>
        <w:spacing w:line="276" w:lineRule="auto"/>
        <w:contextualSpacing w:val="0"/>
        <w:jc w:val="both"/>
        <w:rPr>
          <w:rFonts w:ascii="Calibri" w:hAnsi="Calibri" w:cs="Calibri"/>
          <w:lang w:val="ro-RO"/>
        </w:rPr>
      </w:pPr>
      <w:r w:rsidRPr="00834B27">
        <w:rPr>
          <w:rFonts w:ascii="Calibri" w:hAnsi="Calibri" w:cs="Calibri"/>
          <w:lang w:val="ro-RO"/>
        </w:rPr>
        <w:t>l</w:t>
      </w:r>
      <w:r w:rsidR="00057D24" w:rsidRPr="00834B27">
        <w:rPr>
          <w:rFonts w:ascii="Calibri" w:hAnsi="Calibri" w:cs="Calibri"/>
          <w:lang w:val="ro-RO"/>
        </w:rPr>
        <w:t xml:space="preserve">a transferul de titluri de valoare </w:t>
      </w:r>
      <w:r w:rsidR="006811FD" w:rsidRPr="00834B27">
        <w:rPr>
          <w:rFonts w:ascii="Calibri" w:hAnsi="Calibri" w:cs="Calibri"/>
          <w:lang w:val="ro-RO"/>
        </w:rPr>
        <w:t>tranzac</w:t>
      </w:r>
      <w:r w:rsidR="00D77C4B" w:rsidRPr="00834B27">
        <w:rPr>
          <w:rFonts w:ascii="Calibri" w:hAnsi="Calibri" w:cs="Calibri"/>
          <w:lang w:val="ro-RO"/>
        </w:rPr>
        <w:t>ț</w:t>
      </w:r>
      <w:r w:rsidR="006811FD" w:rsidRPr="00834B27">
        <w:rPr>
          <w:rFonts w:ascii="Calibri" w:hAnsi="Calibri" w:cs="Calibri"/>
          <w:lang w:val="ro-RO"/>
        </w:rPr>
        <w:t>ionate</w:t>
      </w:r>
      <w:r w:rsidR="00D21BD8" w:rsidRPr="00834B27">
        <w:rPr>
          <w:rFonts w:ascii="Calibri" w:hAnsi="Calibri" w:cs="Calibri"/>
          <w:lang w:val="ro-RO"/>
        </w:rPr>
        <w:t xml:space="preserve"> prin intermediari rom</w:t>
      </w:r>
      <w:r w:rsidR="006811FD" w:rsidRPr="00834B27">
        <w:rPr>
          <w:rFonts w:ascii="Calibri" w:hAnsi="Calibri" w:cs="Calibri"/>
          <w:lang w:val="ro-RO"/>
        </w:rPr>
        <w:t>â</w:t>
      </w:r>
      <w:r w:rsidR="00D21BD8" w:rsidRPr="00834B27">
        <w:rPr>
          <w:rFonts w:ascii="Calibri" w:hAnsi="Calibri" w:cs="Calibri"/>
          <w:lang w:val="ro-RO"/>
        </w:rPr>
        <w:t>ni</w:t>
      </w:r>
      <w:r w:rsidR="0039531C" w:rsidRPr="00834B27">
        <w:rPr>
          <w:rFonts w:ascii="Calibri" w:hAnsi="Calibri" w:cs="Calibri"/>
          <w:lang w:val="ro-RO"/>
        </w:rPr>
        <w:t xml:space="preserve">, baza de calcul al IV este </w:t>
      </w:r>
      <w:r w:rsidR="006811FD" w:rsidRPr="00834B27">
        <w:rPr>
          <w:rFonts w:ascii="Calibri" w:hAnsi="Calibri" w:cs="Calibri"/>
          <w:lang w:val="ro-RO"/>
        </w:rPr>
        <w:t>câștigul</w:t>
      </w:r>
      <w:r w:rsidR="0039531C" w:rsidRPr="00834B27">
        <w:rPr>
          <w:rFonts w:ascii="Calibri" w:hAnsi="Calibri" w:cs="Calibri"/>
          <w:lang w:val="ro-RO"/>
        </w:rPr>
        <w:t xml:space="preserve"> pentru fiecare </w:t>
      </w:r>
      <w:r w:rsidR="006811FD" w:rsidRPr="00834B27">
        <w:rPr>
          <w:rFonts w:ascii="Calibri" w:hAnsi="Calibri" w:cs="Calibri"/>
          <w:lang w:val="ro-RO"/>
        </w:rPr>
        <w:t>vânzare</w:t>
      </w:r>
      <w:r w:rsidR="0039531C" w:rsidRPr="00834B27">
        <w:rPr>
          <w:rFonts w:ascii="Calibri" w:hAnsi="Calibri" w:cs="Calibri"/>
          <w:lang w:val="ro-RO"/>
        </w:rPr>
        <w:t xml:space="preserve">, </w:t>
      </w:r>
      <w:r w:rsidR="006811FD" w:rsidRPr="00834B27">
        <w:rPr>
          <w:rFonts w:ascii="Calibri" w:hAnsi="Calibri" w:cs="Calibri"/>
          <w:lang w:val="ro-RO"/>
        </w:rPr>
        <w:t>fără</w:t>
      </w:r>
      <w:r w:rsidR="0039531C" w:rsidRPr="00834B27">
        <w:rPr>
          <w:rFonts w:ascii="Calibri" w:hAnsi="Calibri" w:cs="Calibri"/>
          <w:lang w:val="ro-RO"/>
        </w:rPr>
        <w:t xml:space="preserve"> a putea compensa </w:t>
      </w:r>
      <w:r w:rsidR="006811FD" w:rsidRPr="00834B27">
        <w:rPr>
          <w:rFonts w:ascii="Calibri" w:hAnsi="Calibri" w:cs="Calibri"/>
          <w:lang w:val="ro-RO"/>
        </w:rPr>
        <w:t>câștigul</w:t>
      </w:r>
      <w:r w:rsidR="0039531C" w:rsidRPr="00834B27">
        <w:rPr>
          <w:rFonts w:ascii="Calibri" w:hAnsi="Calibri" w:cs="Calibri"/>
          <w:lang w:val="ro-RO"/>
        </w:rPr>
        <w:t xml:space="preserve"> </w:t>
      </w:r>
      <w:r w:rsidR="001A71C5" w:rsidRPr="00834B27">
        <w:rPr>
          <w:rFonts w:ascii="Calibri" w:hAnsi="Calibri" w:cs="Calibri"/>
          <w:lang w:val="ro-RO"/>
        </w:rPr>
        <w:t xml:space="preserve">din unele </w:t>
      </w:r>
      <w:r w:rsidR="006811FD" w:rsidRPr="00834B27">
        <w:rPr>
          <w:rFonts w:ascii="Calibri" w:hAnsi="Calibri" w:cs="Calibri"/>
          <w:lang w:val="ro-RO"/>
        </w:rPr>
        <w:t>tranzac</w:t>
      </w:r>
      <w:r w:rsidR="00D77C4B" w:rsidRPr="00834B27">
        <w:rPr>
          <w:rFonts w:ascii="Calibri" w:hAnsi="Calibri" w:cs="Calibri"/>
          <w:lang w:val="ro-RO"/>
        </w:rPr>
        <w:t>ț</w:t>
      </w:r>
      <w:r w:rsidR="006811FD" w:rsidRPr="00834B27">
        <w:rPr>
          <w:rFonts w:ascii="Calibri" w:hAnsi="Calibri" w:cs="Calibri"/>
          <w:lang w:val="ro-RO"/>
        </w:rPr>
        <w:t>ii</w:t>
      </w:r>
      <w:r w:rsidR="001A71C5" w:rsidRPr="00834B27">
        <w:rPr>
          <w:rFonts w:ascii="Calibri" w:hAnsi="Calibri" w:cs="Calibri"/>
          <w:lang w:val="ro-RO"/>
        </w:rPr>
        <w:t xml:space="preserve"> </w:t>
      </w:r>
      <w:r w:rsidR="0039531C" w:rsidRPr="00834B27">
        <w:rPr>
          <w:rFonts w:ascii="Calibri" w:hAnsi="Calibri" w:cs="Calibri"/>
          <w:lang w:val="ro-RO"/>
        </w:rPr>
        <w:t>cu pierderi</w:t>
      </w:r>
      <w:r w:rsidR="001A71C5" w:rsidRPr="00834B27">
        <w:rPr>
          <w:rFonts w:ascii="Calibri" w:hAnsi="Calibri" w:cs="Calibri"/>
          <w:lang w:val="ro-RO"/>
        </w:rPr>
        <w:t xml:space="preserve">le din alte </w:t>
      </w:r>
      <w:r w:rsidR="006811FD" w:rsidRPr="00834B27">
        <w:rPr>
          <w:rFonts w:ascii="Calibri" w:hAnsi="Calibri" w:cs="Calibri"/>
          <w:lang w:val="ro-RO"/>
        </w:rPr>
        <w:t>tranzac</w:t>
      </w:r>
      <w:r w:rsidR="00D77C4B" w:rsidRPr="00834B27">
        <w:rPr>
          <w:rFonts w:ascii="Calibri" w:hAnsi="Calibri" w:cs="Calibri"/>
          <w:lang w:val="ro-RO"/>
        </w:rPr>
        <w:t>ț</w:t>
      </w:r>
      <w:r w:rsidR="006811FD" w:rsidRPr="00834B27">
        <w:rPr>
          <w:rFonts w:ascii="Calibri" w:hAnsi="Calibri" w:cs="Calibri"/>
          <w:lang w:val="ro-RO"/>
        </w:rPr>
        <w:t>ii</w:t>
      </w:r>
      <w:r w:rsidR="001A71C5" w:rsidRPr="00834B27">
        <w:rPr>
          <w:rFonts w:ascii="Calibri" w:hAnsi="Calibri" w:cs="Calibri"/>
          <w:lang w:val="ro-RO"/>
        </w:rPr>
        <w:t>;</w:t>
      </w:r>
    </w:p>
    <w:p w14:paraId="79A34903" w14:textId="168E1854" w:rsidR="001A71C5" w:rsidRPr="00834B27" w:rsidRDefault="003B19D4" w:rsidP="00B91E74">
      <w:pPr>
        <w:pStyle w:val="Listparagraf"/>
        <w:numPr>
          <w:ilvl w:val="0"/>
          <w:numId w:val="1"/>
        </w:numPr>
        <w:spacing w:line="276" w:lineRule="auto"/>
        <w:contextualSpacing w:val="0"/>
        <w:jc w:val="both"/>
        <w:rPr>
          <w:rFonts w:ascii="Calibri" w:hAnsi="Calibri" w:cs="Calibri"/>
          <w:lang w:val="ro-RO"/>
        </w:rPr>
      </w:pPr>
      <w:r w:rsidRPr="00834B27">
        <w:rPr>
          <w:rFonts w:ascii="Calibri" w:hAnsi="Calibri" w:cs="Calibri"/>
          <w:lang w:val="ro-RO"/>
        </w:rPr>
        <w:t>l</w:t>
      </w:r>
      <w:r w:rsidR="001A71C5" w:rsidRPr="00834B27">
        <w:rPr>
          <w:rFonts w:ascii="Calibri" w:hAnsi="Calibri" w:cs="Calibri"/>
          <w:lang w:val="ro-RO"/>
        </w:rPr>
        <w:t xml:space="preserve">a transferul de </w:t>
      </w:r>
      <w:r w:rsidR="009905BB" w:rsidRPr="00834B27">
        <w:rPr>
          <w:rFonts w:ascii="Calibri" w:hAnsi="Calibri" w:cs="Calibri"/>
          <w:lang w:val="ro-RO"/>
        </w:rPr>
        <w:t xml:space="preserve">titluri de valoare </w:t>
      </w:r>
      <w:r w:rsidR="006811FD" w:rsidRPr="00834B27">
        <w:rPr>
          <w:rFonts w:ascii="Calibri" w:hAnsi="Calibri" w:cs="Calibri"/>
          <w:lang w:val="ro-RO"/>
        </w:rPr>
        <w:t>tranzac</w:t>
      </w:r>
      <w:r w:rsidR="00D77C4B" w:rsidRPr="00834B27">
        <w:rPr>
          <w:rFonts w:ascii="Calibri" w:hAnsi="Calibri" w:cs="Calibri"/>
          <w:lang w:val="ro-RO"/>
        </w:rPr>
        <w:t>ț</w:t>
      </w:r>
      <w:r w:rsidR="006811FD" w:rsidRPr="00834B27">
        <w:rPr>
          <w:rFonts w:ascii="Calibri" w:hAnsi="Calibri" w:cs="Calibri"/>
          <w:lang w:val="ro-RO"/>
        </w:rPr>
        <w:t>ionate</w:t>
      </w:r>
      <w:r w:rsidR="009905BB" w:rsidRPr="00834B27">
        <w:rPr>
          <w:rFonts w:ascii="Calibri" w:hAnsi="Calibri" w:cs="Calibri"/>
          <w:lang w:val="ro-RO"/>
        </w:rPr>
        <w:t xml:space="preserve"> prin intermediari </w:t>
      </w:r>
      <w:r w:rsidR="006811FD" w:rsidRPr="00834B27">
        <w:rPr>
          <w:rFonts w:ascii="Calibri" w:hAnsi="Calibri" w:cs="Calibri"/>
          <w:lang w:val="ro-RO"/>
        </w:rPr>
        <w:t>nereziden</w:t>
      </w:r>
      <w:r w:rsidR="00D77C4B" w:rsidRPr="00834B27">
        <w:rPr>
          <w:rFonts w:ascii="Calibri" w:hAnsi="Calibri" w:cs="Calibri"/>
          <w:lang w:val="ro-RO"/>
        </w:rPr>
        <w:t>ț</w:t>
      </w:r>
      <w:r w:rsidR="006811FD" w:rsidRPr="00834B27">
        <w:rPr>
          <w:rFonts w:ascii="Calibri" w:hAnsi="Calibri" w:cs="Calibri"/>
          <w:lang w:val="ro-RO"/>
        </w:rPr>
        <w:t>i</w:t>
      </w:r>
      <w:r w:rsidR="00FB0E4B" w:rsidRPr="00834B27">
        <w:rPr>
          <w:rFonts w:ascii="Calibri" w:hAnsi="Calibri" w:cs="Calibri"/>
          <w:lang w:val="ro-RO"/>
        </w:rPr>
        <w:t>, baza de calcul al IV este egal</w:t>
      </w:r>
      <w:r w:rsidR="006811FD" w:rsidRPr="00834B27">
        <w:rPr>
          <w:rFonts w:ascii="Calibri" w:hAnsi="Calibri" w:cs="Calibri"/>
          <w:lang w:val="ro-RO"/>
        </w:rPr>
        <w:t>ă</w:t>
      </w:r>
      <w:r w:rsidR="00FB0E4B" w:rsidRPr="00834B27">
        <w:rPr>
          <w:rFonts w:ascii="Calibri" w:hAnsi="Calibri" w:cs="Calibri"/>
          <w:lang w:val="ro-RO"/>
        </w:rPr>
        <w:t xml:space="preserve"> cu suma </w:t>
      </w:r>
      <w:r w:rsidR="006811FD" w:rsidRPr="00834B27">
        <w:rPr>
          <w:rFonts w:ascii="Calibri" w:hAnsi="Calibri" w:cs="Calibri"/>
          <w:lang w:val="ro-RO"/>
        </w:rPr>
        <w:t>câștigurilor</w:t>
      </w:r>
      <w:r w:rsidR="00FB0E4B" w:rsidRPr="00834B27">
        <w:rPr>
          <w:rFonts w:ascii="Calibri" w:hAnsi="Calibri" w:cs="Calibri"/>
          <w:lang w:val="ro-RO"/>
        </w:rPr>
        <w:t xml:space="preserve"> din </w:t>
      </w:r>
      <w:r w:rsidR="006811FD" w:rsidRPr="00834B27">
        <w:rPr>
          <w:rFonts w:ascii="Calibri" w:hAnsi="Calibri" w:cs="Calibri"/>
          <w:lang w:val="ro-RO"/>
        </w:rPr>
        <w:t>tranzac</w:t>
      </w:r>
      <w:r w:rsidR="00D77C4B" w:rsidRPr="00834B27">
        <w:rPr>
          <w:rFonts w:ascii="Calibri" w:hAnsi="Calibri" w:cs="Calibri"/>
          <w:lang w:val="ro-RO"/>
        </w:rPr>
        <w:t>ț</w:t>
      </w:r>
      <w:r w:rsidR="006811FD" w:rsidRPr="00834B27">
        <w:rPr>
          <w:rFonts w:ascii="Calibri" w:hAnsi="Calibri" w:cs="Calibri"/>
          <w:lang w:val="ro-RO"/>
        </w:rPr>
        <w:t>ionare</w:t>
      </w:r>
      <w:r w:rsidR="00FB0E4B" w:rsidRPr="00834B27">
        <w:rPr>
          <w:rFonts w:ascii="Calibri" w:hAnsi="Calibri" w:cs="Calibri"/>
          <w:lang w:val="ro-RO"/>
        </w:rPr>
        <w:t>, minus suma pierderilor</w:t>
      </w:r>
      <w:r w:rsidR="00A05F80" w:rsidRPr="00834B27">
        <w:rPr>
          <w:rFonts w:ascii="Calibri" w:hAnsi="Calibri" w:cs="Calibri"/>
          <w:lang w:val="ro-RO"/>
        </w:rPr>
        <w:t>, minus comisioanele intermediarilor.</w:t>
      </w:r>
    </w:p>
    <w:p w14:paraId="2B5E9045" w14:textId="3AF9CE01" w:rsidR="00F533BB" w:rsidRPr="00834B27" w:rsidRDefault="00591FE5" w:rsidP="005030D8">
      <w:pPr>
        <w:pStyle w:val="Listparagraf"/>
        <w:numPr>
          <w:ilvl w:val="0"/>
          <w:numId w:val="11"/>
        </w:numPr>
        <w:spacing w:line="276" w:lineRule="auto"/>
        <w:ind w:left="360"/>
        <w:contextualSpacing w:val="0"/>
        <w:jc w:val="both"/>
        <w:rPr>
          <w:rFonts w:ascii="Calibri" w:hAnsi="Calibri" w:cs="Calibri"/>
          <w:lang w:val="ro-RO"/>
        </w:rPr>
      </w:pPr>
      <w:r w:rsidRPr="00834B27">
        <w:rPr>
          <w:rFonts w:ascii="Calibri" w:hAnsi="Calibri" w:cs="Calibri"/>
          <w:lang w:val="ro-RO"/>
        </w:rPr>
        <w:t xml:space="preserve">Pentru venituri din lichidare: </w:t>
      </w:r>
      <w:r w:rsidR="006811FD" w:rsidRPr="00834B27">
        <w:rPr>
          <w:rFonts w:ascii="Calibri" w:hAnsi="Calibri" w:cs="Calibri"/>
          <w:lang w:val="ro-RO"/>
        </w:rPr>
        <w:t>diferen</w:t>
      </w:r>
      <w:r w:rsidR="00D77C4B" w:rsidRPr="00834B27">
        <w:rPr>
          <w:rFonts w:ascii="Calibri" w:hAnsi="Calibri" w:cs="Calibri"/>
          <w:lang w:val="ro-RO"/>
        </w:rPr>
        <w:t>ț</w:t>
      </w:r>
      <w:r w:rsidR="006811FD" w:rsidRPr="00834B27">
        <w:rPr>
          <w:rFonts w:ascii="Calibri" w:hAnsi="Calibri" w:cs="Calibri"/>
          <w:lang w:val="ro-RO"/>
        </w:rPr>
        <w:t>a</w:t>
      </w:r>
      <w:r w:rsidRPr="00834B27">
        <w:rPr>
          <w:rFonts w:ascii="Calibri" w:hAnsi="Calibri" w:cs="Calibri"/>
          <w:lang w:val="ro-RO"/>
        </w:rPr>
        <w:t xml:space="preserve"> dintre </w:t>
      </w:r>
      <w:r w:rsidR="00104E6C" w:rsidRPr="00834B27">
        <w:rPr>
          <w:rFonts w:ascii="Calibri" w:hAnsi="Calibri" w:cs="Calibri"/>
          <w:lang w:val="ro-RO"/>
        </w:rPr>
        <w:t>suma primit</w:t>
      </w:r>
      <w:r w:rsidR="006811FD" w:rsidRPr="00834B27">
        <w:rPr>
          <w:rFonts w:ascii="Calibri" w:hAnsi="Calibri" w:cs="Calibri"/>
          <w:lang w:val="ro-RO"/>
        </w:rPr>
        <w:t>ă</w:t>
      </w:r>
      <w:r w:rsidR="00104E6C" w:rsidRPr="00834B27">
        <w:rPr>
          <w:rFonts w:ascii="Calibri" w:hAnsi="Calibri" w:cs="Calibri"/>
          <w:lang w:val="ro-RO"/>
        </w:rPr>
        <w:t xml:space="preserve"> ca urmare a </w:t>
      </w:r>
      <w:r w:rsidR="006811FD" w:rsidRPr="00834B27">
        <w:rPr>
          <w:rFonts w:ascii="Calibri" w:hAnsi="Calibri" w:cs="Calibri"/>
          <w:lang w:val="ro-RO"/>
        </w:rPr>
        <w:t>lichidării</w:t>
      </w:r>
      <w:r w:rsidR="00104E6C" w:rsidRPr="00834B27">
        <w:rPr>
          <w:rFonts w:ascii="Calibri" w:hAnsi="Calibri" w:cs="Calibri"/>
          <w:lang w:val="ro-RO"/>
        </w:rPr>
        <w:t xml:space="preserve"> </w:t>
      </w:r>
      <w:r w:rsidR="006811FD" w:rsidRPr="00834B27">
        <w:rPr>
          <w:rFonts w:ascii="Calibri" w:hAnsi="Calibri" w:cs="Calibri"/>
          <w:lang w:val="ro-RO"/>
        </w:rPr>
        <w:t>ș</w:t>
      </w:r>
      <w:r w:rsidR="00104E6C" w:rsidRPr="00834B27">
        <w:rPr>
          <w:rFonts w:ascii="Calibri" w:hAnsi="Calibri" w:cs="Calibri"/>
          <w:lang w:val="ro-RO"/>
        </w:rPr>
        <w:t>i valoarea fiscal</w:t>
      </w:r>
      <w:r w:rsidR="006811FD" w:rsidRPr="00834B27">
        <w:rPr>
          <w:rFonts w:ascii="Calibri" w:hAnsi="Calibri" w:cs="Calibri"/>
          <w:lang w:val="ro-RO"/>
        </w:rPr>
        <w:t>ă</w:t>
      </w:r>
      <w:r w:rsidR="00104E6C" w:rsidRPr="00834B27">
        <w:rPr>
          <w:rFonts w:ascii="Calibri" w:hAnsi="Calibri" w:cs="Calibri"/>
          <w:lang w:val="ro-RO"/>
        </w:rPr>
        <w:t xml:space="preserve"> a titlurilor de participare.</w:t>
      </w:r>
    </w:p>
    <w:p w14:paraId="54BC59FC" w14:textId="77777777" w:rsidR="001E78BB" w:rsidRPr="00834B27" w:rsidRDefault="001E78BB" w:rsidP="00B91E74">
      <w:pPr>
        <w:spacing w:line="276" w:lineRule="auto"/>
        <w:jc w:val="both"/>
        <w:rPr>
          <w:rFonts w:ascii="Calibri" w:hAnsi="Calibri" w:cs="Calibri"/>
          <w:lang w:val="ro-RO"/>
        </w:rPr>
      </w:pPr>
    </w:p>
    <w:p w14:paraId="0EFAB334" w14:textId="6CD61E58" w:rsidR="00C035A1" w:rsidRPr="00834B27" w:rsidRDefault="001E78BB" w:rsidP="007C62D3">
      <w:pPr>
        <w:pStyle w:val="Listparagraf"/>
        <w:keepNext/>
        <w:numPr>
          <w:ilvl w:val="2"/>
          <w:numId w:val="27"/>
        </w:numPr>
        <w:spacing w:line="276" w:lineRule="auto"/>
        <w:contextualSpacing w:val="0"/>
        <w:jc w:val="both"/>
        <w:rPr>
          <w:rFonts w:ascii="Calibri" w:hAnsi="Calibri" w:cs="Calibri"/>
          <w:b/>
          <w:bCs/>
          <w:lang w:val="ro-RO"/>
        </w:rPr>
      </w:pPr>
      <w:r w:rsidRPr="00834B27">
        <w:rPr>
          <w:rFonts w:ascii="Calibri" w:hAnsi="Calibri" w:cs="Calibri"/>
          <w:b/>
          <w:bCs/>
          <w:lang w:val="ro-RO"/>
        </w:rPr>
        <w:t>CAS</w:t>
      </w:r>
    </w:p>
    <w:p w14:paraId="20B7A0B9" w14:textId="498AC020" w:rsidR="001E78BB" w:rsidRPr="00834B27" w:rsidRDefault="000A7222" w:rsidP="007C62D3">
      <w:pPr>
        <w:keepNext/>
        <w:spacing w:line="276" w:lineRule="auto"/>
        <w:jc w:val="both"/>
        <w:rPr>
          <w:rFonts w:ascii="Calibri" w:hAnsi="Calibri" w:cs="Calibri"/>
          <w:lang w:val="ro-RO"/>
        </w:rPr>
      </w:pPr>
      <w:r w:rsidRPr="00834B27">
        <w:rPr>
          <w:rFonts w:ascii="Calibri" w:hAnsi="Calibri" w:cs="Calibri"/>
          <w:lang w:val="ro-RO"/>
        </w:rPr>
        <w:t xml:space="preserve">Nu se </w:t>
      </w:r>
      <w:r w:rsidR="006811FD" w:rsidRPr="00834B27">
        <w:rPr>
          <w:rFonts w:ascii="Calibri" w:hAnsi="Calibri" w:cs="Calibri"/>
          <w:lang w:val="ro-RO"/>
        </w:rPr>
        <w:t>datorează</w:t>
      </w:r>
      <w:r w:rsidRPr="00834B27">
        <w:rPr>
          <w:rFonts w:ascii="Calibri" w:hAnsi="Calibri" w:cs="Calibri"/>
          <w:lang w:val="ro-RO"/>
        </w:rPr>
        <w:t xml:space="preserve"> CAS pentru venituri din </w:t>
      </w:r>
      <w:r w:rsidR="006811FD" w:rsidRPr="00834B27">
        <w:rPr>
          <w:rFonts w:ascii="Calibri" w:hAnsi="Calibri" w:cs="Calibri"/>
          <w:lang w:val="ro-RO"/>
        </w:rPr>
        <w:t>investi</w:t>
      </w:r>
      <w:r w:rsidR="00D77C4B" w:rsidRPr="00834B27">
        <w:rPr>
          <w:rFonts w:ascii="Calibri" w:hAnsi="Calibri" w:cs="Calibri"/>
          <w:lang w:val="ro-RO"/>
        </w:rPr>
        <w:t>ț</w:t>
      </w:r>
      <w:r w:rsidR="006811FD" w:rsidRPr="00834B27">
        <w:rPr>
          <w:rFonts w:ascii="Calibri" w:hAnsi="Calibri" w:cs="Calibri"/>
          <w:lang w:val="ro-RO"/>
        </w:rPr>
        <w:t>ii</w:t>
      </w:r>
      <w:r w:rsidRPr="00834B27">
        <w:rPr>
          <w:rFonts w:ascii="Calibri" w:hAnsi="Calibri" w:cs="Calibri"/>
          <w:lang w:val="ro-RO"/>
        </w:rPr>
        <w:t>.</w:t>
      </w:r>
    </w:p>
    <w:p w14:paraId="2C257409" w14:textId="77777777" w:rsidR="006811FD" w:rsidRPr="00834B27" w:rsidRDefault="006811FD" w:rsidP="00B91E74">
      <w:pPr>
        <w:spacing w:line="276" w:lineRule="auto"/>
        <w:jc w:val="both"/>
        <w:rPr>
          <w:rFonts w:ascii="Calibri" w:hAnsi="Calibri" w:cs="Calibri"/>
          <w:lang w:val="ro-RO"/>
        </w:rPr>
      </w:pPr>
    </w:p>
    <w:p w14:paraId="03963C45" w14:textId="25578FD5" w:rsidR="000A7222" w:rsidRPr="00834B27" w:rsidRDefault="00DC51D5" w:rsidP="00B91E74">
      <w:pPr>
        <w:pStyle w:val="Listparagraf"/>
        <w:numPr>
          <w:ilvl w:val="2"/>
          <w:numId w:val="27"/>
        </w:numPr>
        <w:spacing w:line="276" w:lineRule="auto"/>
        <w:contextualSpacing w:val="0"/>
        <w:jc w:val="both"/>
        <w:rPr>
          <w:rFonts w:ascii="Calibri" w:hAnsi="Calibri" w:cs="Calibri"/>
          <w:b/>
          <w:bCs/>
          <w:lang w:val="ro-RO"/>
        </w:rPr>
      </w:pPr>
      <w:r w:rsidRPr="00834B27">
        <w:rPr>
          <w:rFonts w:ascii="Calibri" w:hAnsi="Calibri" w:cs="Calibri"/>
          <w:b/>
          <w:bCs/>
          <w:lang w:val="ro-RO"/>
        </w:rPr>
        <w:t>CASS</w:t>
      </w:r>
    </w:p>
    <w:p w14:paraId="2A2DF10A" w14:textId="61FA053B" w:rsidR="005D3466" w:rsidRPr="00834B27" w:rsidRDefault="00DC51D5" w:rsidP="00B91E74">
      <w:pPr>
        <w:spacing w:line="276" w:lineRule="auto"/>
        <w:jc w:val="both"/>
        <w:rPr>
          <w:rFonts w:ascii="Calibri" w:hAnsi="Calibri" w:cs="Calibri"/>
          <w:lang w:val="ro-RO"/>
        </w:rPr>
      </w:pPr>
      <w:r w:rsidRPr="00834B27">
        <w:rPr>
          <w:rFonts w:ascii="Calibri" w:hAnsi="Calibri" w:cs="Calibri"/>
          <w:b/>
          <w:bCs/>
          <w:u w:val="single"/>
          <w:lang w:val="ro-RO"/>
        </w:rPr>
        <w:t>Cota de CASS:</w:t>
      </w:r>
      <w:r w:rsidRPr="00834B27">
        <w:rPr>
          <w:rFonts w:ascii="Calibri" w:hAnsi="Calibri" w:cs="Calibri"/>
          <w:lang w:val="ro-RO"/>
        </w:rPr>
        <w:t xml:space="preserve"> 10%;</w:t>
      </w:r>
    </w:p>
    <w:p w14:paraId="6BDB1F75" w14:textId="627E161D" w:rsidR="00DC51D5" w:rsidRPr="00834B27" w:rsidRDefault="00DC51D5" w:rsidP="00B91E74">
      <w:pPr>
        <w:spacing w:line="276" w:lineRule="auto"/>
        <w:jc w:val="both"/>
        <w:rPr>
          <w:rFonts w:ascii="Calibri" w:hAnsi="Calibri" w:cs="Calibri"/>
          <w:lang w:val="ro-RO"/>
        </w:rPr>
      </w:pPr>
      <w:r w:rsidRPr="00834B27">
        <w:rPr>
          <w:rFonts w:ascii="Calibri" w:hAnsi="Calibri" w:cs="Calibri"/>
          <w:b/>
          <w:bCs/>
          <w:u w:val="single"/>
          <w:lang w:val="ro-RO"/>
        </w:rPr>
        <w:t>Baza de calcul</w:t>
      </w:r>
      <w:r w:rsidR="008C46B4" w:rsidRPr="00834B27">
        <w:rPr>
          <w:rFonts w:ascii="Calibri" w:hAnsi="Calibri" w:cs="Calibri"/>
          <w:b/>
          <w:bCs/>
          <w:u w:val="single"/>
          <w:lang w:val="ro-RO"/>
        </w:rPr>
        <w:t xml:space="preserve"> al CASS:</w:t>
      </w:r>
      <w:r w:rsidR="008C46B4" w:rsidRPr="00834B27">
        <w:rPr>
          <w:rFonts w:ascii="Calibri" w:hAnsi="Calibri" w:cs="Calibri"/>
          <w:lang w:val="ro-RO"/>
        </w:rPr>
        <w:t xml:space="preserve"> 0/6/12/24 SM, </w:t>
      </w:r>
      <w:r w:rsidR="001D3DA8" w:rsidRPr="00834B27">
        <w:rPr>
          <w:rFonts w:ascii="Calibri" w:hAnsi="Calibri" w:cs="Calibri"/>
          <w:lang w:val="ro-RO"/>
        </w:rPr>
        <w:t>î</w:t>
      </w:r>
      <w:r w:rsidR="008C46B4" w:rsidRPr="00834B27">
        <w:rPr>
          <w:rFonts w:ascii="Calibri" w:hAnsi="Calibri" w:cs="Calibri"/>
          <w:lang w:val="ro-RO"/>
        </w:rPr>
        <w:t xml:space="preserve">n </w:t>
      </w:r>
      <w:r w:rsidR="001D3DA8" w:rsidRPr="00834B27">
        <w:rPr>
          <w:rFonts w:ascii="Calibri" w:hAnsi="Calibri" w:cs="Calibri"/>
          <w:lang w:val="ro-RO"/>
        </w:rPr>
        <w:t>func</w:t>
      </w:r>
      <w:r w:rsidR="00D77C4B" w:rsidRPr="00834B27">
        <w:rPr>
          <w:rFonts w:ascii="Calibri" w:hAnsi="Calibri" w:cs="Calibri"/>
          <w:lang w:val="ro-RO"/>
        </w:rPr>
        <w:t>ț</w:t>
      </w:r>
      <w:r w:rsidR="001D3DA8" w:rsidRPr="00834B27">
        <w:rPr>
          <w:rFonts w:ascii="Calibri" w:hAnsi="Calibri" w:cs="Calibri"/>
          <w:lang w:val="ro-RO"/>
        </w:rPr>
        <w:t>ie</w:t>
      </w:r>
      <w:r w:rsidR="008C46B4" w:rsidRPr="00834B27">
        <w:rPr>
          <w:rFonts w:ascii="Calibri" w:hAnsi="Calibri" w:cs="Calibri"/>
          <w:lang w:val="ro-RO"/>
        </w:rPr>
        <w:t xml:space="preserve"> de valoarea veniturilor incluse </w:t>
      </w:r>
      <w:r w:rsidR="001D3DA8" w:rsidRPr="00834B27">
        <w:rPr>
          <w:rFonts w:ascii="Calibri" w:hAnsi="Calibri" w:cs="Calibri"/>
          <w:lang w:val="ro-RO"/>
        </w:rPr>
        <w:t>î</w:t>
      </w:r>
      <w:r w:rsidR="008C46B4" w:rsidRPr="00834B27">
        <w:rPr>
          <w:rFonts w:ascii="Calibri" w:hAnsi="Calibri" w:cs="Calibri"/>
          <w:lang w:val="ro-RO"/>
        </w:rPr>
        <w:t xml:space="preserve">n </w:t>
      </w:r>
      <w:r w:rsidR="001D3DA8" w:rsidRPr="00834B27">
        <w:rPr>
          <w:rFonts w:ascii="Calibri" w:hAnsi="Calibri" w:cs="Calibri"/>
          <w:lang w:val="ro-RO"/>
        </w:rPr>
        <w:t>„</w:t>
      </w:r>
      <w:r w:rsidR="008C46B4" w:rsidRPr="00834B27">
        <w:rPr>
          <w:rFonts w:ascii="Calibri" w:hAnsi="Calibri" w:cs="Calibri"/>
          <w:lang w:val="ro-RO"/>
        </w:rPr>
        <w:t>co</w:t>
      </w:r>
      <w:r w:rsidR="001D3DA8" w:rsidRPr="00834B27">
        <w:rPr>
          <w:rFonts w:ascii="Calibri" w:hAnsi="Calibri" w:cs="Calibri"/>
          <w:lang w:val="ro-RO"/>
        </w:rPr>
        <w:t>ș</w:t>
      </w:r>
      <w:r w:rsidR="008C46B4" w:rsidRPr="00834B27">
        <w:rPr>
          <w:rFonts w:ascii="Calibri" w:hAnsi="Calibri" w:cs="Calibri"/>
          <w:lang w:val="ro-RO"/>
        </w:rPr>
        <w:t>”</w:t>
      </w:r>
      <w:r w:rsidR="009C6B90" w:rsidRPr="00834B27">
        <w:rPr>
          <w:rFonts w:ascii="Calibri" w:hAnsi="Calibri" w:cs="Calibri"/>
          <w:lang w:val="ro-RO"/>
        </w:rPr>
        <w:t xml:space="preserve">, veniturile din </w:t>
      </w:r>
      <w:r w:rsidR="001D3DA8" w:rsidRPr="00834B27">
        <w:rPr>
          <w:rFonts w:ascii="Calibri" w:hAnsi="Calibri" w:cs="Calibri"/>
          <w:lang w:val="ro-RO"/>
        </w:rPr>
        <w:t>investi</w:t>
      </w:r>
      <w:r w:rsidR="00D77C4B" w:rsidRPr="00834B27">
        <w:rPr>
          <w:rFonts w:ascii="Calibri" w:hAnsi="Calibri" w:cs="Calibri"/>
          <w:lang w:val="ro-RO"/>
        </w:rPr>
        <w:t>ț</w:t>
      </w:r>
      <w:r w:rsidR="001D3DA8" w:rsidRPr="00834B27">
        <w:rPr>
          <w:rFonts w:ascii="Calibri" w:hAnsi="Calibri" w:cs="Calibri"/>
          <w:lang w:val="ro-RO"/>
        </w:rPr>
        <w:t>ii</w:t>
      </w:r>
      <w:r w:rsidR="009C6B90" w:rsidRPr="00834B27">
        <w:rPr>
          <w:rFonts w:ascii="Calibri" w:hAnsi="Calibri" w:cs="Calibri"/>
          <w:lang w:val="ro-RO"/>
        </w:rPr>
        <w:t xml:space="preserve"> fiind incluse </w:t>
      </w:r>
      <w:r w:rsidR="001D3DA8" w:rsidRPr="00834B27">
        <w:rPr>
          <w:rFonts w:ascii="Calibri" w:hAnsi="Calibri" w:cs="Calibri"/>
          <w:lang w:val="ro-RO"/>
        </w:rPr>
        <w:t>î</w:t>
      </w:r>
      <w:r w:rsidR="009C6B90" w:rsidRPr="00834B27">
        <w:rPr>
          <w:rFonts w:ascii="Calibri" w:hAnsi="Calibri" w:cs="Calibri"/>
          <w:lang w:val="ro-RO"/>
        </w:rPr>
        <w:t xml:space="preserve">n </w:t>
      </w:r>
      <w:r w:rsidR="001D3DA8" w:rsidRPr="00834B27">
        <w:rPr>
          <w:rFonts w:ascii="Calibri" w:hAnsi="Calibri" w:cs="Calibri"/>
          <w:lang w:val="ro-RO"/>
        </w:rPr>
        <w:t>„</w:t>
      </w:r>
      <w:r w:rsidR="009C6B90" w:rsidRPr="00834B27">
        <w:rPr>
          <w:rFonts w:ascii="Calibri" w:hAnsi="Calibri" w:cs="Calibri"/>
          <w:lang w:val="ro-RO"/>
        </w:rPr>
        <w:t>co</w:t>
      </w:r>
      <w:r w:rsidR="00285F1A" w:rsidRPr="00834B27">
        <w:rPr>
          <w:rFonts w:ascii="Calibri" w:hAnsi="Calibri" w:cs="Calibri"/>
          <w:lang w:val="ro-RO"/>
        </w:rPr>
        <w:t>ș</w:t>
      </w:r>
      <w:r w:rsidR="009C6B90" w:rsidRPr="00834B27">
        <w:rPr>
          <w:rFonts w:ascii="Calibri" w:hAnsi="Calibri" w:cs="Calibri"/>
          <w:lang w:val="ro-RO"/>
        </w:rPr>
        <w:t>”.</w:t>
      </w:r>
    </w:p>
    <w:p w14:paraId="73CE569F" w14:textId="77777777" w:rsidR="00FD3A22" w:rsidRPr="00834B27" w:rsidRDefault="00FD3A22" w:rsidP="00FD3A22">
      <w:pPr>
        <w:spacing w:line="276" w:lineRule="auto"/>
        <w:jc w:val="both"/>
        <w:rPr>
          <w:rFonts w:ascii="Calibri" w:hAnsi="Calibri" w:cs="Calibri"/>
          <w:lang w:val="ro-RO"/>
        </w:rPr>
      </w:pPr>
      <w:r w:rsidRPr="00834B27">
        <w:rPr>
          <w:rFonts w:ascii="Calibri" w:hAnsi="Calibri" w:cs="Calibri"/>
          <w:b/>
          <w:bCs/>
          <w:u w:val="single"/>
          <w:lang w:val="ro-RO"/>
        </w:rPr>
        <w:t>Plata:</w:t>
      </w:r>
      <w:r w:rsidRPr="00834B27">
        <w:rPr>
          <w:rFonts w:ascii="Calibri" w:hAnsi="Calibri" w:cs="Calibri"/>
          <w:lang w:val="ro-RO"/>
        </w:rPr>
        <w:t xml:space="preserve"> de către contribuabil, până la termenul de depunere al D212.</w:t>
      </w:r>
    </w:p>
    <w:p w14:paraId="219CEA6D" w14:textId="77777777" w:rsidR="009C6B90" w:rsidRPr="00834B27" w:rsidRDefault="009C6B90" w:rsidP="00B91E74">
      <w:pPr>
        <w:spacing w:line="276" w:lineRule="auto"/>
        <w:jc w:val="both"/>
        <w:rPr>
          <w:rFonts w:ascii="Calibri" w:hAnsi="Calibri" w:cs="Calibri"/>
          <w:lang w:val="ro-RO"/>
        </w:rPr>
      </w:pPr>
    </w:p>
    <w:p w14:paraId="0142F939" w14:textId="1B2E3BC2" w:rsidR="001D3DA8" w:rsidRPr="00834B27" w:rsidRDefault="00421F16" w:rsidP="009F2FDA">
      <w:pPr>
        <w:pStyle w:val="Listparagraf"/>
        <w:numPr>
          <w:ilvl w:val="1"/>
          <w:numId w:val="5"/>
        </w:numPr>
        <w:spacing w:line="276" w:lineRule="auto"/>
        <w:ind w:left="720" w:hanging="720"/>
        <w:contextualSpacing w:val="0"/>
        <w:jc w:val="both"/>
        <w:outlineLvl w:val="1"/>
        <w:rPr>
          <w:rFonts w:ascii="Calibri" w:hAnsi="Calibri" w:cs="Calibri"/>
          <w:b/>
          <w:bCs/>
          <w:lang w:val="ro-RO"/>
        </w:rPr>
      </w:pPr>
      <w:bookmarkStart w:id="7" w:name="_Toc223643876"/>
      <w:r w:rsidRPr="00834B27">
        <w:rPr>
          <w:rFonts w:ascii="Calibri" w:hAnsi="Calibri" w:cs="Calibri"/>
          <w:b/>
          <w:bCs/>
          <w:lang w:val="ro-RO"/>
        </w:rPr>
        <w:t>Venituri din pensii</w:t>
      </w:r>
      <w:bookmarkEnd w:id="7"/>
    </w:p>
    <w:p w14:paraId="225670B4" w14:textId="1CCD2A58" w:rsidR="004753CF" w:rsidRPr="00834B27" w:rsidRDefault="00EA7C97" w:rsidP="00B91E74">
      <w:pPr>
        <w:pStyle w:val="Listparagraf"/>
        <w:numPr>
          <w:ilvl w:val="2"/>
          <w:numId w:val="28"/>
        </w:numPr>
        <w:spacing w:line="276" w:lineRule="auto"/>
        <w:contextualSpacing w:val="0"/>
        <w:jc w:val="both"/>
        <w:rPr>
          <w:rFonts w:ascii="Calibri" w:hAnsi="Calibri" w:cs="Calibri"/>
          <w:b/>
          <w:bCs/>
          <w:lang w:val="ro-RO"/>
        </w:rPr>
      </w:pPr>
      <w:r w:rsidRPr="00834B27">
        <w:rPr>
          <w:rFonts w:ascii="Calibri" w:hAnsi="Calibri" w:cs="Calibri"/>
          <w:b/>
          <w:bCs/>
          <w:lang w:val="ro-RO"/>
        </w:rPr>
        <w:t>IV</w:t>
      </w:r>
    </w:p>
    <w:p w14:paraId="2679A0BA" w14:textId="7DC93CA4" w:rsidR="00EA7C97" w:rsidRPr="00834B27" w:rsidRDefault="0075240D" w:rsidP="00B91E74">
      <w:pPr>
        <w:spacing w:line="276" w:lineRule="auto"/>
        <w:jc w:val="both"/>
        <w:rPr>
          <w:rFonts w:ascii="Calibri" w:hAnsi="Calibri" w:cs="Calibri"/>
          <w:lang w:val="ro-RO"/>
        </w:rPr>
      </w:pPr>
      <w:r w:rsidRPr="00834B27">
        <w:rPr>
          <w:rFonts w:ascii="Calibri" w:hAnsi="Calibri" w:cs="Calibri"/>
          <w:b/>
          <w:bCs/>
          <w:u w:val="single"/>
          <w:lang w:val="ro-RO"/>
        </w:rPr>
        <w:t>Cota de IV:</w:t>
      </w:r>
      <w:r w:rsidRPr="00834B27">
        <w:rPr>
          <w:rFonts w:ascii="Calibri" w:hAnsi="Calibri" w:cs="Calibri"/>
          <w:lang w:val="ro-RO"/>
        </w:rPr>
        <w:t xml:space="preserve"> 10%;</w:t>
      </w:r>
    </w:p>
    <w:p w14:paraId="24BE4418" w14:textId="02BCF101" w:rsidR="0075240D" w:rsidRPr="00834B27" w:rsidRDefault="0075240D" w:rsidP="00B91E74">
      <w:pPr>
        <w:spacing w:line="276" w:lineRule="auto"/>
        <w:jc w:val="both"/>
        <w:rPr>
          <w:rFonts w:ascii="Calibri" w:hAnsi="Calibri" w:cs="Calibri"/>
          <w:lang w:val="ro-RO"/>
        </w:rPr>
      </w:pPr>
      <w:r w:rsidRPr="00834B27">
        <w:rPr>
          <w:rFonts w:ascii="Calibri" w:hAnsi="Calibri" w:cs="Calibri"/>
          <w:b/>
          <w:bCs/>
          <w:u w:val="single"/>
          <w:lang w:val="ro-RO"/>
        </w:rPr>
        <w:lastRenderedPageBreak/>
        <w:t>Baza de calcul</w:t>
      </w:r>
      <w:r w:rsidR="001D1A55" w:rsidRPr="00834B27">
        <w:rPr>
          <w:rFonts w:ascii="Calibri" w:hAnsi="Calibri" w:cs="Calibri"/>
          <w:b/>
          <w:bCs/>
          <w:u w:val="single"/>
          <w:lang w:val="ro-RO"/>
        </w:rPr>
        <w:t>:</w:t>
      </w:r>
      <w:r w:rsidR="001D1A55" w:rsidRPr="00834B27">
        <w:rPr>
          <w:rFonts w:ascii="Calibri" w:hAnsi="Calibri" w:cs="Calibri"/>
          <w:lang w:val="ro-RO"/>
        </w:rPr>
        <w:t xml:space="preserve"> venitul din pensie</w:t>
      </w:r>
      <w:r w:rsidR="009B3516" w:rsidRPr="00834B27">
        <w:rPr>
          <w:rFonts w:ascii="Calibri" w:hAnsi="Calibri" w:cs="Calibri"/>
          <w:lang w:val="ro-RO"/>
        </w:rPr>
        <w:t xml:space="preserve">, pentru suma care </w:t>
      </w:r>
      <w:r w:rsidR="001D3DA8" w:rsidRPr="00834B27">
        <w:rPr>
          <w:rFonts w:ascii="Calibri" w:hAnsi="Calibri" w:cs="Calibri"/>
          <w:lang w:val="ro-RO"/>
        </w:rPr>
        <w:t>depășește</w:t>
      </w:r>
      <w:r w:rsidR="009B3516" w:rsidRPr="00834B27">
        <w:rPr>
          <w:rFonts w:ascii="Calibri" w:hAnsi="Calibri" w:cs="Calibri"/>
          <w:lang w:val="ro-RO"/>
        </w:rPr>
        <w:t xml:space="preserve"> 3.000 lei.</w:t>
      </w:r>
    </w:p>
    <w:p w14:paraId="5827FEE1" w14:textId="53EC7A12" w:rsidR="008D7215" w:rsidRPr="00834B27" w:rsidRDefault="008D7215" w:rsidP="00B91E74">
      <w:pPr>
        <w:spacing w:line="276" w:lineRule="auto"/>
        <w:jc w:val="both"/>
        <w:rPr>
          <w:rFonts w:ascii="Calibri" w:hAnsi="Calibri" w:cs="Calibri"/>
          <w:lang w:val="ro-RO"/>
        </w:rPr>
      </w:pPr>
      <w:r w:rsidRPr="00834B27">
        <w:rPr>
          <w:rFonts w:ascii="Calibri" w:hAnsi="Calibri" w:cs="Calibri"/>
          <w:b/>
          <w:bCs/>
          <w:u w:val="single"/>
          <w:lang w:val="ro-RO"/>
        </w:rPr>
        <w:t>Plata:</w:t>
      </w:r>
      <w:r w:rsidRPr="00834B27">
        <w:rPr>
          <w:rFonts w:ascii="Calibri" w:hAnsi="Calibri" w:cs="Calibri"/>
          <w:lang w:val="ro-RO"/>
        </w:rPr>
        <w:t xml:space="preserve"> calculul </w:t>
      </w:r>
      <w:r w:rsidR="001D3DA8" w:rsidRPr="00834B27">
        <w:rPr>
          <w:rFonts w:ascii="Calibri" w:hAnsi="Calibri" w:cs="Calibri"/>
          <w:lang w:val="ro-RO"/>
        </w:rPr>
        <w:t>ș</w:t>
      </w:r>
      <w:r w:rsidRPr="00834B27">
        <w:rPr>
          <w:rFonts w:ascii="Calibri" w:hAnsi="Calibri" w:cs="Calibri"/>
          <w:lang w:val="ro-RO"/>
        </w:rPr>
        <w:t xml:space="preserve">i plata IV se fac de </w:t>
      </w:r>
      <w:r w:rsidR="001D3DA8" w:rsidRPr="00834B27">
        <w:rPr>
          <w:rFonts w:ascii="Calibri" w:hAnsi="Calibri" w:cs="Calibri"/>
          <w:lang w:val="ro-RO"/>
        </w:rPr>
        <w:t>către</w:t>
      </w:r>
      <w:r w:rsidRPr="00834B27">
        <w:rPr>
          <w:rFonts w:ascii="Calibri" w:hAnsi="Calibri" w:cs="Calibri"/>
          <w:lang w:val="ro-RO"/>
        </w:rPr>
        <w:t xml:space="preserve"> CNPP, care </w:t>
      </w:r>
      <w:r w:rsidR="001D3DA8" w:rsidRPr="00834B27">
        <w:rPr>
          <w:rFonts w:ascii="Calibri" w:hAnsi="Calibri" w:cs="Calibri"/>
          <w:lang w:val="ro-RO"/>
        </w:rPr>
        <w:t>î</w:t>
      </w:r>
      <w:r w:rsidR="004F0064" w:rsidRPr="00834B27">
        <w:rPr>
          <w:rFonts w:ascii="Calibri" w:hAnsi="Calibri" w:cs="Calibri"/>
          <w:lang w:val="ro-RO"/>
        </w:rPr>
        <w:t xml:space="preserve">l </w:t>
      </w:r>
      <w:r w:rsidRPr="00834B27">
        <w:rPr>
          <w:rFonts w:ascii="Calibri" w:hAnsi="Calibri" w:cs="Calibri"/>
          <w:lang w:val="ro-RO"/>
        </w:rPr>
        <w:t>re</w:t>
      </w:r>
      <w:r w:rsidR="00D77C4B" w:rsidRPr="00834B27">
        <w:rPr>
          <w:rFonts w:ascii="Calibri" w:hAnsi="Calibri" w:cs="Calibri"/>
          <w:lang w:val="ro-RO"/>
        </w:rPr>
        <w:t>ț</w:t>
      </w:r>
      <w:r w:rsidRPr="00834B27">
        <w:rPr>
          <w:rFonts w:ascii="Calibri" w:hAnsi="Calibri" w:cs="Calibri"/>
          <w:lang w:val="ro-RO"/>
        </w:rPr>
        <w:t xml:space="preserve">ine </w:t>
      </w:r>
      <w:r w:rsidR="001D3DA8" w:rsidRPr="00834B27">
        <w:rPr>
          <w:rFonts w:ascii="Calibri" w:hAnsi="Calibri" w:cs="Calibri"/>
          <w:lang w:val="ro-RO"/>
        </w:rPr>
        <w:t>ș</w:t>
      </w:r>
      <w:r w:rsidRPr="00834B27">
        <w:rPr>
          <w:rFonts w:ascii="Calibri" w:hAnsi="Calibri" w:cs="Calibri"/>
          <w:lang w:val="ro-RO"/>
        </w:rPr>
        <w:t xml:space="preserve">i </w:t>
      </w:r>
      <w:r w:rsidR="001D3DA8" w:rsidRPr="00834B27">
        <w:rPr>
          <w:rFonts w:ascii="Calibri" w:hAnsi="Calibri" w:cs="Calibri"/>
          <w:lang w:val="ro-RO"/>
        </w:rPr>
        <w:t>virează</w:t>
      </w:r>
      <w:r w:rsidRPr="00834B27">
        <w:rPr>
          <w:rFonts w:ascii="Calibri" w:hAnsi="Calibri" w:cs="Calibri"/>
          <w:lang w:val="ro-RO"/>
        </w:rPr>
        <w:t xml:space="preserve"> </w:t>
      </w:r>
      <w:r w:rsidR="004F0064" w:rsidRPr="00834B27">
        <w:rPr>
          <w:rFonts w:ascii="Calibri" w:hAnsi="Calibri" w:cs="Calibri"/>
          <w:lang w:val="ro-RO"/>
        </w:rPr>
        <w:t>la bugetul de stat.</w:t>
      </w:r>
    </w:p>
    <w:p w14:paraId="371209AA" w14:textId="77777777" w:rsidR="005030D8" w:rsidRPr="00834B27" w:rsidRDefault="005030D8" w:rsidP="00B91E74">
      <w:pPr>
        <w:spacing w:line="276" w:lineRule="auto"/>
        <w:jc w:val="both"/>
        <w:rPr>
          <w:rFonts w:ascii="Calibri" w:hAnsi="Calibri" w:cs="Calibri"/>
          <w:lang w:val="ro-RO"/>
        </w:rPr>
      </w:pPr>
    </w:p>
    <w:p w14:paraId="259F694D" w14:textId="00D4CE86" w:rsidR="009B3516" w:rsidRPr="00834B27" w:rsidRDefault="009B3516" w:rsidP="00B91E74">
      <w:pPr>
        <w:spacing w:line="276" w:lineRule="auto"/>
        <w:jc w:val="both"/>
        <w:rPr>
          <w:rFonts w:ascii="Calibri" w:hAnsi="Calibri" w:cs="Calibri"/>
          <w:b/>
          <w:bCs/>
          <w:i/>
          <w:iCs/>
          <w:lang w:val="ro-RO"/>
        </w:rPr>
      </w:pPr>
      <w:r w:rsidRPr="00834B27">
        <w:rPr>
          <w:rFonts w:ascii="Calibri" w:hAnsi="Calibri" w:cs="Calibri"/>
          <w:b/>
          <w:bCs/>
          <w:i/>
          <w:iCs/>
          <w:lang w:val="ro-RO"/>
        </w:rPr>
        <w:t>Scurt istoric</w:t>
      </w:r>
    </w:p>
    <w:p w14:paraId="4E78D31A" w14:textId="2C58569B" w:rsidR="00441837" w:rsidRPr="00834B27" w:rsidRDefault="00996930" w:rsidP="00B91E74">
      <w:pPr>
        <w:spacing w:line="276" w:lineRule="auto"/>
        <w:jc w:val="both"/>
        <w:rPr>
          <w:rFonts w:ascii="Calibri" w:hAnsi="Calibri" w:cs="Calibri"/>
          <w:i/>
          <w:iCs/>
          <w:lang w:val="ro-RO"/>
        </w:rPr>
      </w:pPr>
      <w:r w:rsidRPr="00834B27">
        <w:rPr>
          <w:rFonts w:ascii="Calibri" w:hAnsi="Calibri" w:cs="Calibri"/>
          <w:i/>
          <w:iCs/>
          <w:lang w:val="ro-RO"/>
        </w:rPr>
        <w:t xml:space="preserve">Impozitarea veniturilor din pensii a fost </w:t>
      </w:r>
      <w:r w:rsidR="001D3DA8" w:rsidRPr="00834B27">
        <w:rPr>
          <w:rFonts w:ascii="Calibri" w:hAnsi="Calibri" w:cs="Calibri"/>
          <w:i/>
          <w:iCs/>
          <w:lang w:val="ro-RO"/>
        </w:rPr>
        <w:t>ș</w:t>
      </w:r>
      <w:r w:rsidRPr="00834B27">
        <w:rPr>
          <w:rFonts w:ascii="Calibri" w:hAnsi="Calibri" w:cs="Calibri"/>
          <w:i/>
          <w:iCs/>
          <w:lang w:val="ro-RO"/>
        </w:rPr>
        <w:t xml:space="preserve">i ea subiectul multor </w:t>
      </w:r>
      <w:r w:rsidR="001D3DA8" w:rsidRPr="00834B27">
        <w:rPr>
          <w:rFonts w:ascii="Calibri" w:hAnsi="Calibri" w:cs="Calibri"/>
          <w:i/>
          <w:iCs/>
          <w:lang w:val="ro-RO"/>
        </w:rPr>
        <w:t>modificări</w:t>
      </w:r>
      <w:r w:rsidR="00782D34" w:rsidRPr="00834B27">
        <w:rPr>
          <w:rFonts w:ascii="Calibri" w:hAnsi="Calibri" w:cs="Calibri"/>
          <w:i/>
          <w:iCs/>
          <w:lang w:val="ro-RO"/>
        </w:rPr>
        <w:t>. P</w:t>
      </w:r>
      <w:r w:rsidR="001D3DA8" w:rsidRPr="00834B27">
        <w:rPr>
          <w:rFonts w:ascii="Calibri" w:hAnsi="Calibri" w:cs="Calibri"/>
          <w:i/>
          <w:iCs/>
          <w:lang w:val="ro-RO"/>
        </w:rPr>
        <w:t>â</w:t>
      </w:r>
      <w:r w:rsidR="00782D34" w:rsidRPr="00834B27">
        <w:rPr>
          <w:rFonts w:ascii="Calibri" w:hAnsi="Calibri" w:cs="Calibri"/>
          <w:i/>
          <w:iCs/>
          <w:lang w:val="ro-RO"/>
        </w:rPr>
        <w:t>n</w:t>
      </w:r>
      <w:r w:rsidR="001D3DA8" w:rsidRPr="00834B27">
        <w:rPr>
          <w:rFonts w:ascii="Calibri" w:hAnsi="Calibri" w:cs="Calibri"/>
          <w:i/>
          <w:iCs/>
          <w:lang w:val="ro-RO"/>
        </w:rPr>
        <w:t>ă</w:t>
      </w:r>
      <w:r w:rsidR="00782D34" w:rsidRPr="00834B27">
        <w:rPr>
          <w:rFonts w:ascii="Calibri" w:hAnsi="Calibri" w:cs="Calibri"/>
          <w:i/>
          <w:iCs/>
          <w:lang w:val="ro-RO"/>
        </w:rPr>
        <w:t xml:space="preserve"> </w:t>
      </w:r>
      <w:r w:rsidR="001D3DA8" w:rsidRPr="00834B27">
        <w:rPr>
          <w:rFonts w:ascii="Calibri" w:hAnsi="Calibri" w:cs="Calibri"/>
          <w:i/>
          <w:iCs/>
          <w:lang w:val="ro-RO"/>
        </w:rPr>
        <w:t>î</w:t>
      </w:r>
      <w:r w:rsidR="00782D34" w:rsidRPr="00834B27">
        <w:rPr>
          <w:rFonts w:ascii="Calibri" w:hAnsi="Calibri" w:cs="Calibri"/>
          <w:i/>
          <w:iCs/>
          <w:lang w:val="ro-RO"/>
        </w:rPr>
        <w:t>n</w:t>
      </w:r>
      <w:r w:rsidR="006D7418" w:rsidRPr="00834B27">
        <w:rPr>
          <w:rFonts w:ascii="Calibri" w:hAnsi="Calibri" w:cs="Calibri"/>
          <w:i/>
          <w:iCs/>
          <w:lang w:val="ro-RO"/>
        </w:rPr>
        <w:t xml:space="preserve"> 2015</w:t>
      </w:r>
      <w:r w:rsidR="0076100A" w:rsidRPr="00834B27">
        <w:rPr>
          <w:rFonts w:ascii="Calibri" w:hAnsi="Calibri" w:cs="Calibri"/>
          <w:i/>
          <w:iCs/>
          <w:lang w:val="ro-RO"/>
        </w:rPr>
        <w:t xml:space="preserve">, venitul neimpozabil din pensii era de 1.000 lei. </w:t>
      </w:r>
      <w:r w:rsidR="001D3DA8" w:rsidRPr="00834B27">
        <w:rPr>
          <w:rFonts w:ascii="Calibri" w:hAnsi="Calibri" w:cs="Calibri"/>
          <w:i/>
          <w:iCs/>
          <w:lang w:val="ro-RO"/>
        </w:rPr>
        <w:t>Î</w:t>
      </w:r>
      <w:r w:rsidR="0076100A" w:rsidRPr="00834B27">
        <w:rPr>
          <w:rFonts w:ascii="Calibri" w:hAnsi="Calibri" w:cs="Calibri"/>
          <w:i/>
          <w:iCs/>
          <w:lang w:val="ro-RO"/>
        </w:rPr>
        <w:t>n 2016</w:t>
      </w:r>
      <w:r w:rsidR="00335098" w:rsidRPr="00834B27">
        <w:rPr>
          <w:rFonts w:ascii="Calibri" w:hAnsi="Calibri" w:cs="Calibri"/>
          <w:i/>
          <w:iCs/>
          <w:lang w:val="ro-RO"/>
        </w:rPr>
        <w:t xml:space="preserve">, acesta a fost majorat la 1.050 </w:t>
      </w:r>
      <w:r w:rsidR="00BF2D4D" w:rsidRPr="00834B27">
        <w:rPr>
          <w:rFonts w:ascii="Calibri" w:hAnsi="Calibri" w:cs="Calibri"/>
          <w:i/>
          <w:iCs/>
          <w:lang w:val="ro-RO"/>
        </w:rPr>
        <w:t xml:space="preserve">lei, </w:t>
      </w:r>
      <w:r w:rsidR="001D3DA8" w:rsidRPr="00834B27">
        <w:rPr>
          <w:rFonts w:ascii="Calibri" w:hAnsi="Calibri" w:cs="Calibri"/>
          <w:i/>
          <w:iCs/>
          <w:lang w:val="ro-RO"/>
        </w:rPr>
        <w:t>urmând</w:t>
      </w:r>
      <w:r w:rsidR="00BF2D4D" w:rsidRPr="00834B27">
        <w:rPr>
          <w:rFonts w:ascii="Calibri" w:hAnsi="Calibri" w:cs="Calibri"/>
          <w:i/>
          <w:iCs/>
          <w:lang w:val="ro-RO"/>
        </w:rPr>
        <w:t xml:space="preserve"> s</w:t>
      </w:r>
      <w:r w:rsidR="001D3DA8" w:rsidRPr="00834B27">
        <w:rPr>
          <w:rFonts w:ascii="Calibri" w:hAnsi="Calibri" w:cs="Calibri"/>
          <w:i/>
          <w:iCs/>
          <w:lang w:val="ro-RO"/>
        </w:rPr>
        <w:t>ă</w:t>
      </w:r>
      <w:r w:rsidR="00BF2D4D" w:rsidRPr="00834B27">
        <w:rPr>
          <w:rFonts w:ascii="Calibri" w:hAnsi="Calibri" w:cs="Calibri"/>
          <w:i/>
          <w:iCs/>
          <w:lang w:val="ro-RO"/>
        </w:rPr>
        <w:t xml:space="preserve"> fie majorat anual cu 50 lei, p</w:t>
      </w:r>
      <w:r w:rsidR="001D3DA8" w:rsidRPr="00834B27">
        <w:rPr>
          <w:rFonts w:ascii="Calibri" w:hAnsi="Calibri" w:cs="Calibri"/>
          <w:i/>
          <w:iCs/>
          <w:lang w:val="ro-RO"/>
        </w:rPr>
        <w:t>â</w:t>
      </w:r>
      <w:r w:rsidR="00BF2D4D" w:rsidRPr="00834B27">
        <w:rPr>
          <w:rFonts w:ascii="Calibri" w:hAnsi="Calibri" w:cs="Calibri"/>
          <w:i/>
          <w:iCs/>
          <w:lang w:val="ro-RO"/>
        </w:rPr>
        <w:t>n</w:t>
      </w:r>
      <w:r w:rsidR="001D3DA8" w:rsidRPr="00834B27">
        <w:rPr>
          <w:rFonts w:ascii="Calibri" w:hAnsi="Calibri" w:cs="Calibri"/>
          <w:i/>
          <w:iCs/>
          <w:lang w:val="ro-RO"/>
        </w:rPr>
        <w:t>ă</w:t>
      </w:r>
      <w:r w:rsidR="00BF2D4D" w:rsidRPr="00834B27">
        <w:rPr>
          <w:rFonts w:ascii="Calibri" w:hAnsi="Calibri" w:cs="Calibri"/>
          <w:i/>
          <w:iCs/>
          <w:lang w:val="ro-RO"/>
        </w:rPr>
        <w:t xml:space="preserve"> la atingerea pragului de 1.200 lei. Din </w:t>
      </w:r>
      <w:r w:rsidR="007C0A2E" w:rsidRPr="00834B27">
        <w:rPr>
          <w:rFonts w:ascii="Calibri" w:hAnsi="Calibri" w:cs="Calibri"/>
          <w:i/>
          <w:iCs/>
          <w:lang w:val="ro-RO"/>
        </w:rPr>
        <w:t xml:space="preserve">februarie 2017 a fost </w:t>
      </w:r>
      <w:r w:rsidR="001D3DA8" w:rsidRPr="00834B27">
        <w:rPr>
          <w:rFonts w:ascii="Calibri" w:hAnsi="Calibri" w:cs="Calibri"/>
          <w:i/>
          <w:iCs/>
          <w:lang w:val="ro-RO"/>
        </w:rPr>
        <w:t>însă</w:t>
      </w:r>
      <w:r w:rsidR="007C0A2E" w:rsidRPr="00834B27">
        <w:rPr>
          <w:rFonts w:ascii="Calibri" w:hAnsi="Calibri" w:cs="Calibri"/>
          <w:i/>
          <w:iCs/>
          <w:lang w:val="ro-RO"/>
        </w:rPr>
        <w:t xml:space="preserve"> majorat la 2.000 lei</w:t>
      </w:r>
      <w:r w:rsidR="00F172EA" w:rsidRPr="00834B27">
        <w:rPr>
          <w:rFonts w:ascii="Calibri" w:hAnsi="Calibri" w:cs="Calibri"/>
          <w:i/>
          <w:iCs/>
          <w:lang w:val="ro-RO"/>
        </w:rPr>
        <w:t>, pentru ca</w:t>
      </w:r>
      <w:r w:rsidR="001D3DA8" w:rsidRPr="00834B27">
        <w:rPr>
          <w:rFonts w:ascii="Calibri" w:hAnsi="Calibri" w:cs="Calibri"/>
          <w:i/>
          <w:iCs/>
          <w:lang w:val="ro-RO"/>
        </w:rPr>
        <w:t>,</w:t>
      </w:r>
      <w:r w:rsidR="00F172EA" w:rsidRPr="00834B27">
        <w:rPr>
          <w:rFonts w:ascii="Calibri" w:hAnsi="Calibri" w:cs="Calibri"/>
          <w:i/>
          <w:iCs/>
          <w:lang w:val="ro-RO"/>
        </w:rPr>
        <w:t xml:space="preserve"> din 202</w:t>
      </w:r>
      <w:r w:rsidR="008C7A15" w:rsidRPr="00834B27">
        <w:rPr>
          <w:rFonts w:ascii="Calibri" w:hAnsi="Calibri" w:cs="Calibri"/>
          <w:i/>
          <w:iCs/>
          <w:lang w:val="ro-RO"/>
        </w:rPr>
        <w:t>3</w:t>
      </w:r>
      <w:r w:rsidR="001D3DA8" w:rsidRPr="00834B27">
        <w:rPr>
          <w:rFonts w:ascii="Calibri" w:hAnsi="Calibri" w:cs="Calibri"/>
          <w:i/>
          <w:iCs/>
          <w:lang w:val="ro-RO"/>
        </w:rPr>
        <w:t>,</w:t>
      </w:r>
      <w:r w:rsidR="008C7A15" w:rsidRPr="00834B27">
        <w:rPr>
          <w:rFonts w:ascii="Calibri" w:hAnsi="Calibri" w:cs="Calibri"/>
          <w:i/>
          <w:iCs/>
          <w:lang w:val="ro-RO"/>
        </w:rPr>
        <w:t xml:space="preserve"> s</w:t>
      </w:r>
      <w:r w:rsidR="001D3DA8" w:rsidRPr="00834B27">
        <w:rPr>
          <w:rFonts w:ascii="Calibri" w:hAnsi="Calibri" w:cs="Calibri"/>
          <w:i/>
          <w:iCs/>
          <w:lang w:val="ro-RO"/>
        </w:rPr>
        <w:t>ă</w:t>
      </w:r>
      <w:r w:rsidR="008C7A15" w:rsidRPr="00834B27">
        <w:rPr>
          <w:rFonts w:ascii="Calibri" w:hAnsi="Calibri" w:cs="Calibri"/>
          <w:i/>
          <w:iCs/>
          <w:lang w:val="ro-RO"/>
        </w:rPr>
        <w:t xml:space="preserve"> fie majorat la </w:t>
      </w:r>
      <w:r w:rsidR="006F0F88" w:rsidRPr="00834B27">
        <w:rPr>
          <w:rFonts w:ascii="Calibri" w:hAnsi="Calibri" w:cs="Calibri"/>
          <w:i/>
          <w:iCs/>
          <w:lang w:val="ro-RO"/>
        </w:rPr>
        <w:t>3.000 lei.</w:t>
      </w:r>
    </w:p>
    <w:p w14:paraId="6D91B2DB" w14:textId="77777777" w:rsidR="005030D8" w:rsidRPr="00834B27" w:rsidRDefault="005030D8" w:rsidP="00B91E74">
      <w:pPr>
        <w:spacing w:line="276" w:lineRule="auto"/>
        <w:jc w:val="both"/>
        <w:rPr>
          <w:rFonts w:ascii="Calibri" w:hAnsi="Calibri" w:cs="Calibri"/>
          <w:i/>
          <w:iCs/>
          <w:lang w:val="ro-RO"/>
        </w:rPr>
      </w:pPr>
    </w:p>
    <w:p w14:paraId="7176C101" w14:textId="3C1A9735" w:rsidR="001D1A55" w:rsidRPr="00834B27" w:rsidRDefault="00692B8D" w:rsidP="00B91E74">
      <w:pPr>
        <w:pStyle w:val="Listparagraf"/>
        <w:numPr>
          <w:ilvl w:val="2"/>
          <w:numId w:val="28"/>
        </w:numPr>
        <w:spacing w:line="276" w:lineRule="auto"/>
        <w:contextualSpacing w:val="0"/>
        <w:jc w:val="both"/>
        <w:rPr>
          <w:rFonts w:ascii="Calibri" w:hAnsi="Calibri" w:cs="Calibri"/>
          <w:b/>
          <w:bCs/>
          <w:lang w:val="ro-RO"/>
        </w:rPr>
      </w:pPr>
      <w:r w:rsidRPr="00834B27">
        <w:rPr>
          <w:rFonts w:ascii="Calibri" w:hAnsi="Calibri" w:cs="Calibri"/>
          <w:b/>
          <w:bCs/>
          <w:lang w:val="ro-RO"/>
        </w:rPr>
        <w:t>CAS</w:t>
      </w:r>
    </w:p>
    <w:p w14:paraId="28668CC9" w14:textId="49A09B81" w:rsidR="00692B8D" w:rsidRPr="00834B27" w:rsidRDefault="00CF1A3B" w:rsidP="00B91E74">
      <w:pPr>
        <w:spacing w:line="276" w:lineRule="auto"/>
        <w:jc w:val="both"/>
        <w:rPr>
          <w:rFonts w:ascii="Calibri" w:hAnsi="Calibri" w:cs="Calibri"/>
          <w:lang w:val="ro-RO"/>
        </w:rPr>
      </w:pPr>
      <w:r w:rsidRPr="00834B27">
        <w:rPr>
          <w:rFonts w:ascii="Calibri" w:hAnsi="Calibri" w:cs="Calibri"/>
          <w:lang w:val="ro-RO"/>
        </w:rPr>
        <w:t xml:space="preserve">Nu se </w:t>
      </w:r>
      <w:r w:rsidR="001D3DA8" w:rsidRPr="00834B27">
        <w:rPr>
          <w:rFonts w:ascii="Calibri" w:hAnsi="Calibri" w:cs="Calibri"/>
          <w:lang w:val="ro-RO"/>
        </w:rPr>
        <w:t>datorează</w:t>
      </w:r>
      <w:r w:rsidRPr="00834B27">
        <w:rPr>
          <w:rFonts w:ascii="Calibri" w:hAnsi="Calibri" w:cs="Calibri"/>
          <w:lang w:val="ro-RO"/>
        </w:rPr>
        <w:t xml:space="preserve"> CAS pentru veniturile din pensii.</w:t>
      </w:r>
    </w:p>
    <w:p w14:paraId="29D2658F" w14:textId="77777777" w:rsidR="005030D8" w:rsidRPr="00834B27" w:rsidRDefault="005030D8" w:rsidP="00B91E74">
      <w:pPr>
        <w:spacing w:line="276" w:lineRule="auto"/>
        <w:jc w:val="both"/>
        <w:rPr>
          <w:rFonts w:ascii="Calibri" w:hAnsi="Calibri" w:cs="Calibri"/>
          <w:lang w:val="ro-RO"/>
        </w:rPr>
      </w:pPr>
    </w:p>
    <w:p w14:paraId="007CC624" w14:textId="441849D9" w:rsidR="00CF1A3B" w:rsidRPr="00834B27" w:rsidRDefault="00CF1A3B" w:rsidP="00B91E74">
      <w:pPr>
        <w:pStyle w:val="Listparagraf"/>
        <w:numPr>
          <w:ilvl w:val="2"/>
          <w:numId w:val="28"/>
        </w:numPr>
        <w:spacing w:line="276" w:lineRule="auto"/>
        <w:contextualSpacing w:val="0"/>
        <w:jc w:val="both"/>
        <w:rPr>
          <w:rFonts w:ascii="Calibri" w:hAnsi="Calibri" w:cs="Calibri"/>
          <w:b/>
          <w:bCs/>
          <w:lang w:val="ro-RO"/>
        </w:rPr>
      </w:pPr>
      <w:r w:rsidRPr="00834B27">
        <w:rPr>
          <w:rFonts w:ascii="Calibri" w:hAnsi="Calibri" w:cs="Calibri"/>
          <w:b/>
          <w:bCs/>
          <w:lang w:val="ro-RO"/>
        </w:rPr>
        <w:t>CASS</w:t>
      </w:r>
    </w:p>
    <w:p w14:paraId="134F9FBF" w14:textId="13F8A961" w:rsidR="00CF1A3B" w:rsidRPr="00834B27" w:rsidRDefault="00CF1A3B" w:rsidP="00B91E74">
      <w:pPr>
        <w:spacing w:line="276" w:lineRule="auto"/>
        <w:jc w:val="both"/>
        <w:rPr>
          <w:rFonts w:ascii="Calibri" w:hAnsi="Calibri" w:cs="Calibri"/>
          <w:lang w:val="ro-RO"/>
        </w:rPr>
      </w:pPr>
      <w:r w:rsidRPr="00834B27">
        <w:rPr>
          <w:rFonts w:ascii="Calibri" w:hAnsi="Calibri" w:cs="Calibri"/>
          <w:b/>
          <w:bCs/>
          <w:u w:val="single"/>
          <w:lang w:val="ro-RO"/>
        </w:rPr>
        <w:t>Cota de CASS:</w:t>
      </w:r>
      <w:r w:rsidRPr="00834B27">
        <w:rPr>
          <w:rFonts w:ascii="Calibri" w:hAnsi="Calibri" w:cs="Calibri"/>
          <w:lang w:val="ro-RO"/>
        </w:rPr>
        <w:t xml:space="preserve"> 10%;</w:t>
      </w:r>
    </w:p>
    <w:p w14:paraId="5BD69A0B" w14:textId="08241EED" w:rsidR="00CF1A3B" w:rsidRPr="00834B27" w:rsidRDefault="00CF1A3B" w:rsidP="00B91E74">
      <w:pPr>
        <w:spacing w:line="276" w:lineRule="auto"/>
        <w:jc w:val="both"/>
        <w:rPr>
          <w:rFonts w:ascii="Calibri" w:hAnsi="Calibri" w:cs="Calibri"/>
          <w:lang w:val="ro-RO"/>
        </w:rPr>
      </w:pPr>
      <w:r w:rsidRPr="00834B27">
        <w:rPr>
          <w:rFonts w:ascii="Calibri" w:hAnsi="Calibri" w:cs="Calibri"/>
          <w:b/>
          <w:bCs/>
          <w:u w:val="single"/>
          <w:lang w:val="ro-RO"/>
        </w:rPr>
        <w:t>Baza de calcul:</w:t>
      </w:r>
      <w:r w:rsidRPr="00834B27">
        <w:rPr>
          <w:rFonts w:ascii="Calibri" w:hAnsi="Calibri" w:cs="Calibri"/>
          <w:lang w:val="ro-RO"/>
        </w:rPr>
        <w:t xml:space="preserve"> </w:t>
      </w:r>
      <w:r w:rsidR="002A34D1" w:rsidRPr="00834B27">
        <w:rPr>
          <w:rFonts w:ascii="Calibri" w:hAnsi="Calibri" w:cs="Calibri"/>
          <w:lang w:val="ro-RO"/>
        </w:rPr>
        <w:t xml:space="preserve">venitul din pensie, pentru ce </w:t>
      </w:r>
      <w:r w:rsidR="001D3DA8" w:rsidRPr="00834B27">
        <w:rPr>
          <w:rFonts w:ascii="Calibri" w:hAnsi="Calibri" w:cs="Calibri"/>
          <w:lang w:val="ro-RO"/>
        </w:rPr>
        <w:t>depășește</w:t>
      </w:r>
      <w:r w:rsidR="002A34D1" w:rsidRPr="00834B27">
        <w:rPr>
          <w:rFonts w:ascii="Calibri" w:hAnsi="Calibri" w:cs="Calibri"/>
          <w:lang w:val="ro-RO"/>
        </w:rPr>
        <w:t xml:space="preserve"> 3.000 lei.</w:t>
      </w:r>
    </w:p>
    <w:p w14:paraId="2D8CCD32" w14:textId="40ED8DE6" w:rsidR="004F0064" w:rsidRPr="00834B27" w:rsidRDefault="004F0064" w:rsidP="00B91E74">
      <w:pPr>
        <w:spacing w:line="276" w:lineRule="auto"/>
        <w:jc w:val="both"/>
        <w:rPr>
          <w:rFonts w:ascii="Calibri" w:hAnsi="Calibri" w:cs="Calibri"/>
          <w:lang w:val="ro-RO"/>
        </w:rPr>
      </w:pPr>
      <w:r w:rsidRPr="00834B27">
        <w:rPr>
          <w:rFonts w:ascii="Calibri" w:hAnsi="Calibri" w:cs="Calibri"/>
          <w:b/>
          <w:bCs/>
          <w:u w:val="single"/>
          <w:lang w:val="ro-RO"/>
        </w:rPr>
        <w:t>Plata:</w:t>
      </w:r>
      <w:r w:rsidRPr="00834B27">
        <w:rPr>
          <w:rFonts w:ascii="Calibri" w:hAnsi="Calibri" w:cs="Calibri"/>
          <w:lang w:val="ro-RO"/>
        </w:rPr>
        <w:t xml:space="preserve"> calculul </w:t>
      </w:r>
      <w:r w:rsidR="001D3DA8" w:rsidRPr="00834B27">
        <w:rPr>
          <w:rFonts w:ascii="Calibri" w:hAnsi="Calibri" w:cs="Calibri"/>
          <w:lang w:val="ro-RO"/>
        </w:rPr>
        <w:t>ș</w:t>
      </w:r>
      <w:r w:rsidRPr="00834B27">
        <w:rPr>
          <w:rFonts w:ascii="Calibri" w:hAnsi="Calibri" w:cs="Calibri"/>
          <w:lang w:val="ro-RO"/>
        </w:rPr>
        <w:t xml:space="preserve">i plata CASS se fac de </w:t>
      </w:r>
      <w:r w:rsidR="001D3DA8" w:rsidRPr="00834B27">
        <w:rPr>
          <w:rFonts w:ascii="Calibri" w:hAnsi="Calibri" w:cs="Calibri"/>
          <w:lang w:val="ro-RO"/>
        </w:rPr>
        <w:t>către</w:t>
      </w:r>
      <w:r w:rsidRPr="00834B27">
        <w:rPr>
          <w:rFonts w:ascii="Calibri" w:hAnsi="Calibri" w:cs="Calibri"/>
          <w:lang w:val="ro-RO"/>
        </w:rPr>
        <w:t xml:space="preserve"> CNPP, care </w:t>
      </w:r>
      <w:r w:rsidR="001D3DA8" w:rsidRPr="00834B27">
        <w:rPr>
          <w:rFonts w:ascii="Calibri" w:hAnsi="Calibri" w:cs="Calibri"/>
          <w:lang w:val="ro-RO"/>
        </w:rPr>
        <w:t>î</w:t>
      </w:r>
      <w:r w:rsidRPr="00834B27">
        <w:rPr>
          <w:rFonts w:ascii="Calibri" w:hAnsi="Calibri" w:cs="Calibri"/>
          <w:lang w:val="ro-RO"/>
        </w:rPr>
        <w:t>l re</w:t>
      </w:r>
      <w:r w:rsidR="00D77C4B" w:rsidRPr="00834B27">
        <w:rPr>
          <w:rFonts w:ascii="Calibri" w:hAnsi="Calibri" w:cs="Calibri"/>
          <w:lang w:val="ro-RO"/>
        </w:rPr>
        <w:t>ț</w:t>
      </w:r>
      <w:r w:rsidRPr="00834B27">
        <w:rPr>
          <w:rFonts w:ascii="Calibri" w:hAnsi="Calibri" w:cs="Calibri"/>
          <w:lang w:val="ro-RO"/>
        </w:rPr>
        <w:t xml:space="preserve">ine </w:t>
      </w:r>
      <w:r w:rsidR="001D3DA8" w:rsidRPr="00834B27">
        <w:rPr>
          <w:rFonts w:ascii="Calibri" w:hAnsi="Calibri" w:cs="Calibri"/>
          <w:lang w:val="ro-RO"/>
        </w:rPr>
        <w:t>ș</w:t>
      </w:r>
      <w:r w:rsidRPr="00834B27">
        <w:rPr>
          <w:rFonts w:ascii="Calibri" w:hAnsi="Calibri" w:cs="Calibri"/>
          <w:lang w:val="ro-RO"/>
        </w:rPr>
        <w:t xml:space="preserve">i </w:t>
      </w:r>
      <w:r w:rsidR="001D3DA8" w:rsidRPr="00834B27">
        <w:rPr>
          <w:rFonts w:ascii="Calibri" w:hAnsi="Calibri" w:cs="Calibri"/>
          <w:lang w:val="ro-RO"/>
        </w:rPr>
        <w:t>virează</w:t>
      </w:r>
      <w:r w:rsidRPr="00834B27">
        <w:rPr>
          <w:rFonts w:ascii="Calibri" w:hAnsi="Calibri" w:cs="Calibri"/>
          <w:lang w:val="ro-RO"/>
        </w:rPr>
        <w:t xml:space="preserve"> la bugetul CNASS.</w:t>
      </w:r>
    </w:p>
    <w:p w14:paraId="6393861C" w14:textId="77777777" w:rsidR="004F0064" w:rsidRPr="00834B27" w:rsidRDefault="004F0064" w:rsidP="00B91E74">
      <w:pPr>
        <w:spacing w:line="276" w:lineRule="auto"/>
        <w:jc w:val="both"/>
        <w:rPr>
          <w:rFonts w:ascii="Calibri" w:hAnsi="Calibri" w:cs="Calibri"/>
          <w:lang w:val="ro-RO"/>
        </w:rPr>
      </w:pPr>
    </w:p>
    <w:p w14:paraId="0CF5FCBC" w14:textId="14C94E4A" w:rsidR="002A34D1" w:rsidRPr="00834B27" w:rsidRDefault="002A34D1" w:rsidP="00B91E74">
      <w:pPr>
        <w:spacing w:line="276" w:lineRule="auto"/>
        <w:jc w:val="both"/>
        <w:rPr>
          <w:rFonts w:ascii="Calibri" w:hAnsi="Calibri" w:cs="Calibri"/>
          <w:b/>
          <w:bCs/>
          <w:i/>
          <w:iCs/>
          <w:lang w:val="ro-RO"/>
        </w:rPr>
      </w:pPr>
      <w:r w:rsidRPr="00834B27">
        <w:rPr>
          <w:rFonts w:ascii="Calibri" w:hAnsi="Calibri" w:cs="Calibri"/>
          <w:b/>
          <w:bCs/>
          <w:i/>
          <w:iCs/>
          <w:lang w:val="ro-RO"/>
        </w:rPr>
        <w:t>Scurt istoric</w:t>
      </w:r>
    </w:p>
    <w:p w14:paraId="669774A6" w14:textId="2AB95BED" w:rsidR="0077223A" w:rsidRPr="00834B27" w:rsidRDefault="00113A96" w:rsidP="00B91E74">
      <w:pPr>
        <w:spacing w:line="276" w:lineRule="auto"/>
        <w:jc w:val="both"/>
        <w:rPr>
          <w:rFonts w:ascii="Calibri" w:hAnsi="Calibri" w:cs="Calibri"/>
          <w:i/>
          <w:iCs/>
          <w:lang w:val="ro-RO"/>
        </w:rPr>
      </w:pPr>
      <w:r w:rsidRPr="00834B27">
        <w:rPr>
          <w:rFonts w:ascii="Calibri" w:hAnsi="Calibri" w:cs="Calibri"/>
          <w:i/>
          <w:iCs/>
          <w:lang w:val="ro-RO"/>
        </w:rPr>
        <w:t>P</w:t>
      </w:r>
      <w:r w:rsidR="001D3DA8" w:rsidRPr="00834B27">
        <w:rPr>
          <w:rFonts w:ascii="Calibri" w:hAnsi="Calibri" w:cs="Calibri"/>
          <w:i/>
          <w:iCs/>
          <w:lang w:val="ro-RO"/>
        </w:rPr>
        <w:t>â</w:t>
      </w:r>
      <w:r w:rsidRPr="00834B27">
        <w:rPr>
          <w:rFonts w:ascii="Calibri" w:hAnsi="Calibri" w:cs="Calibri"/>
          <w:i/>
          <w:iCs/>
          <w:lang w:val="ro-RO"/>
        </w:rPr>
        <w:t>n</w:t>
      </w:r>
      <w:r w:rsidR="001D3DA8" w:rsidRPr="00834B27">
        <w:rPr>
          <w:rFonts w:ascii="Calibri" w:hAnsi="Calibri" w:cs="Calibri"/>
          <w:i/>
          <w:iCs/>
          <w:lang w:val="ro-RO"/>
        </w:rPr>
        <w:t>ă</w:t>
      </w:r>
      <w:r w:rsidRPr="00834B27">
        <w:rPr>
          <w:rFonts w:ascii="Calibri" w:hAnsi="Calibri" w:cs="Calibri"/>
          <w:i/>
          <w:iCs/>
          <w:lang w:val="ro-RO"/>
        </w:rPr>
        <w:t xml:space="preserve"> </w:t>
      </w:r>
      <w:r w:rsidR="001D3DA8" w:rsidRPr="00834B27">
        <w:rPr>
          <w:rFonts w:ascii="Calibri" w:hAnsi="Calibri" w:cs="Calibri"/>
          <w:i/>
          <w:iCs/>
          <w:lang w:val="ro-RO"/>
        </w:rPr>
        <w:t>î</w:t>
      </w:r>
      <w:r w:rsidRPr="00834B27">
        <w:rPr>
          <w:rFonts w:ascii="Calibri" w:hAnsi="Calibri" w:cs="Calibri"/>
          <w:i/>
          <w:iCs/>
          <w:lang w:val="ro-RO"/>
        </w:rPr>
        <w:t>n 201</w:t>
      </w:r>
      <w:r w:rsidR="00157D73" w:rsidRPr="00834B27">
        <w:rPr>
          <w:rFonts w:ascii="Calibri" w:hAnsi="Calibri" w:cs="Calibri"/>
          <w:i/>
          <w:iCs/>
          <w:lang w:val="ro-RO"/>
        </w:rPr>
        <w:t>5</w:t>
      </w:r>
      <w:r w:rsidRPr="00834B27">
        <w:rPr>
          <w:rFonts w:ascii="Calibri" w:hAnsi="Calibri" w:cs="Calibri"/>
          <w:i/>
          <w:iCs/>
          <w:lang w:val="ro-RO"/>
        </w:rPr>
        <w:t xml:space="preserve">, CASS era datorat pentru veniturile din pensii ce </w:t>
      </w:r>
      <w:r w:rsidR="001D3DA8" w:rsidRPr="00834B27">
        <w:rPr>
          <w:rFonts w:ascii="Calibri" w:hAnsi="Calibri" w:cs="Calibri"/>
          <w:i/>
          <w:iCs/>
          <w:lang w:val="ro-RO"/>
        </w:rPr>
        <w:t>depășeau</w:t>
      </w:r>
      <w:r w:rsidRPr="00834B27">
        <w:rPr>
          <w:rFonts w:ascii="Calibri" w:hAnsi="Calibri" w:cs="Calibri"/>
          <w:i/>
          <w:iCs/>
          <w:lang w:val="ro-RO"/>
        </w:rPr>
        <w:t xml:space="preserve"> pensia minim</w:t>
      </w:r>
      <w:r w:rsidR="001D3DA8" w:rsidRPr="00834B27">
        <w:rPr>
          <w:rFonts w:ascii="Calibri" w:hAnsi="Calibri" w:cs="Calibri"/>
          <w:i/>
          <w:iCs/>
          <w:lang w:val="ro-RO"/>
        </w:rPr>
        <w:t>ă</w:t>
      </w:r>
      <w:r w:rsidRPr="00834B27">
        <w:rPr>
          <w:rFonts w:ascii="Calibri" w:hAnsi="Calibri" w:cs="Calibri"/>
          <w:i/>
          <w:iCs/>
          <w:lang w:val="ro-RO"/>
        </w:rPr>
        <w:t xml:space="preserve">, de 740 lei. </w:t>
      </w:r>
      <w:r w:rsidR="00157D73" w:rsidRPr="00834B27">
        <w:rPr>
          <w:rFonts w:ascii="Calibri" w:hAnsi="Calibri" w:cs="Calibri"/>
          <w:i/>
          <w:iCs/>
          <w:lang w:val="ro-RO"/>
        </w:rPr>
        <w:t xml:space="preserve">Din 2016, noul CF a </w:t>
      </w:r>
      <w:r w:rsidR="001D3DA8" w:rsidRPr="00834B27">
        <w:rPr>
          <w:rFonts w:ascii="Calibri" w:hAnsi="Calibri" w:cs="Calibri"/>
          <w:i/>
          <w:iCs/>
          <w:lang w:val="ro-RO"/>
        </w:rPr>
        <w:t>prevăzut</w:t>
      </w:r>
      <w:r w:rsidR="00157D73" w:rsidRPr="00834B27">
        <w:rPr>
          <w:rFonts w:ascii="Calibri" w:hAnsi="Calibri" w:cs="Calibri"/>
          <w:i/>
          <w:iCs/>
          <w:lang w:val="ro-RO"/>
        </w:rPr>
        <w:t xml:space="preserve"> c</w:t>
      </w:r>
      <w:r w:rsidR="00285F1A" w:rsidRPr="00834B27">
        <w:rPr>
          <w:rFonts w:ascii="Calibri" w:hAnsi="Calibri" w:cs="Calibri"/>
          <w:i/>
          <w:iCs/>
          <w:lang w:val="ro-RO"/>
        </w:rPr>
        <w:t>ă</w:t>
      </w:r>
      <w:r w:rsidR="00157D73" w:rsidRPr="00834B27">
        <w:rPr>
          <w:rFonts w:ascii="Calibri" w:hAnsi="Calibri" w:cs="Calibri"/>
          <w:i/>
          <w:iCs/>
          <w:lang w:val="ro-RO"/>
        </w:rPr>
        <w:t xml:space="preserve"> CASS se datora doar pentru </w:t>
      </w:r>
      <w:r w:rsidR="00685651" w:rsidRPr="00834B27">
        <w:rPr>
          <w:rFonts w:ascii="Calibri" w:hAnsi="Calibri" w:cs="Calibri"/>
          <w:i/>
          <w:iCs/>
          <w:lang w:val="ro-RO"/>
        </w:rPr>
        <w:t xml:space="preserve">valoarea ce </w:t>
      </w:r>
      <w:r w:rsidR="001D3DA8" w:rsidRPr="00834B27">
        <w:rPr>
          <w:rFonts w:ascii="Calibri" w:hAnsi="Calibri" w:cs="Calibri"/>
          <w:i/>
          <w:iCs/>
          <w:lang w:val="ro-RO"/>
        </w:rPr>
        <w:t>depășea</w:t>
      </w:r>
      <w:r w:rsidR="00685651" w:rsidRPr="00834B27">
        <w:rPr>
          <w:rFonts w:ascii="Calibri" w:hAnsi="Calibri" w:cs="Calibri"/>
          <w:i/>
          <w:iCs/>
          <w:lang w:val="ro-RO"/>
        </w:rPr>
        <w:t xml:space="preserve"> 1</w:t>
      </w:r>
      <w:r w:rsidR="001D3DA8" w:rsidRPr="00834B27">
        <w:rPr>
          <w:rFonts w:ascii="Calibri" w:hAnsi="Calibri" w:cs="Calibri"/>
          <w:i/>
          <w:iCs/>
          <w:lang w:val="ro-RO"/>
        </w:rPr>
        <w:t> </w:t>
      </w:r>
      <w:r w:rsidR="00685651" w:rsidRPr="00834B27">
        <w:rPr>
          <w:rFonts w:ascii="Calibri" w:hAnsi="Calibri" w:cs="Calibri"/>
          <w:i/>
          <w:iCs/>
          <w:lang w:val="ro-RO"/>
        </w:rPr>
        <w:t xml:space="preserve"> punct de pensie (pensia medi</w:t>
      </w:r>
      <w:r w:rsidR="0079074F" w:rsidRPr="00834B27">
        <w:rPr>
          <w:rFonts w:ascii="Calibri" w:hAnsi="Calibri" w:cs="Calibri"/>
          <w:i/>
          <w:iCs/>
          <w:lang w:val="ro-RO"/>
        </w:rPr>
        <w:t>e</w:t>
      </w:r>
      <w:r w:rsidR="00685651" w:rsidRPr="00834B27">
        <w:rPr>
          <w:rFonts w:ascii="Calibri" w:hAnsi="Calibri" w:cs="Calibri"/>
          <w:i/>
          <w:iCs/>
          <w:lang w:val="ro-RO"/>
        </w:rPr>
        <w:t xml:space="preserve">). </w:t>
      </w:r>
      <w:r w:rsidRPr="00834B27">
        <w:rPr>
          <w:rFonts w:ascii="Calibri" w:hAnsi="Calibri" w:cs="Calibri"/>
          <w:i/>
          <w:iCs/>
          <w:lang w:val="ro-RO"/>
        </w:rPr>
        <w:t>Din 2017, baza de calcul al CASS devenea egal</w:t>
      </w:r>
      <w:r w:rsidR="001D3DA8" w:rsidRPr="00834B27">
        <w:rPr>
          <w:rFonts w:ascii="Calibri" w:hAnsi="Calibri" w:cs="Calibri"/>
          <w:i/>
          <w:iCs/>
          <w:lang w:val="ro-RO"/>
        </w:rPr>
        <w:t>ă</w:t>
      </w:r>
      <w:r w:rsidR="00B46536" w:rsidRPr="00834B27">
        <w:rPr>
          <w:rFonts w:ascii="Calibri" w:hAnsi="Calibri" w:cs="Calibri"/>
          <w:i/>
          <w:iCs/>
          <w:lang w:val="ro-RO"/>
        </w:rPr>
        <w:t xml:space="preserve"> cu venitul din pensie, dar </w:t>
      </w:r>
      <w:r w:rsidR="001D3DA8" w:rsidRPr="00834B27">
        <w:rPr>
          <w:rFonts w:ascii="Calibri" w:hAnsi="Calibri" w:cs="Calibri"/>
          <w:i/>
          <w:iCs/>
          <w:lang w:val="ro-RO"/>
        </w:rPr>
        <w:t>contribu</w:t>
      </w:r>
      <w:r w:rsidR="00D77C4B" w:rsidRPr="00834B27">
        <w:rPr>
          <w:rFonts w:ascii="Calibri" w:hAnsi="Calibri" w:cs="Calibri"/>
          <w:i/>
          <w:iCs/>
          <w:lang w:val="ro-RO"/>
        </w:rPr>
        <w:t>ț</w:t>
      </w:r>
      <w:r w:rsidR="001D3DA8" w:rsidRPr="00834B27">
        <w:rPr>
          <w:rFonts w:ascii="Calibri" w:hAnsi="Calibri" w:cs="Calibri"/>
          <w:i/>
          <w:iCs/>
          <w:lang w:val="ro-RO"/>
        </w:rPr>
        <w:t>ia</w:t>
      </w:r>
      <w:r w:rsidR="00B46536" w:rsidRPr="00834B27">
        <w:rPr>
          <w:rFonts w:ascii="Calibri" w:hAnsi="Calibri" w:cs="Calibri"/>
          <w:i/>
          <w:iCs/>
          <w:lang w:val="ro-RO"/>
        </w:rPr>
        <w:t xml:space="preserve"> era suportat</w:t>
      </w:r>
      <w:r w:rsidR="001D3DA8" w:rsidRPr="00834B27">
        <w:rPr>
          <w:rFonts w:ascii="Calibri" w:hAnsi="Calibri" w:cs="Calibri"/>
          <w:i/>
          <w:iCs/>
          <w:lang w:val="ro-RO"/>
        </w:rPr>
        <w:t>ă</w:t>
      </w:r>
      <w:r w:rsidR="00B46536" w:rsidRPr="00834B27">
        <w:rPr>
          <w:rFonts w:ascii="Calibri" w:hAnsi="Calibri" w:cs="Calibri"/>
          <w:i/>
          <w:iCs/>
          <w:lang w:val="ro-RO"/>
        </w:rPr>
        <w:t xml:space="preserve"> integral de la bugetul de stat, devenind practic zero.</w:t>
      </w:r>
      <w:r w:rsidR="002B089C" w:rsidRPr="00834B27">
        <w:rPr>
          <w:rFonts w:ascii="Calibri" w:hAnsi="Calibri" w:cs="Calibri"/>
          <w:i/>
          <w:iCs/>
          <w:lang w:val="ro-RO"/>
        </w:rPr>
        <w:t xml:space="preserve"> Din </w:t>
      </w:r>
      <w:r w:rsidR="00AB18FC" w:rsidRPr="00834B27">
        <w:rPr>
          <w:rFonts w:ascii="Calibri" w:hAnsi="Calibri" w:cs="Calibri"/>
          <w:i/>
          <w:iCs/>
          <w:lang w:val="ro-RO"/>
        </w:rPr>
        <w:t xml:space="preserve">martie 2018, pensiile sunt scutite pur </w:t>
      </w:r>
      <w:r w:rsidR="001D3DA8" w:rsidRPr="00834B27">
        <w:rPr>
          <w:rFonts w:ascii="Calibri" w:hAnsi="Calibri" w:cs="Calibri"/>
          <w:i/>
          <w:iCs/>
          <w:lang w:val="ro-RO"/>
        </w:rPr>
        <w:t>ș</w:t>
      </w:r>
      <w:r w:rsidR="00AB18FC" w:rsidRPr="00834B27">
        <w:rPr>
          <w:rFonts w:ascii="Calibri" w:hAnsi="Calibri" w:cs="Calibri"/>
          <w:i/>
          <w:iCs/>
          <w:lang w:val="ro-RO"/>
        </w:rPr>
        <w:t xml:space="preserve">i simplu de plata CASS, </w:t>
      </w:r>
      <w:r w:rsidR="001D3DA8" w:rsidRPr="00834B27">
        <w:rPr>
          <w:rFonts w:ascii="Calibri" w:hAnsi="Calibri" w:cs="Calibri"/>
          <w:i/>
          <w:iCs/>
          <w:lang w:val="ro-RO"/>
        </w:rPr>
        <w:t>fără</w:t>
      </w:r>
      <w:r w:rsidR="00AB18FC" w:rsidRPr="00834B27">
        <w:rPr>
          <w:rFonts w:ascii="Calibri" w:hAnsi="Calibri" w:cs="Calibri"/>
          <w:i/>
          <w:iCs/>
          <w:lang w:val="ro-RO"/>
        </w:rPr>
        <w:t xml:space="preserve"> plat</w:t>
      </w:r>
      <w:r w:rsidR="001D3DA8" w:rsidRPr="00834B27">
        <w:rPr>
          <w:rFonts w:ascii="Calibri" w:hAnsi="Calibri" w:cs="Calibri"/>
          <w:i/>
          <w:iCs/>
          <w:lang w:val="ro-RO"/>
        </w:rPr>
        <w:t>ă</w:t>
      </w:r>
      <w:r w:rsidR="00AB18FC" w:rsidRPr="00834B27">
        <w:rPr>
          <w:rFonts w:ascii="Calibri" w:hAnsi="Calibri" w:cs="Calibri"/>
          <w:i/>
          <w:iCs/>
          <w:lang w:val="ro-RO"/>
        </w:rPr>
        <w:t xml:space="preserve"> de la buget</w:t>
      </w:r>
      <w:r w:rsidR="00167212" w:rsidRPr="00834B27">
        <w:rPr>
          <w:rFonts w:ascii="Calibri" w:hAnsi="Calibri" w:cs="Calibri"/>
          <w:i/>
          <w:iCs/>
          <w:lang w:val="ro-RO"/>
        </w:rPr>
        <w:t xml:space="preserve">. Din ianuarie 2023, veniturile din pensii sunt supuse din nou </w:t>
      </w:r>
      <w:r w:rsidR="001D3DA8" w:rsidRPr="00834B27">
        <w:rPr>
          <w:rFonts w:ascii="Calibri" w:hAnsi="Calibri" w:cs="Calibri"/>
          <w:i/>
          <w:iCs/>
          <w:lang w:val="ro-RO"/>
        </w:rPr>
        <w:t>plă</w:t>
      </w:r>
      <w:r w:rsidR="00D77C4B" w:rsidRPr="00834B27">
        <w:rPr>
          <w:rFonts w:ascii="Calibri" w:hAnsi="Calibri" w:cs="Calibri"/>
          <w:i/>
          <w:iCs/>
          <w:lang w:val="ro-RO"/>
        </w:rPr>
        <w:t>ț</w:t>
      </w:r>
      <w:r w:rsidR="001D3DA8" w:rsidRPr="00834B27">
        <w:rPr>
          <w:rFonts w:ascii="Calibri" w:hAnsi="Calibri" w:cs="Calibri"/>
          <w:i/>
          <w:iCs/>
          <w:lang w:val="ro-RO"/>
        </w:rPr>
        <w:t>ii</w:t>
      </w:r>
      <w:r w:rsidR="00167212" w:rsidRPr="00834B27">
        <w:rPr>
          <w:rFonts w:ascii="Calibri" w:hAnsi="Calibri" w:cs="Calibri"/>
          <w:i/>
          <w:iCs/>
          <w:lang w:val="ro-RO"/>
        </w:rPr>
        <w:t xml:space="preserve"> CASS, dar doar pentru </w:t>
      </w:r>
      <w:r w:rsidR="00E81B80" w:rsidRPr="00834B27">
        <w:rPr>
          <w:rFonts w:ascii="Calibri" w:hAnsi="Calibri" w:cs="Calibri"/>
          <w:i/>
          <w:iCs/>
          <w:lang w:val="ro-RO"/>
        </w:rPr>
        <w:t xml:space="preserve">partea din pensie care </w:t>
      </w:r>
      <w:r w:rsidR="001D3DA8" w:rsidRPr="00834B27">
        <w:rPr>
          <w:rFonts w:ascii="Calibri" w:hAnsi="Calibri" w:cs="Calibri"/>
          <w:i/>
          <w:iCs/>
          <w:lang w:val="ro-RO"/>
        </w:rPr>
        <w:t>depășește</w:t>
      </w:r>
      <w:r w:rsidR="00E81B80" w:rsidRPr="00834B27">
        <w:rPr>
          <w:rFonts w:ascii="Calibri" w:hAnsi="Calibri" w:cs="Calibri"/>
          <w:i/>
          <w:iCs/>
          <w:lang w:val="ro-RO"/>
        </w:rPr>
        <w:t xml:space="preserve"> 4.000 lei.</w:t>
      </w:r>
      <w:r w:rsidR="002A39BC" w:rsidRPr="00834B27">
        <w:rPr>
          <w:rFonts w:ascii="Calibri" w:hAnsi="Calibri" w:cs="Calibri"/>
          <w:i/>
          <w:iCs/>
          <w:lang w:val="ro-RO"/>
        </w:rPr>
        <w:t xml:space="preserve"> Din </w:t>
      </w:r>
      <w:r w:rsidR="00126C1B" w:rsidRPr="00834B27">
        <w:rPr>
          <w:rFonts w:ascii="Calibri" w:hAnsi="Calibri" w:cs="Calibri"/>
          <w:i/>
          <w:iCs/>
          <w:lang w:val="ro-RO"/>
        </w:rPr>
        <w:t>august 2025, suma este redus</w:t>
      </w:r>
      <w:r w:rsidR="001D3DA8" w:rsidRPr="00834B27">
        <w:rPr>
          <w:rFonts w:ascii="Calibri" w:hAnsi="Calibri" w:cs="Calibri"/>
          <w:i/>
          <w:iCs/>
          <w:lang w:val="ro-RO"/>
        </w:rPr>
        <w:t>ă</w:t>
      </w:r>
      <w:r w:rsidR="00126C1B" w:rsidRPr="00834B27">
        <w:rPr>
          <w:rFonts w:ascii="Calibri" w:hAnsi="Calibri" w:cs="Calibri"/>
          <w:i/>
          <w:iCs/>
          <w:lang w:val="ro-RO"/>
        </w:rPr>
        <w:t xml:space="preserve"> la 3.000 lei.</w:t>
      </w:r>
    </w:p>
    <w:p w14:paraId="02F42505" w14:textId="7F9B3CEA" w:rsidR="00441837" w:rsidRPr="00834B27" w:rsidRDefault="00441837" w:rsidP="00B91E74">
      <w:pPr>
        <w:spacing w:line="276" w:lineRule="auto"/>
        <w:jc w:val="both"/>
        <w:rPr>
          <w:rFonts w:ascii="Calibri" w:hAnsi="Calibri" w:cs="Calibri"/>
          <w:i/>
          <w:iCs/>
          <w:lang w:val="ro-RO"/>
        </w:rPr>
      </w:pPr>
      <w:r w:rsidRPr="00834B27">
        <w:rPr>
          <w:rFonts w:ascii="Calibri" w:hAnsi="Calibri" w:cs="Calibri"/>
          <w:i/>
          <w:iCs/>
          <w:lang w:val="ro-RO"/>
        </w:rPr>
        <w:t>În 10 ani, regimul CASS pentru pensii s-a modificat de 7 ori, trecând de la impozitare, la scutire, la plata de la bugetul de stat, la scutire completă, și din nou la impozitare, cu praguri diferite la fiecare iterație. Această instabilitate face imposibilă orice previziune bugetară credibilă.</w:t>
      </w:r>
    </w:p>
    <w:p w14:paraId="1C766592" w14:textId="77777777" w:rsidR="002A34D1" w:rsidRPr="00834B27" w:rsidRDefault="002A34D1" w:rsidP="00B91E74">
      <w:pPr>
        <w:spacing w:line="276" w:lineRule="auto"/>
        <w:jc w:val="both"/>
        <w:rPr>
          <w:rFonts w:ascii="Calibri" w:hAnsi="Calibri" w:cs="Calibri"/>
          <w:i/>
          <w:iCs/>
          <w:lang w:val="ro-RO"/>
        </w:rPr>
      </w:pPr>
    </w:p>
    <w:p w14:paraId="0E2C955A" w14:textId="6DFDF642" w:rsidR="004F6E31" w:rsidRPr="00834B27" w:rsidRDefault="004F6E31" w:rsidP="009F2FDA">
      <w:pPr>
        <w:pStyle w:val="Listparagraf"/>
        <w:numPr>
          <w:ilvl w:val="1"/>
          <w:numId w:val="5"/>
        </w:numPr>
        <w:spacing w:line="276" w:lineRule="auto"/>
        <w:ind w:left="720" w:hanging="720"/>
        <w:contextualSpacing w:val="0"/>
        <w:jc w:val="both"/>
        <w:outlineLvl w:val="1"/>
        <w:rPr>
          <w:rFonts w:ascii="Calibri" w:hAnsi="Calibri" w:cs="Calibri"/>
          <w:b/>
          <w:bCs/>
          <w:lang w:val="ro-RO"/>
        </w:rPr>
      </w:pPr>
      <w:bookmarkStart w:id="8" w:name="_Toc223643877"/>
      <w:r w:rsidRPr="00834B27">
        <w:rPr>
          <w:rFonts w:ascii="Calibri" w:hAnsi="Calibri" w:cs="Calibri"/>
          <w:b/>
          <w:bCs/>
          <w:lang w:val="ro-RO"/>
        </w:rPr>
        <w:t xml:space="preserve">Venituri din </w:t>
      </w:r>
      <w:r w:rsidR="001D3DA8" w:rsidRPr="00834B27">
        <w:rPr>
          <w:rFonts w:ascii="Calibri" w:hAnsi="Calibri" w:cs="Calibri"/>
          <w:b/>
          <w:bCs/>
          <w:lang w:val="ro-RO"/>
        </w:rPr>
        <w:t>activită</w:t>
      </w:r>
      <w:r w:rsidR="00D77C4B" w:rsidRPr="00834B27">
        <w:rPr>
          <w:rFonts w:ascii="Calibri" w:hAnsi="Calibri" w:cs="Calibri"/>
          <w:b/>
          <w:bCs/>
          <w:lang w:val="ro-RO"/>
        </w:rPr>
        <w:t>ț</w:t>
      </w:r>
      <w:r w:rsidR="001D3DA8" w:rsidRPr="00834B27">
        <w:rPr>
          <w:rFonts w:ascii="Calibri" w:hAnsi="Calibri" w:cs="Calibri"/>
          <w:b/>
          <w:bCs/>
          <w:lang w:val="ro-RO"/>
        </w:rPr>
        <w:t>i</w:t>
      </w:r>
      <w:r w:rsidRPr="00834B27">
        <w:rPr>
          <w:rFonts w:ascii="Calibri" w:hAnsi="Calibri" w:cs="Calibri"/>
          <w:b/>
          <w:bCs/>
          <w:lang w:val="ro-RO"/>
        </w:rPr>
        <w:t xml:space="preserve"> agricole</w:t>
      </w:r>
      <w:r w:rsidR="00337997" w:rsidRPr="00834B27">
        <w:rPr>
          <w:rFonts w:ascii="Calibri" w:hAnsi="Calibri" w:cs="Calibri"/>
          <w:b/>
          <w:bCs/>
          <w:lang w:val="ro-RO"/>
        </w:rPr>
        <w:t>, silvicultur</w:t>
      </w:r>
      <w:r w:rsidR="001D3DA8" w:rsidRPr="00834B27">
        <w:rPr>
          <w:rFonts w:ascii="Calibri" w:hAnsi="Calibri" w:cs="Calibri"/>
          <w:b/>
          <w:bCs/>
          <w:lang w:val="ro-RO"/>
        </w:rPr>
        <w:t>ă</w:t>
      </w:r>
      <w:r w:rsidR="00337997" w:rsidRPr="00834B27">
        <w:rPr>
          <w:rFonts w:ascii="Calibri" w:hAnsi="Calibri" w:cs="Calibri"/>
          <w:b/>
          <w:bCs/>
          <w:lang w:val="ro-RO"/>
        </w:rPr>
        <w:t xml:space="preserve"> </w:t>
      </w:r>
      <w:r w:rsidR="001D3DA8" w:rsidRPr="00834B27">
        <w:rPr>
          <w:rFonts w:ascii="Calibri" w:hAnsi="Calibri" w:cs="Calibri"/>
          <w:b/>
          <w:bCs/>
          <w:lang w:val="ro-RO"/>
        </w:rPr>
        <w:t>ș</w:t>
      </w:r>
      <w:r w:rsidR="00337997" w:rsidRPr="00834B27">
        <w:rPr>
          <w:rFonts w:ascii="Calibri" w:hAnsi="Calibri" w:cs="Calibri"/>
          <w:b/>
          <w:bCs/>
          <w:lang w:val="ro-RO"/>
        </w:rPr>
        <w:t>i piscicultur</w:t>
      </w:r>
      <w:r w:rsidR="001D3DA8" w:rsidRPr="00834B27">
        <w:rPr>
          <w:rFonts w:ascii="Calibri" w:hAnsi="Calibri" w:cs="Calibri"/>
          <w:b/>
          <w:bCs/>
          <w:lang w:val="ro-RO"/>
        </w:rPr>
        <w:t>ă</w:t>
      </w:r>
      <w:bookmarkEnd w:id="8"/>
    </w:p>
    <w:p w14:paraId="22CE0097" w14:textId="118B4720" w:rsidR="004F6E31" w:rsidRPr="00834B27" w:rsidRDefault="004F6E31" w:rsidP="00B91E74">
      <w:pPr>
        <w:pStyle w:val="Listparagraf"/>
        <w:numPr>
          <w:ilvl w:val="2"/>
          <w:numId w:val="9"/>
        </w:numPr>
        <w:spacing w:line="276" w:lineRule="auto"/>
        <w:contextualSpacing w:val="0"/>
        <w:jc w:val="both"/>
        <w:rPr>
          <w:rFonts w:ascii="Calibri" w:hAnsi="Calibri" w:cs="Calibri"/>
          <w:b/>
          <w:bCs/>
          <w:lang w:val="ro-RO"/>
        </w:rPr>
      </w:pPr>
      <w:r w:rsidRPr="00834B27">
        <w:rPr>
          <w:rFonts w:ascii="Calibri" w:hAnsi="Calibri" w:cs="Calibri"/>
          <w:b/>
          <w:bCs/>
          <w:lang w:val="ro-RO"/>
        </w:rPr>
        <w:lastRenderedPageBreak/>
        <w:t>IV</w:t>
      </w:r>
    </w:p>
    <w:p w14:paraId="12819DB1" w14:textId="70307533" w:rsidR="004F6E31" w:rsidRPr="00834B27" w:rsidRDefault="00AB5581" w:rsidP="00B91E74">
      <w:pPr>
        <w:spacing w:line="276" w:lineRule="auto"/>
        <w:jc w:val="both"/>
        <w:rPr>
          <w:rFonts w:ascii="Calibri" w:hAnsi="Calibri" w:cs="Calibri"/>
          <w:lang w:val="ro-RO"/>
        </w:rPr>
      </w:pPr>
      <w:r w:rsidRPr="00834B27">
        <w:rPr>
          <w:rFonts w:ascii="Calibri" w:hAnsi="Calibri" w:cs="Calibri"/>
          <w:b/>
          <w:bCs/>
          <w:u w:val="single"/>
          <w:lang w:val="ro-RO"/>
        </w:rPr>
        <w:t>Cota de IV:</w:t>
      </w:r>
      <w:r w:rsidRPr="00834B27">
        <w:rPr>
          <w:rFonts w:ascii="Calibri" w:hAnsi="Calibri" w:cs="Calibri"/>
          <w:lang w:val="ro-RO"/>
        </w:rPr>
        <w:t xml:space="preserve"> </w:t>
      </w:r>
      <w:r w:rsidR="00CB04CB" w:rsidRPr="00834B27">
        <w:rPr>
          <w:rFonts w:ascii="Calibri" w:hAnsi="Calibri" w:cs="Calibri"/>
          <w:lang w:val="ro-RO"/>
        </w:rPr>
        <w:t>10%;</w:t>
      </w:r>
    </w:p>
    <w:p w14:paraId="26BE4784" w14:textId="6ABBC477" w:rsidR="00CB04CB" w:rsidRPr="00834B27" w:rsidRDefault="00CB04CB" w:rsidP="00B91E74">
      <w:pPr>
        <w:spacing w:line="276" w:lineRule="auto"/>
        <w:jc w:val="both"/>
        <w:rPr>
          <w:rFonts w:ascii="Calibri" w:hAnsi="Calibri" w:cs="Calibri"/>
          <w:lang w:val="ro-RO"/>
        </w:rPr>
      </w:pPr>
      <w:r w:rsidRPr="00834B27">
        <w:rPr>
          <w:rFonts w:ascii="Calibri" w:hAnsi="Calibri" w:cs="Calibri"/>
          <w:b/>
          <w:bCs/>
          <w:u w:val="single"/>
          <w:lang w:val="ro-RO"/>
        </w:rPr>
        <w:t>Baza de calcul:</w:t>
      </w:r>
      <w:r w:rsidRPr="00834B27">
        <w:rPr>
          <w:rFonts w:ascii="Calibri" w:hAnsi="Calibri" w:cs="Calibri"/>
          <w:lang w:val="ro-RO"/>
        </w:rPr>
        <w:t xml:space="preserve"> venitul impozabil calculat pe baza datelor din contabilitatea </w:t>
      </w:r>
      <w:r w:rsidR="001D3DA8" w:rsidRPr="00834B27">
        <w:rPr>
          <w:rFonts w:ascii="Calibri" w:hAnsi="Calibri" w:cs="Calibri"/>
          <w:lang w:val="ro-RO"/>
        </w:rPr>
        <w:t>î</w:t>
      </w:r>
      <w:r w:rsidRPr="00834B27">
        <w:rPr>
          <w:rFonts w:ascii="Calibri" w:hAnsi="Calibri" w:cs="Calibri"/>
          <w:lang w:val="ro-RO"/>
        </w:rPr>
        <w:t>n partid</w:t>
      </w:r>
      <w:r w:rsidR="001D3DA8" w:rsidRPr="00834B27">
        <w:rPr>
          <w:rFonts w:ascii="Calibri" w:hAnsi="Calibri" w:cs="Calibri"/>
          <w:lang w:val="ro-RO"/>
        </w:rPr>
        <w:t>ă</w:t>
      </w:r>
      <w:r w:rsidRPr="00834B27">
        <w:rPr>
          <w:rFonts w:ascii="Calibri" w:hAnsi="Calibri" w:cs="Calibri"/>
          <w:lang w:val="ro-RO"/>
        </w:rPr>
        <w:t xml:space="preserve"> simpl</w:t>
      </w:r>
      <w:r w:rsidR="001D3DA8" w:rsidRPr="00834B27">
        <w:rPr>
          <w:rFonts w:ascii="Calibri" w:hAnsi="Calibri" w:cs="Calibri"/>
          <w:lang w:val="ro-RO"/>
        </w:rPr>
        <w:t>ă</w:t>
      </w:r>
      <w:r w:rsidRPr="00834B27">
        <w:rPr>
          <w:rFonts w:ascii="Calibri" w:hAnsi="Calibri" w:cs="Calibri"/>
          <w:lang w:val="ro-RO"/>
        </w:rPr>
        <w:t xml:space="preserve"> sau, dup</w:t>
      </w:r>
      <w:r w:rsidR="001D3DA8" w:rsidRPr="00834B27">
        <w:rPr>
          <w:rFonts w:ascii="Calibri" w:hAnsi="Calibri" w:cs="Calibri"/>
          <w:lang w:val="ro-RO"/>
        </w:rPr>
        <w:t>ă</w:t>
      </w:r>
      <w:r w:rsidRPr="00834B27">
        <w:rPr>
          <w:rFonts w:ascii="Calibri" w:hAnsi="Calibri" w:cs="Calibri"/>
          <w:lang w:val="ro-RO"/>
        </w:rPr>
        <w:t xml:space="preserve"> caz, </w:t>
      </w:r>
      <w:r w:rsidR="00C068D7" w:rsidRPr="00834B27">
        <w:rPr>
          <w:rFonts w:ascii="Calibri" w:hAnsi="Calibri" w:cs="Calibri"/>
          <w:lang w:val="ro-RO"/>
        </w:rPr>
        <w:t xml:space="preserve">venitul impozabil calculat pe baza normelor de venit </w:t>
      </w:r>
      <w:r w:rsidR="001D3DA8" w:rsidRPr="00834B27">
        <w:rPr>
          <w:rFonts w:ascii="Calibri" w:hAnsi="Calibri" w:cs="Calibri"/>
          <w:lang w:val="ro-RO"/>
        </w:rPr>
        <w:t>prevăzute</w:t>
      </w:r>
      <w:r w:rsidR="00C068D7" w:rsidRPr="00834B27">
        <w:rPr>
          <w:rFonts w:ascii="Calibri" w:hAnsi="Calibri" w:cs="Calibri"/>
          <w:lang w:val="ro-RO"/>
        </w:rPr>
        <w:t xml:space="preserve"> la art. </w:t>
      </w:r>
      <w:r w:rsidR="00655403" w:rsidRPr="00834B27">
        <w:rPr>
          <w:rFonts w:ascii="Calibri" w:hAnsi="Calibri" w:cs="Calibri"/>
          <w:lang w:val="ro-RO"/>
        </w:rPr>
        <w:t xml:space="preserve">106 din CF. Normele de venit </w:t>
      </w:r>
      <w:r w:rsidR="001D3DA8" w:rsidRPr="00834B27">
        <w:rPr>
          <w:rFonts w:ascii="Calibri" w:hAnsi="Calibri" w:cs="Calibri"/>
          <w:lang w:val="ro-RO"/>
        </w:rPr>
        <w:t>prevăzute</w:t>
      </w:r>
      <w:r w:rsidR="00655403" w:rsidRPr="00834B27">
        <w:rPr>
          <w:rFonts w:ascii="Calibri" w:hAnsi="Calibri" w:cs="Calibri"/>
          <w:lang w:val="ro-RO"/>
        </w:rPr>
        <w:t xml:space="preserve"> la art. 106 din CF </w:t>
      </w:r>
      <w:r w:rsidR="0047626F" w:rsidRPr="00834B27">
        <w:rPr>
          <w:rFonts w:ascii="Calibri" w:hAnsi="Calibri" w:cs="Calibri"/>
          <w:lang w:val="ro-RO"/>
        </w:rPr>
        <w:t xml:space="preserve">sunt stabilite </w:t>
      </w:r>
      <w:r w:rsidR="001D3DA8" w:rsidRPr="00834B27">
        <w:rPr>
          <w:rFonts w:ascii="Calibri" w:hAnsi="Calibri" w:cs="Calibri"/>
          <w:lang w:val="ro-RO"/>
        </w:rPr>
        <w:t>î</w:t>
      </w:r>
      <w:r w:rsidR="0047626F" w:rsidRPr="00834B27">
        <w:rPr>
          <w:rFonts w:ascii="Calibri" w:hAnsi="Calibri" w:cs="Calibri"/>
          <w:lang w:val="ro-RO"/>
        </w:rPr>
        <w:t xml:space="preserve">n </w:t>
      </w:r>
      <w:r w:rsidR="001D3DA8" w:rsidRPr="00834B27">
        <w:rPr>
          <w:rFonts w:ascii="Calibri" w:hAnsi="Calibri" w:cs="Calibri"/>
          <w:lang w:val="ro-RO"/>
        </w:rPr>
        <w:t>func</w:t>
      </w:r>
      <w:r w:rsidR="00D77C4B" w:rsidRPr="00834B27">
        <w:rPr>
          <w:rFonts w:ascii="Calibri" w:hAnsi="Calibri" w:cs="Calibri"/>
          <w:lang w:val="ro-RO"/>
        </w:rPr>
        <w:t>ț</w:t>
      </w:r>
      <w:r w:rsidR="001D3DA8" w:rsidRPr="00834B27">
        <w:rPr>
          <w:rFonts w:ascii="Calibri" w:hAnsi="Calibri" w:cs="Calibri"/>
          <w:lang w:val="ro-RO"/>
        </w:rPr>
        <w:t>ie</w:t>
      </w:r>
      <w:r w:rsidR="0047626F" w:rsidRPr="00834B27">
        <w:rPr>
          <w:rFonts w:ascii="Calibri" w:hAnsi="Calibri" w:cs="Calibri"/>
          <w:lang w:val="ro-RO"/>
        </w:rPr>
        <w:t xml:space="preserve"> de fiecare tip de cultur</w:t>
      </w:r>
      <w:r w:rsidR="00285F1A" w:rsidRPr="00834B27">
        <w:rPr>
          <w:rFonts w:ascii="Calibri" w:hAnsi="Calibri" w:cs="Calibri"/>
          <w:lang w:val="ro-RO"/>
        </w:rPr>
        <w:t>ă</w:t>
      </w:r>
      <w:r w:rsidR="0047626F" w:rsidRPr="00834B27">
        <w:rPr>
          <w:rFonts w:ascii="Calibri" w:hAnsi="Calibri" w:cs="Calibri"/>
          <w:lang w:val="ro-RO"/>
        </w:rPr>
        <w:t xml:space="preserve"> </w:t>
      </w:r>
      <w:r w:rsidR="001D3DA8" w:rsidRPr="00834B27">
        <w:rPr>
          <w:rFonts w:ascii="Calibri" w:hAnsi="Calibri" w:cs="Calibri"/>
          <w:lang w:val="ro-RO"/>
        </w:rPr>
        <w:t>ș</w:t>
      </w:r>
      <w:r w:rsidR="0006717F" w:rsidRPr="00834B27">
        <w:rPr>
          <w:rFonts w:ascii="Calibri" w:hAnsi="Calibri" w:cs="Calibri"/>
          <w:lang w:val="ro-RO"/>
        </w:rPr>
        <w:t xml:space="preserve">i </w:t>
      </w:r>
      <w:r w:rsidR="001D3DA8" w:rsidRPr="00834B27">
        <w:rPr>
          <w:rFonts w:ascii="Calibri" w:hAnsi="Calibri" w:cs="Calibri"/>
          <w:lang w:val="ro-RO"/>
        </w:rPr>
        <w:t>suprafe</w:t>
      </w:r>
      <w:r w:rsidR="00D77C4B" w:rsidRPr="00834B27">
        <w:rPr>
          <w:rFonts w:ascii="Calibri" w:hAnsi="Calibri" w:cs="Calibri"/>
          <w:lang w:val="ro-RO"/>
        </w:rPr>
        <w:t>ț</w:t>
      </w:r>
      <w:r w:rsidR="001D3DA8" w:rsidRPr="00834B27">
        <w:rPr>
          <w:rFonts w:ascii="Calibri" w:hAnsi="Calibri" w:cs="Calibri"/>
          <w:lang w:val="ro-RO"/>
        </w:rPr>
        <w:t>e</w:t>
      </w:r>
      <w:r w:rsidR="0006717F" w:rsidRPr="00834B27">
        <w:rPr>
          <w:rFonts w:ascii="Calibri" w:hAnsi="Calibri" w:cs="Calibri"/>
          <w:lang w:val="ro-RO"/>
        </w:rPr>
        <w:t xml:space="preserve"> cultivate, precum </w:t>
      </w:r>
      <w:r w:rsidR="001D3DA8" w:rsidRPr="00834B27">
        <w:rPr>
          <w:rFonts w:ascii="Calibri" w:hAnsi="Calibri" w:cs="Calibri"/>
          <w:lang w:val="ro-RO"/>
        </w:rPr>
        <w:t>ș</w:t>
      </w:r>
      <w:r w:rsidR="0006717F" w:rsidRPr="00834B27">
        <w:rPr>
          <w:rFonts w:ascii="Calibri" w:hAnsi="Calibri" w:cs="Calibri"/>
          <w:lang w:val="ro-RO"/>
        </w:rPr>
        <w:t xml:space="preserve">i pentru animale, </w:t>
      </w:r>
      <w:r w:rsidR="001D3DA8" w:rsidRPr="00834B27">
        <w:rPr>
          <w:rFonts w:ascii="Calibri" w:hAnsi="Calibri" w:cs="Calibri"/>
          <w:lang w:val="ro-RO"/>
        </w:rPr>
        <w:t>î</w:t>
      </w:r>
      <w:r w:rsidR="0006717F" w:rsidRPr="00834B27">
        <w:rPr>
          <w:rFonts w:ascii="Calibri" w:hAnsi="Calibri" w:cs="Calibri"/>
          <w:lang w:val="ro-RO"/>
        </w:rPr>
        <w:t xml:space="preserve">n </w:t>
      </w:r>
      <w:r w:rsidR="001D3DA8" w:rsidRPr="00834B27">
        <w:rPr>
          <w:rFonts w:ascii="Calibri" w:hAnsi="Calibri" w:cs="Calibri"/>
          <w:lang w:val="ro-RO"/>
        </w:rPr>
        <w:t>func</w:t>
      </w:r>
      <w:r w:rsidR="00D77C4B" w:rsidRPr="00834B27">
        <w:rPr>
          <w:rFonts w:ascii="Calibri" w:hAnsi="Calibri" w:cs="Calibri"/>
          <w:lang w:val="ro-RO"/>
        </w:rPr>
        <w:t>ț</w:t>
      </w:r>
      <w:r w:rsidR="001D3DA8" w:rsidRPr="00834B27">
        <w:rPr>
          <w:rFonts w:ascii="Calibri" w:hAnsi="Calibri" w:cs="Calibri"/>
          <w:lang w:val="ro-RO"/>
        </w:rPr>
        <w:t>ie</w:t>
      </w:r>
      <w:r w:rsidR="0006717F" w:rsidRPr="00834B27">
        <w:rPr>
          <w:rFonts w:ascii="Calibri" w:hAnsi="Calibri" w:cs="Calibri"/>
          <w:lang w:val="ro-RO"/>
        </w:rPr>
        <w:t xml:space="preserve"> de </w:t>
      </w:r>
      <w:r w:rsidR="001D3DA8" w:rsidRPr="00834B27">
        <w:rPr>
          <w:rFonts w:ascii="Calibri" w:hAnsi="Calibri" w:cs="Calibri"/>
          <w:lang w:val="ro-RO"/>
        </w:rPr>
        <w:t>numărul</w:t>
      </w:r>
      <w:r w:rsidR="0006717F" w:rsidRPr="00834B27">
        <w:rPr>
          <w:rFonts w:ascii="Calibri" w:hAnsi="Calibri" w:cs="Calibri"/>
          <w:lang w:val="ro-RO"/>
        </w:rPr>
        <w:t xml:space="preserve"> lor.</w:t>
      </w:r>
    </w:p>
    <w:p w14:paraId="2D3F9CBF" w14:textId="10156020" w:rsidR="0006717F" w:rsidRPr="00834B27" w:rsidRDefault="0006717F" w:rsidP="00B91E74">
      <w:pPr>
        <w:spacing w:line="276" w:lineRule="auto"/>
        <w:jc w:val="both"/>
        <w:rPr>
          <w:rFonts w:ascii="Calibri" w:hAnsi="Calibri" w:cs="Calibri"/>
          <w:lang w:val="ro-RO"/>
        </w:rPr>
      </w:pPr>
      <w:r w:rsidRPr="00834B27">
        <w:rPr>
          <w:rFonts w:ascii="Calibri" w:hAnsi="Calibri" w:cs="Calibri"/>
          <w:b/>
          <w:bCs/>
          <w:u w:val="single"/>
          <w:lang w:val="ro-RO"/>
        </w:rPr>
        <w:t>Plata:</w:t>
      </w:r>
      <w:r w:rsidRPr="00834B27">
        <w:rPr>
          <w:rFonts w:ascii="Calibri" w:hAnsi="Calibri" w:cs="Calibri"/>
          <w:lang w:val="ro-RO"/>
        </w:rPr>
        <w:t xml:space="preserve"> anual, p</w:t>
      </w:r>
      <w:r w:rsidR="001D3DA8" w:rsidRPr="00834B27">
        <w:rPr>
          <w:rFonts w:ascii="Calibri" w:hAnsi="Calibri" w:cs="Calibri"/>
          <w:lang w:val="ro-RO"/>
        </w:rPr>
        <w:t>â</w:t>
      </w:r>
      <w:r w:rsidRPr="00834B27">
        <w:rPr>
          <w:rFonts w:ascii="Calibri" w:hAnsi="Calibri" w:cs="Calibri"/>
          <w:lang w:val="ro-RO"/>
        </w:rPr>
        <w:t>n</w:t>
      </w:r>
      <w:r w:rsidR="001D3DA8" w:rsidRPr="00834B27">
        <w:rPr>
          <w:rFonts w:ascii="Calibri" w:hAnsi="Calibri" w:cs="Calibri"/>
          <w:lang w:val="ro-RO"/>
        </w:rPr>
        <w:t>ă</w:t>
      </w:r>
      <w:r w:rsidRPr="00834B27">
        <w:rPr>
          <w:rFonts w:ascii="Calibri" w:hAnsi="Calibri" w:cs="Calibri"/>
          <w:lang w:val="ro-RO"/>
        </w:rPr>
        <w:t xml:space="preserve"> la termenul de depunere al D212.</w:t>
      </w:r>
    </w:p>
    <w:p w14:paraId="1186BEC7" w14:textId="77777777" w:rsidR="001D3DA8" w:rsidRPr="00834B27" w:rsidRDefault="001D3DA8" w:rsidP="00B91E74">
      <w:pPr>
        <w:spacing w:line="276" w:lineRule="auto"/>
        <w:jc w:val="both"/>
        <w:rPr>
          <w:rFonts w:ascii="Calibri" w:hAnsi="Calibri" w:cs="Calibri"/>
          <w:lang w:val="ro-RO"/>
        </w:rPr>
      </w:pPr>
    </w:p>
    <w:p w14:paraId="467CB50B" w14:textId="1CBDDD3B" w:rsidR="0006717F" w:rsidRPr="00834B27" w:rsidRDefault="00534DB8" w:rsidP="00B91E74">
      <w:pPr>
        <w:pStyle w:val="Listparagraf"/>
        <w:numPr>
          <w:ilvl w:val="2"/>
          <w:numId w:val="9"/>
        </w:numPr>
        <w:spacing w:line="276" w:lineRule="auto"/>
        <w:contextualSpacing w:val="0"/>
        <w:jc w:val="both"/>
        <w:rPr>
          <w:rFonts w:ascii="Calibri" w:hAnsi="Calibri" w:cs="Calibri"/>
          <w:b/>
          <w:bCs/>
          <w:lang w:val="ro-RO"/>
        </w:rPr>
      </w:pPr>
      <w:r w:rsidRPr="00834B27">
        <w:rPr>
          <w:rFonts w:ascii="Calibri" w:hAnsi="Calibri" w:cs="Calibri"/>
          <w:b/>
          <w:bCs/>
          <w:lang w:val="ro-RO"/>
        </w:rPr>
        <w:t>CAS</w:t>
      </w:r>
    </w:p>
    <w:p w14:paraId="28AF8F13" w14:textId="7C50CA9D" w:rsidR="00534DB8" w:rsidRPr="00834B27" w:rsidRDefault="009C7F75" w:rsidP="0050342C">
      <w:pPr>
        <w:spacing w:line="276" w:lineRule="auto"/>
        <w:jc w:val="both"/>
        <w:rPr>
          <w:rFonts w:ascii="Calibri" w:hAnsi="Calibri" w:cs="Calibri"/>
          <w:lang w:val="ro-RO"/>
        </w:rPr>
      </w:pPr>
      <w:r w:rsidRPr="00834B27">
        <w:rPr>
          <w:rFonts w:ascii="Calibri" w:hAnsi="Calibri" w:cs="Calibri"/>
          <w:b/>
          <w:bCs/>
          <w:u w:val="single"/>
          <w:lang w:val="ro-RO"/>
        </w:rPr>
        <w:t>Nu se datorează CAS</w:t>
      </w:r>
      <w:r w:rsidR="0050342C" w:rsidRPr="00834B27">
        <w:rPr>
          <w:rFonts w:ascii="Calibri" w:hAnsi="Calibri" w:cs="Calibri"/>
          <w:b/>
          <w:bCs/>
          <w:u w:val="single"/>
          <w:lang w:val="ro-RO"/>
        </w:rPr>
        <w:t xml:space="preserve">. </w:t>
      </w:r>
    </w:p>
    <w:p w14:paraId="6FDF6F6B" w14:textId="77777777" w:rsidR="001D3DA8" w:rsidRPr="00834B27" w:rsidRDefault="001D3DA8" w:rsidP="00B91E74">
      <w:pPr>
        <w:spacing w:line="276" w:lineRule="auto"/>
        <w:jc w:val="both"/>
        <w:rPr>
          <w:rFonts w:ascii="Calibri" w:hAnsi="Calibri" w:cs="Calibri"/>
          <w:lang w:val="ro-RO"/>
        </w:rPr>
      </w:pPr>
    </w:p>
    <w:p w14:paraId="21520FF3" w14:textId="20FD6984" w:rsidR="00BF7E7A" w:rsidRPr="00834B27" w:rsidRDefault="00957205" w:rsidP="00B91E74">
      <w:pPr>
        <w:pStyle w:val="Listparagraf"/>
        <w:numPr>
          <w:ilvl w:val="2"/>
          <w:numId w:val="9"/>
        </w:numPr>
        <w:spacing w:line="276" w:lineRule="auto"/>
        <w:contextualSpacing w:val="0"/>
        <w:jc w:val="both"/>
        <w:rPr>
          <w:rFonts w:ascii="Calibri" w:hAnsi="Calibri" w:cs="Calibri"/>
          <w:b/>
          <w:bCs/>
          <w:lang w:val="ro-RO"/>
        </w:rPr>
      </w:pPr>
      <w:r w:rsidRPr="00834B27">
        <w:rPr>
          <w:rFonts w:ascii="Calibri" w:hAnsi="Calibri" w:cs="Calibri"/>
          <w:b/>
          <w:bCs/>
          <w:lang w:val="ro-RO"/>
        </w:rPr>
        <w:t>CASS</w:t>
      </w:r>
    </w:p>
    <w:p w14:paraId="3AEC942E" w14:textId="015E4AC0" w:rsidR="003F0204" w:rsidRPr="00834B27" w:rsidRDefault="003F0204" w:rsidP="00B91E74">
      <w:pPr>
        <w:spacing w:line="276" w:lineRule="auto"/>
        <w:jc w:val="both"/>
        <w:rPr>
          <w:rFonts w:ascii="Calibri" w:hAnsi="Calibri" w:cs="Calibri"/>
          <w:lang w:val="ro-RO"/>
        </w:rPr>
      </w:pPr>
      <w:r w:rsidRPr="00834B27">
        <w:rPr>
          <w:rFonts w:ascii="Calibri" w:hAnsi="Calibri" w:cs="Calibri"/>
          <w:b/>
          <w:bCs/>
          <w:u w:val="single"/>
          <w:lang w:val="ro-RO"/>
        </w:rPr>
        <w:t>Cota de CASS:</w:t>
      </w:r>
      <w:r w:rsidRPr="00834B27">
        <w:rPr>
          <w:rFonts w:ascii="Calibri" w:hAnsi="Calibri" w:cs="Calibri"/>
          <w:lang w:val="ro-RO"/>
        </w:rPr>
        <w:t xml:space="preserve"> 10%;</w:t>
      </w:r>
    </w:p>
    <w:p w14:paraId="474D75F9" w14:textId="4956B2D0" w:rsidR="003F0204" w:rsidRPr="00834B27" w:rsidRDefault="003F0204" w:rsidP="00B91E74">
      <w:pPr>
        <w:spacing w:line="276" w:lineRule="auto"/>
        <w:jc w:val="both"/>
        <w:rPr>
          <w:rFonts w:ascii="Calibri" w:hAnsi="Calibri" w:cs="Calibri"/>
          <w:lang w:val="ro-RO"/>
        </w:rPr>
      </w:pPr>
      <w:r w:rsidRPr="00834B27">
        <w:rPr>
          <w:rFonts w:ascii="Calibri" w:hAnsi="Calibri" w:cs="Calibri"/>
          <w:b/>
          <w:bCs/>
          <w:u w:val="single"/>
          <w:lang w:val="ro-RO"/>
        </w:rPr>
        <w:t xml:space="preserve">Baza de </w:t>
      </w:r>
      <w:r w:rsidR="00B257FA" w:rsidRPr="00834B27">
        <w:rPr>
          <w:rFonts w:ascii="Calibri" w:hAnsi="Calibri" w:cs="Calibri"/>
          <w:b/>
          <w:bCs/>
          <w:u w:val="single"/>
          <w:lang w:val="ro-RO"/>
        </w:rPr>
        <w:t>calcul:</w:t>
      </w:r>
      <w:r w:rsidR="00B257FA" w:rsidRPr="00834B27">
        <w:rPr>
          <w:rFonts w:ascii="Calibri" w:hAnsi="Calibri" w:cs="Calibri"/>
          <w:lang w:val="ro-RO"/>
        </w:rPr>
        <w:t xml:space="preserve"> veniturile din aceast</w:t>
      </w:r>
      <w:r w:rsidR="00761F94" w:rsidRPr="00834B27">
        <w:rPr>
          <w:rFonts w:ascii="Calibri" w:hAnsi="Calibri" w:cs="Calibri"/>
          <w:lang w:val="ro-RO"/>
        </w:rPr>
        <w:t>ă</w:t>
      </w:r>
      <w:r w:rsidR="00B257FA" w:rsidRPr="00834B27">
        <w:rPr>
          <w:rFonts w:ascii="Calibri" w:hAnsi="Calibri" w:cs="Calibri"/>
          <w:lang w:val="ro-RO"/>
        </w:rPr>
        <w:t xml:space="preserve"> categorie sunt incluse </w:t>
      </w:r>
      <w:r w:rsidR="00761F94" w:rsidRPr="00834B27">
        <w:rPr>
          <w:rFonts w:ascii="Calibri" w:hAnsi="Calibri" w:cs="Calibri"/>
          <w:lang w:val="ro-RO"/>
        </w:rPr>
        <w:t>î</w:t>
      </w:r>
      <w:r w:rsidR="00B257FA" w:rsidRPr="00834B27">
        <w:rPr>
          <w:rFonts w:ascii="Calibri" w:hAnsi="Calibri" w:cs="Calibri"/>
          <w:lang w:val="ro-RO"/>
        </w:rPr>
        <w:t xml:space="preserve">n </w:t>
      </w:r>
      <w:r w:rsidR="00761F94" w:rsidRPr="00834B27">
        <w:rPr>
          <w:rFonts w:ascii="Calibri" w:hAnsi="Calibri" w:cs="Calibri"/>
          <w:lang w:val="ro-RO"/>
        </w:rPr>
        <w:t>„</w:t>
      </w:r>
      <w:r w:rsidR="00B257FA" w:rsidRPr="00834B27">
        <w:rPr>
          <w:rFonts w:ascii="Calibri" w:hAnsi="Calibri" w:cs="Calibri"/>
          <w:lang w:val="ro-RO"/>
        </w:rPr>
        <w:t>co</w:t>
      </w:r>
      <w:r w:rsidR="00761F94" w:rsidRPr="00834B27">
        <w:rPr>
          <w:rFonts w:ascii="Calibri" w:hAnsi="Calibri" w:cs="Calibri"/>
          <w:lang w:val="ro-RO"/>
        </w:rPr>
        <w:t>ș</w:t>
      </w:r>
      <w:r w:rsidR="00B257FA" w:rsidRPr="00834B27">
        <w:rPr>
          <w:rFonts w:ascii="Calibri" w:hAnsi="Calibri" w:cs="Calibri"/>
          <w:lang w:val="ro-RO"/>
        </w:rPr>
        <w:t xml:space="preserve">”, pentru care baza de calcul al CASS este de 0/6/12/24 SM, </w:t>
      </w:r>
      <w:r w:rsidR="00761F94" w:rsidRPr="00834B27">
        <w:rPr>
          <w:rFonts w:ascii="Calibri" w:hAnsi="Calibri" w:cs="Calibri"/>
          <w:lang w:val="ro-RO"/>
        </w:rPr>
        <w:t>î</w:t>
      </w:r>
      <w:r w:rsidR="00B257FA" w:rsidRPr="00834B27">
        <w:rPr>
          <w:rFonts w:ascii="Calibri" w:hAnsi="Calibri" w:cs="Calibri"/>
          <w:lang w:val="ro-RO"/>
        </w:rPr>
        <w:t xml:space="preserve">n </w:t>
      </w:r>
      <w:r w:rsidR="00761F94" w:rsidRPr="00834B27">
        <w:rPr>
          <w:rFonts w:ascii="Calibri" w:hAnsi="Calibri" w:cs="Calibri"/>
          <w:lang w:val="ro-RO"/>
        </w:rPr>
        <w:t>func</w:t>
      </w:r>
      <w:r w:rsidR="00D77C4B" w:rsidRPr="00834B27">
        <w:rPr>
          <w:rFonts w:ascii="Calibri" w:hAnsi="Calibri" w:cs="Calibri"/>
          <w:lang w:val="ro-RO"/>
        </w:rPr>
        <w:t>ț</w:t>
      </w:r>
      <w:r w:rsidR="00761F94" w:rsidRPr="00834B27">
        <w:rPr>
          <w:rFonts w:ascii="Calibri" w:hAnsi="Calibri" w:cs="Calibri"/>
          <w:lang w:val="ro-RO"/>
        </w:rPr>
        <w:t>ie</w:t>
      </w:r>
      <w:r w:rsidR="00B257FA" w:rsidRPr="00834B27">
        <w:rPr>
          <w:rFonts w:ascii="Calibri" w:hAnsi="Calibri" w:cs="Calibri"/>
          <w:lang w:val="ro-RO"/>
        </w:rPr>
        <w:t xml:space="preserve"> de suma veniturilor impozabile din </w:t>
      </w:r>
      <w:r w:rsidR="00761F94" w:rsidRPr="00834B27">
        <w:rPr>
          <w:rFonts w:ascii="Calibri" w:hAnsi="Calibri" w:cs="Calibri"/>
          <w:lang w:val="ro-RO"/>
        </w:rPr>
        <w:t>„</w:t>
      </w:r>
      <w:r w:rsidR="00B257FA" w:rsidRPr="00834B27">
        <w:rPr>
          <w:rFonts w:ascii="Calibri" w:hAnsi="Calibri" w:cs="Calibri"/>
          <w:lang w:val="ro-RO"/>
        </w:rPr>
        <w:t>co</w:t>
      </w:r>
      <w:r w:rsidR="00761F94" w:rsidRPr="00834B27">
        <w:rPr>
          <w:rFonts w:ascii="Calibri" w:hAnsi="Calibri" w:cs="Calibri"/>
          <w:lang w:val="ro-RO"/>
        </w:rPr>
        <w:t>ș</w:t>
      </w:r>
      <w:r w:rsidR="00B257FA" w:rsidRPr="00834B27">
        <w:rPr>
          <w:rFonts w:ascii="Calibri" w:hAnsi="Calibri" w:cs="Calibri"/>
          <w:lang w:val="ro-RO"/>
        </w:rPr>
        <w:t>”.</w:t>
      </w:r>
    </w:p>
    <w:p w14:paraId="4DDE0440" w14:textId="77777777" w:rsidR="00FD3A22" w:rsidRPr="00834B27" w:rsidRDefault="00FD3A22" w:rsidP="00FD3A22">
      <w:pPr>
        <w:spacing w:line="276" w:lineRule="auto"/>
        <w:jc w:val="both"/>
        <w:rPr>
          <w:rFonts w:ascii="Calibri" w:hAnsi="Calibri" w:cs="Calibri"/>
          <w:lang w:val="ro-RO"/>
        </w:rPr>
      </w:pPr>
      <w:r w:rsidRPr="00834B27">
        <w:rPr>
          <w:rFonts w:ascii="Calibri" w:hAnsi="Calibri" w:cs="Calibri"/>
          <w:b/>
          <w:bCs/>
          <w:u w:val="single"/>
          <w:lang w:val="ro-RO"/>
        </w:rPr>
        <w:t>Plata:</w:t>
      </w:r>
      <w:r w:rsidRPr="00834B27">
        <w:rPr>
          <w:rFonts w:ascii="Calibri" w:hAnsi="Calibri" w:cs="Calibri"/>
          <w:lang w:val="ro-RO"/>
        </w:rPr>
        <w:t xml:space="preserve"> de către contribuabil, până la termenul de depunere al D212.</w:t>
      </w:r>
    </w:p>
    <w:p w14:paraId="7EC4AE92" w14:textId="77777777" w:rsidR="00534DB8" w:rsidRPr="00834B27" w:rsidRDefault="00534DB8" w:rsidP="00B91E74">
      <w:pPr>
        <w:spacing w:line="276" w:lineRule="auto"/>
        <w:jc w:val="both"/>
        <w:rPr>
          <w:rFonts w:ascii="Calibri" w:hAnsi="Calibri" w:cs="Calibri"/>
          <w:b/>
          <w:bCs/>
          <w:lang w:val="ro-RO"/>
        </w:rPr>
      </w:pPr>
    </w:p>
    <w:p w14:paraId="0BF1D40B" w14:textId="55D1D971" w:rsidR="00B257FA" w:rsidRPr="00834B27" w:rsidRDefault="00956720" w:rsidP="009F2FDA">
      <w:pPr>
        <w:pStyle w:val="Listparagraf"/>
        <w:numPr>
          <w:ilvl w:val="1"/>
          <w:numId w:val="5"/>
        </w:numPr>
        <w:spacing w:line="276" w:lineRule="auto"/>
        <w:ind w:left="720" w:hanging="720"/>
        <w:contextualSpacing w:val="0"/>
        <w:jc w:val="both"/>
        <w:outlineLvl w:val="1"/>
        <w:rPr>
          <w:rFonts w:ascii="Calibri" w:hAnsi="Calibri" w:cs="Calibri"/>
          <w:b/>
          <w:bCs/>
          <w:lang w:val="ro-RO"/>
        </w:rPr>
      </w:pPr>
      <w:bookmarkStart w:id="9" w:name="_Toc223643878"/>
      <w:r w:rsidRPr="00834B27">
        <w:rPr>
          <w:rFonts w:ascii="Calibri" w:hAnsi="Calibri" w:cs="Calibri"/>
          <w:b/>
          <w:bCs/>
          <w:lang w:val="ro-RO"/>
        </w:rPr>
        <w:t xml:space="preserve">Venituri din premii </w:t>
      </w:r>
      <w:r w:rsidR="005030D8" w:rsidRPr="00834B27">
        <w:rPr>
          <w:rFonts w:ascii="Calibri" w:hAnsi="Calibri" w:cs="Calibri"/>
          <w:b/>
          <w:bCs/>
          <w:lang w:val="ro-RO"/>
        </w:rPr>
        <w:t>ș</w:t>
      </w:r>
      <w:r w:rsidRPr="00834B27">
        <w:rPr>
          <w:rFonts w:ascii="Calibri" w:hAnsi="Calibri" w:cs="Calibri"/>
          <w:b/>
          <w:bCs/>
          <w:lang w:val="ro-RO"/>
        </w:rPr>
        <w:t>i jocuri de noroc</w:t>
      </w:r>
      <w:bookmarkEnd w:id="9"/>
    </w:p>
    <w:p w14:paraId="145D1721" w14:textId="6AAE65F2" w:rsidR="00873EDF" w:rsidRPr="00834B27" w:rsidRDefault="00873EDF" w:rsidP="00B91E74">
      <w:pPr>
        <w:spacing w:line="276" w:lineRule="auto"/>
        <w:jc w:val="both"/>
        <w:rPr>
          <w:rFonts w:ascii="Calibri" w:hAnsi="Calibri" w:cs="Calibri"/>
          <w:b/>
          <w:bCs/>
          <w:u w:val="single"/>
          <w:lang w:val="ro-RO"/>
        </w:rPr>
      </w:pPr>
      <w:r w:rsidRPr="00834B27">
        <w:rPr>
          <w:rFonts w:ascii="Calibri" w:hAnsi="Calibri" w:cs="Calibri"/>
          <w:b/>
          <w:bCs/>
          <w:u w:val="single"/>
          <w:lang w:val="ro-RO"/>
        </w:rPr>
        <w:t>Cota de IV:</w:t>
      </w:r>
    </w:p>
    <w:p w14:paraId="285CCACA" w14:textId="789BC9C1" w:rsidR="00873EDF" w:rsidRPr="00834B27" w:rsidRDefault="00700310" w:rsidP="005030D8">
      <w:pPr>
        <w:pStyle w:val="Listparagraf"/>
        <w:numPr>
          <w:ilvl w:val="0"/>
          <w:numId w:val="13"/>
        </w:numPr>
        <w:spacing w:line="276" w:lineRule="auto"/>
        <w:ind w:left="720"/>
        <w:contextualSpacing w:val="0"/>
        <w:jc w:val="both"/>
        <w:rPr>
          <w:rFonts w:ascii="Calibri" w:hAnsi="Calibri" w:cs="Calibri"/>
          <w:lang w:val="ro-RO"/>
        </w:rPr>
      </w:pPr>
      <w:r w:rsidRPr="00834B27">
        <w:rPr>
          <w:rFonts w:ascii="Calibri" w:hAnsi="Calibri" w:cs="Calibri"/>
          <w:lang w:val="ro-RO"/>
        </w:rPr>
        <w:t>Pentru veniturile din premii: 10%</w:t>
      </w:r>
    </w:p>
    <w:p w14:paraId="5F9B7BF7" w14:textId="2C467334" w:rsidR="00700310" w:rsidRPr="00834B27" w:rsidRDefault="00700310" w:rsidP="005030D8">
      <w:pPr>
        <w:pStyle w:val="Listparagraf"/>
        <w:numPr>
          <w:ilvl w:val="0"/>
          <w:numId w:val="13"/>
        </w:numPr>
        <w:spacing w:line="276" w:lineRule="auto"/>
        <w:ind w:left="720"/>
        <w:contextualSpacing w:val="0"/>
        <w:jc w:val="both"/>
        <w:rPr>
          <w:rFonts w:ascii="Calibri" w:hAnsi="Calibri" w:cs="Calibri"/>
          <w:lang w:val="ro-RO"/>
        </w:rPr>
      </w:pPr>
      <w:r w:rsidRPr="00834B27">
        <w:rPr>
          <w:rFonts w:ascii="Calibri" w:hAnsi="Calibri" w:cs="Calibri"/>
          <w:lang w:val="ro-RO"/>
        </w:rPr>
        <w:t>Pentru veniturile din jocuri de noroc,</w:t>
      </w:r>
      <w:r w:rsidR="008F2879" w:rsidRPr="00834B27">
        <w:rPr>
          <w:rFonts w:ascii="Calibri" w:hAnsi="Calibri" w:cs="Calibri"/>
          <w:lang w:val="ro-RO"/>
        </w:rPr>
        <w:t xml:space="preserve"> altele </w:t>
      </w:r>
      <w:r w:rsidR="005030D8" w:rsidRPr="00834B27">
        <w:rPr>
          <w:rFonts w:ascii="Calibri" w:hAnsi="Calibri" w:cs="Calibri"/>
          <w:lang w:val="ro-RO"/>
        </w:rPr>
        <w:t>decât</w:t>
      </w:r>
      <w:r w:rsidR="008F2879" w:rsidRPr="00834B27">
        <w:rPr>
          <w:rFonts w:ascii="Calibri" w:hAnsi="Calibri" w:cs="Calibri"/>
          <w:lang w:val="ro-RO"/>
        </w:rPr>
        <w:t xml:space="preserve"> </w:t>
      </w:r>
      <w:r w:rsidR="007F4B89" w:rsidRPr="00834B27">
        <w:rPr>
          <w:rFonts w:ascii="Calibri" w:hAnsi="Calibri" w:cs="Calibri"/>
          <w:lang w:val="ro-RO"/>
        </w:rPr>
        <w:t xml:space="preserve">cele </w:t>
      </w:r>
      <w:r w:rsidR="00DC5EE2" w:rsidRPr="00834B27">
        <w:rPr>
          <w:rFonts w:ascii="Calibri" w:hAnsi="Calibri" w:cs="Calibri"/>
          <w:lang w:val="ro-RO"/>
        </w:rPr>
        <w:t>aferente cazinourilor, cluburilor de pocher</w:t>
      </w:r>
      <w:r w:rsidR="0080004A" w:rsidRPr="00834B27">
        <w:rPr>
          <w:rFonts w:ascii="Calibri" w:hAnsi="Calibri" w:cs="Calibri"/>
          <w:lang w:val="ro-RO"/>
        </w:rPr>
        <w:t xml:space="preserve">, </w:t>
      </w:r>
      <w:r w:rsidR="0080004A" w:rsidRPr="00834B27">
        <w:rPr>
          <w:rFonts w:ascii="Calibri" w:hAnsi="Calibri" w:cs="Calibri"/>
          <w:i/>
          <w:iCs/>
          <w:lang w:val="ro-RO"/>
        </w:rPr>
        <w:t>slot machine</w:t>
      </w:r>
      <w:r w:rsidR="0080004A" w:rsidRPr="00834B27">
        <w:rPr>
          <w:rFonts w:ascii="Calibri" w:hAnsi="Calibri" w:cs="Calibri"/>
          <w:lang w:val="ro-RO"/>
        </w:rPr>
        <w:t xml:space="preserve"> </w:t>
      </w:r>
      <w:r w:rsidR="005030D8" w:rsidRPr="00834B27">
        <w:rPr>
          <w:rFonts w:ascii="Calibri" w:hAnsi="Calibri" w:cs="Calibri"/>
          <w:lang w:val="ro-RO"/>
        </w:rPr>
        <w:t>ș</w:t>
      </w:r>
      <w:r w:rsidR="0080004A" w:rsidRPr="00834B27">
        <w:rPr>
          <w:rFonts w:ascii="Calibri" w:hAnsi="Calibri" w:cs="Calibri"/>
          <w:lang w:val="ro-RO"/>
        </w:rPr>
        <w:t xml:space="preserve">i lozuri, </w:t>
      </w:r>
      <w:r w:rsidRPr="00834B27">
        <w:rPr>
          <w:rFonts w:ascii="Calibri" w:hAnsi="Calibri" w:cs="Calibri"/>
          <w:lang w:val="ro-RO"/>
        </w:rPr>
        <w:t>avem impunere progresiv</w:t>
      </w:r>
      <w:r w:rsidR="005030D8" w:rsidRPr="00834B27">
        <w:rPr>
          <w:rFonts w:ascii="Calibri" w:hAnsi="Calibri" w:cs="Calibri"/>
          <w:lang w:val="ro-RO"/>
        </w:rPr>
        <w:t>ă</w:t>
      </w:r>
      <w:r w:rsidRPr="00834B27">
        <w:rPr>
          <w:rFonts w:ascii="Calibri" w:hAnsi="Calibri" w:cs="Calibri"/>
          <w:lang w:val="ro-RO"/>
        </w:rPr>
        <w:t>:</w:t>
      </w:r>
    </w:p>
    <w:p w14:paraId="43414A08" w14:textId="25A5D2AE" w:rsidR="00700310" w:rsidRPr="00834B27" w:rsidRDefault="00AA4635" w:rsidP="005030D8">
      <w:pPr>
        <w:pStyle w:val="Listparagraf"/>
        <w:numPr>
          <w:ilvl w:val="0"/>
          <w:numId w:val="1"/>
        </w:numPr>
        <w:spacing w:line="276" w:lineRule="auto"/>
        <w:ind w:left="1080"/>
        <w:contextualSpacing w:val="0"/>
        <w:jc w:val="both"/>
        <w:rPr>
          <w:rFonts w:ascii="Calibri" w:hAnsi="Calibri" w:cs="Calibri"/>
          <w:lang w:val="ro-RO"/>
        </w:rPr>
      </w:pPr>
      <w:r w:rsidRPr="00834B27">
        <w:rPr>
          <w:rFonts w:ascii="Calibri" w:hAnsi="Calibri" w:cs="Calibri"/>
          <w:lang w:val="ro-RO"/>
        </w:rPr>
        <w:t>pentru veniturile</w:t>
      </w:r>
      <w:r w:rsidR="0080004A" w:rsidRPr="00834B27">
        <w:rPr>
          <w:rFonts w:ascii="Calibri" w:hAnsi="Calibri" w:cs="Calibri"/>
          <w:lang w:val="ro-RO"/>
        </w:rPr>
        <w:t xml:space="preserve"> de p</w:t>
      </w:r>
      <w:r w:rsidR="005030D8" w:rsidRPr="00834B27">
        <w:rPr>
          <w:rFonts w:ascii="Calibri" w:hAnsi="Calibri" w:cs="Calibri"/>
          <w:lang w:val="ro-RO"/>
        </w:rPr>
        <w:t>â</w:t>
      </w:r>
      <w:r w:rsidR="0080004A" w:rsidRPr="00834B27">
        <w:rPr>
          <w:rFonts w:ascii="Calibri" w:hAnsi="Calibri" w:cs="Calibri"/>
          <w:lang w:val="ro-RO"/>
        </w:rPr>
        <w:t>n</w:t>
      </w:r>
      <w:r w:rsidR="005030D8" w:rsidRPr="00834B27">
        <w:rPr>
          <w:rFonts w:ascii="Calibri" w:hAnsi="Calibri" w:cs="Calibri"/>
          <w:lang w:val="ro-RO"/>
        </w:rPr>
        <w:t>ă</w:t>
      </w:r>
      <w:r w:rsidR="0080004A" w:rsidRPr="00834B27">
        <w:rPr>
          <w:rFonts w:ascii="Calibri" w:hAnsi="Calibri" w:cs="Calibri"/>
          <w:lang w:val="ro-RO"/>
        </w:rPr>
        <w:t xml:space="preserve"> la 10.000 lei</w:t>
      </w:r>
      <w:r w:rsidR="0041709D" w:rsidRPr="00834B27">
        <w:rPr>
          <w:rFonts w:ascii="Calibri" w:hAnsi="Calibri" w:cs="Calibri"/>
          <w:lang w:val="ro-RO"/>
        </w:rPr>
        <w:t>: 4%</w:t>
      </w:r>
      <w:r w:rsidR="0080004A" w:rsidRPr="00834B27">
        <w:rPr>
          <w:rFonts w:ascii="Calibri" w:hAnsi="Calibri" w:cs="Calibri"/>
          <w:lang w:val="ro-RO"/>
        </w:rPr>
        <w:t>;</w:t>
      </w:r>
    </w:p>
    <w:p w14:paraId="52167995" w14:textId="3A5BBE22" w:rsidR="0080004A" w:rsidRPr="00834B27" w:rsidRDefault="0041709D" w:rsidP="005030D8">
      <w:pPr>
        <w:pStyle w:val="Listparagraf"/>
        <w:numPr>
          <w:ilvl w:val="0"/>
          <w:numId w:val="1"/>
        </w:numPr>
        <w:spacing w:line="276" w:lineRule="auto"/>
        <w:ind w:left="1080"/>
        <w:contextualSpacing w:val="0"/>
        <w:jc w:val="both"/>
        <w:rPr>
          <w:rFonts w:ascii="Calibri" w:hAnsi="Calibri" w:cs="Calibri"/>
          <w:lang w:val="ro-RO"/>
        </w:rPr>
      </w:pPr>
      <w:r w:rsidRPr="00834B27">
        <w:rPr>
          <w:rFonts w:ascii="Calibri" w:hAnsi="Calibri" w:cs="Calibri"/>
          <w:lang w:val="ro-RO"/>
        </w:rPr>
        <w:t xml:space="preserve">pentru veniturile </w:t>
      </w:r>
      <w:r w:rsidR="005030D8" w:rsidRPr="00834B27">
        <w:rPr>
          <w:rFonts w:ascii="Calibri" w:hAnsi="Calibri" w:cs="Calibri"/>
          <w:lang w:val="ro-RO"/>
        </w:rPr>
        <w:t>î</w:t>
      </w:r>
      <w:r w:rsidR="00ED74B8" w:rsidRPr="00834B27">
        <w:rPr>
          <w:rFonts w:ascii="Calibri" w:hAnsi="Calibri" w:cs="Calibri"/>
          <w:lang w:val="ro-RO"/>
        </w:rPr>
        <w:t>ntre 10.001 si 66.750 lei: 400 lei + 20%;</w:t>
      </w:r>
    </w:p>
    <w:p w14:paraId="0325FA4A" w14:textId="1450C17B" w:rsidR="00ED74B8" w:rsidRPr="00834B27" w:rsidRDefault="00ED74B8" w:rsidP="005030D8">
      <w:pPr>
        <w:pStyle w:val="Listparagraf"/>
        <w:numPr>
          <w:ilvl w:val="0"/>
          <w:numId w:val="1"/>
        </w:numPr>
        <w:spacing w:line="276" w:lineRule="auto"/>
        <w:ind w:left="1080"/>
        <w:contextualSpacing w:val="0"/>
        <w:jc w:val="both"/>
        <w:rPr>
          <w:rFonts w:ascii="Calibri" w:hAnsi="Calibri" w:cs="Calibri"/>
          <w:lang w:val="ro-RO"/>
        </w:rPr>
      </w:pPr>
      <w:r w:rsidRPr="00834B27">
        <w:rPr>
          <w:rFonts w:ascii="Calibri" w:hAnsi="Calibri" w:cs="Calibri"/>
          <w:lang w:val="ro-RO"/>
        </w:rPr>
        <w:t xml:space="preserve">pentru veniturile </w:t>
      </w:r>
      <w:r w:rsidR="000510FA" w:rsidRPr="00834B27">
        <w:rPr>
          <w:rFonts w:ascii="Calibri" w:hAnsi="Calibri" w:cs="Calibri"/>
          <w:lang w:val="ro-RO"/>
        </w:rPr>
        <w:t>de peste 66.750: 11.750 lei + 40%;</w:t>
      </w:r>
    </w:p>
    <w:p w14:paraId="282738FA" w14:textId="7F885BBA" w:rsidR="000510FA" w:rsidRPr="00834B27" w:rsidRDefault="000510FA" w:rsidP="005030D8">
      <w:pPr>
        <w:pStyle w:val="Listparagraf"/>
        <w:numPr>
          <w:ilvl w:val="0"/>
          <w:numId w:val="13"/>
        </w:numPr>
        <w:spacing w:line="276" w:lineRule="auto"/>
        <w:ind w:left="720"/>
        <w:contextualSpacing w:val="0"/>
        <w:jc w:val="both"/>
        <w:rPr>
          <w:rFonts w:ascii="Calibri" w:hAnsi="Calibri" w:cs="Calibri"/>
          <w:lang w:val="ro-RO"/>
        </w:rPr>
      </w:pPr>
      <w:r w:rsidRPr="00834B27">
        <w:rPr>
          <w:rFonts w:ascii="Calibri" w:hAnsi="Calibri" w:cs="Calibri"/>
          <w:lang w:val="ro-RO"/>
        </w:rPr>
        <w:t xml:space="preserve">Pentru veniturile </w:t>
      </w:r>
      <w:r w:rsidR="00344DEB" w:rsidRPr="00834B27">
        <w:rPr>
          <w:rFonts w:ascii="Calibri" w:hAnsi="Calibri" w:cs="Calibri"/>
          <w:lang w:val="ro-RO"/>
        </w:rPr>
        <w:t xml:space="preserve">din jocuri de noroc aferente cazinourilor, cluburilor de pocher, </w:t>
      </w:r>
      <w:r w:rsidR="00344DEB" w:rsidRPr="00834B27">
        <w:rPr>
          <w:rFonts w:ascii="Calibri" w:hAnsi="Calibri" w:cs="Calibri"/>
          <w:i/>
          <w:iCs/>
          <w:lang w:val="ro-RO"/>
        </w:rPr>
        <w:t>slot machine</w:t>
      </w:r>
      <w:r w:rsidR="00344DEB" w:rsidRPr="00834B27">
        <w:rPr>
          <w:rFonts w:ascii="Calibri" w:hAnsi="Calibri" w:cs="Calibri"/>
          <w:lang w:val="ro-RO"/>
        </w:rPr>
        <w:t xml:space="preserve"> </w:t>
      </w:r>
      <w:r w:rsidR="005030D8" w:rsidRPr="00834B27">
        <w:rPr>
          <w:rFonts w:ascii="Calibri" w:hAnsi="Calibri" w:cs="Calibri"/>
          <w:lang w:val="ro-RO"/>
        </w:rPr>
        <w:t>ș</w:t>
      </w:r>
      <w:r w:rsidR="00344DEB" w:rsidRPr="00834B27">
        <w:rPr>
          <w:rFonts w:ascii="Calibri" w:hAnsi="Calibri" w:cs="Calibri"/>
          <w:lang w:val="ro-RO"/>
        </w:rPr>
        <w:t>i lozuri</w:t>
      </w:r>
      <w:r w:rsidR="006B3B8C" w:rsidRPr="00834B27">
        <w:rPr>
          <w:rFonts w:ascii="Calibri" w:hAnsi="Calibri" w:cs="Calibri"/>
          <w:lang w:val="ro-RO"/>
        </w:rPr>
        <w:t xml:space="preserve">: 40%, pentru ce </w:t>
      </w:r>
      <w:r w:rsidR="005030D8" w:rsidRPr="00834B27">
        <w:rPr>
          <w:rFonts w:ascii="Calibri" w:hAnsi="Calibri" w:cs="Calibri"/>
          <w:lang w:val="ro-RO"/>
        </w:rPr>
        <w:t>depășește</w:t>
      </w:r>
      <w:r w:rsidR="006B3B8C" w:rsidRPr="00834B27">
        <w:rPr>
          <w:rFonts w:ascii="Calibri" w:hAnsi="Calibri" w:cs="Calibri"/>
          <w:lang w:val="ro-RO"/>
        </w:rPr>
        <w:t xml:space="preserve"> 66.750 lei (suma neimpozabil</w:t>
      </w:r>
      <w:r w:rsidR="005030D8" w:rsidRPr="00834B27">
        <w:rPr>
          <w:rFonts w:ascii="Calibri" w:hAnsi="Calibri" w:cs="Calibri"/>
          <w:lang w:val="ro-RO"/>
        </w:rPr>
        <w:t>ă</w:t>
      </w:r>
      <w:r w:rsidR="006B3B8C" w:rsidRPr="00834B27">
        <w:rPr>
          <w:rFonts w:ascii="Calibri" w:hAnsi="Calibri" w:cs="Calibri"/>
          <w:lang w:val="ro-RO"/>
        </w:rPr>
        <w:t>).</w:t>
      </w:r>
    </w:p>
    <w:p w14:paraId="60E97AD8" w14:textId="77777777" w:rsidR="00E527AB" w:rsidRPr="00834B27" w:rsidRDefault="00E527AB" w:rsidP="00B91E74">
      <w:pPr>
        <w:spacing w:line="276" w:lineRule="auto"/>
        <w:jc w:val="both"/>
        <w:rPr>
          <w:rFonts w:ascii="Calibri" w:hAnsi="Calibri" w:cs="Calibri"/>
          <w:lang w:val="ro-RO"/>
        </w:rPr>
      </w:pPr>
    </w:p>
    <w:p w14:paraId="58B32E22" w14:textId="07624B25" w:rsidR="000A1E87" w:rsidRPr="00834B27" w:rsidRDefault="000A1E87" w:rsidP="00B91E74">
      <w:pPr>
        <w:spacing w:line="276" w:lineRule="auto"/>
        <w:jc w:val="both"/>
        <w:rPr>
          <w:rFonts w:ascii="Calibri" w:hAnsi="Calibri" w:cs="Calibri"/>
          <w:b/>
          <w:bCs/>
          <w:u w:val="single"/>
          <w:lang w:val="ro-RO"/>
        </w:rPr>
      </w:pPr>
      <w:r w:rsidRPr="00834B27">
        <w:rPr>
          <w:rFonts w:ascii="Calibri" w:hAnsi="Calibri" w:cs="Calibri"/>
          <w:b/>
          <w:bCs/>
          <w:u w:val="single"/>
          <w:lang w:val="ro-RO"/>
        </w:rPr>
        <w:lastRenderedPageBreak/>
        <w:t xml:space="preserve">Baza de calcul: </w:t>
      </w:r>
    </w:p>
    <w:p w14:paraId="325A3A64" w14:textId="696D5BE7" w:rsidR="000A1E87" w:rsidRPr="00834B27" w:rsidRDefault="000A1E87" w:rsidP="005030D8">
      <w:pPr>
        <w:pStyle w:val="Listparagraf"/>
        <w:numPr>
          <w:ilvl w:val="0"/>
          <w:numId w:val="14"/>
        </w:numPr>
        <w:spacing w:line="276" w:lineRule="auto"/>
        <w:ind w:left="720"/>
        <w:contextualSpacing w:val="0"/>
        <w:jc w:val="both"/>
        <w:rPr>
          <w:rFonts w:ascii="Calibri" w:hAnsi="Calibri" w:cs="Calibri"/>
          <w:lang w:val="ro-RO"/>
        </w:rPr>
      </w:pPr>
      <w:r w:rsidRPr="00834B27">
        <w:rPr>
          <w:rFonts w:ascii="Calibri" w:hAnsi="Calibri" w:cs="Calibri"/>
          <w:lang w:val="ro-RO"/>
        </w:rPr>
        <w:t xml:space="preserve">Pentru veniturile din premii, venitul </w:t>
      </w:r>
      <w:r w:rsidR="005030D8" w:rsidRPr="00834B27">
        <w:rPr>
          <w:rFonts w:ascii="Calibri" w:hAnsi="Calibri" w:cs="Calibri"/>
          <w:lang w:val="ro-RO"/>
        </w:rPr>
        <w:t>ob</w:t>
      </w:r>
      <w:r w:rsidR="00D77C4B" w:rsidRPr="00834B27">
        <w:rPr>
          <w:rFonts w:ascii="Calibri" w:hAnsi="Calibri" w:cs="Calibri"/>
          <w:lang w:val="ro-RO"/>
        </w:rPr>
        <w:t>ț</w:t>
      </w:r>
      <w:r w:rsidR="005030D8" w:rsidRPr="00834B27">
        <w:rPr>
          <w:rFonts w:ascii="Calibri" w:hAnsi="Calibri" w:cs="Calibri"/>
          <w:lang w:val="ro-RO"/>
        </w:rPr>
        <w:t>inut</w:t>
      </w:r>
      <w:r w:rsidR="008952C3" w:rsidRPr="00834B27">
        <w:rPr>
          <w:rFonts w:ascii="Calibri" w:hAnsi="Calibri" w:cs="Calibri"/>
          <w:lang w:val="ro-RO"/>
        </w:rPr>
        <w:t xml:space="preserve"> minus o sum</w:t>
      </w:r>
      <w:r w:rsidR="005030D8" w:rsidRPr="00834B27">
        <w:rPr>
          <w:rFonts w:ascii="Calibri" w:hAnsi="Calibri" w:cs="Calibri"/>
          <w:lang w:val="ro-RO"/>
        </w:rPr>
        <w:t>ă</w:t>
      </w:r>
      <w:r w:rsidR="008952C3" w:rsidRPr="00834B27">
        <w:rPr>
          <w:rFonts w:ascii="Calibri" w:hAnsi="Calibri" w:cs="Calibri"/>
          <w:lang w:val="ro-RO"/>
        </w:rPr>
        <w:t xml:space="preserve"> de 600 lei, neimpozabil</w:t>
      </w:r>
      <w:r w:rsidR="005030D8" w:rsidRPr="00834B27">
        <w:rPr>
          <w:rFonts w:ascii="Calibri" w:hAnsi="Calibri" w:cs="Calibri"/>
          <w:lang w:val="ro-RO"/>
        </w:rPr>
        <w:t>ă</w:t>
      </w:r>
      <w:r w:rsidR="008952C3" w:rsidRPr="00834B27">
        <w:rPr>
          <w:rFonts w:ascii="Calibri" w:hAnsi="Calibri" w:cs="Calibri"/>
          <w:lang w:val="ro-RO"/>
        </w:rPr>
        <w:t>;</w:t>
      </w:r>
    </w:p>
    <w:p w14:paraId="5C75C933" w14:textId="744AB687" w:rsidR="008952C3" w:rsidRPr="00834B27" w:rsidRDefault="008952C3" w:rsidP="005030D8">
      <w:pPr>
        <w:pStyle w:val="Listparagraf"/>
        <w:numPr>
          <w:ilvl w:val="0"/>
          <w:numId w:val="14"/>
        </w:numPr>
        <w:spacing w:line="276" w:lineRule="auto"/>
        <w:ind w:left="720"/>
        <w:contextualSpacing w:val="0"/>
        <w:jc w:val="both"/>
        <w:rPr>
          <w:rFonts w:ascii="Calibri" w:hAnsi="Calibri" w:cs="Calibri"/>
          <w:lang w:val="ro-RO"/>
        </w:rPr>
      </w:pPr>
      <w:r w:rsidRPr="00834B27">
        <w:rPr>
          <w:rFonts w:ascii="Calibri" w:hAnsi="Calibri" w:cs="Calibri"/>
          <w:lang w:val="ro-RO"/>
        </w:rPr>
        <w:t xml:space="preserve">Pentru veniturile din jocuri de noroc: venitul </w:t>
      </w:r>
      <w:r w:rsidR="00DA6901" w:rsidRPr="00834B27">
        <w:rPr>
          <w:rFonts w:ascii="Calibri" w:hAnsi="Calibri" w:cs="Calibri"/>
          <w:lang w:val="ro-RO"/>
        </w:rPr>
        <w:t xml:space="preserve">brut </w:t>
      </w:r>
      <w:r w:rsidR="005030D8" w:rsidRPr="00834B27">
        <w:rPr>
          <w:rFonts w:ascii="Calibri" w:hAnsi="Calibri" w:cs="Calibri"/>
          <w:lang w:val="ro-RO"/>
        </w:rPr>
        <w:t>ob</w:t>
      </w:r>
      <w:r w:rsidR="00D77C4B" w:rsidRPr="00834B27">
        <w:rPr>
          <w:rFonts w:ascii="Calibri" w:hAnsi="Calibri" w:cs="Calibri"/>
          <w:lang w:val="ro-RO"/>
        </w:rPr>
        <w:t>ț</w:t>
      </w:r>
      <w:r w:rsidR="005030D8" w:rsidRPr="00834B27">
        <w:rPr>
          <w:rFonts w:ascii="Calibri" w:hAnsi="Calibri" w:cs="Calibri"/>
          <w:lang w:val="ro-RO"/>
        </w:rPr>
        <w:t>inut</w:t>
      </w:r>
      <w:r w:rsidR="00DA6901" w:rsidRPr="00834B27">
        <w:rPr>
          <w:rFonts w:ascii="Calibri" w:hAnsi="Calibri" w:cs="Calibri"/>
          <w:lang w:val="ro-RO"/>
        </w:rPr>
        <w:t xml:space="preserve"> la fiecare joc.</w:t>
      </w:r>
    </w:p>
    <w:p w14:paraId="19B6998C" w14:textId="22E0DB04" w:rsidR="00DA6901" w:rsidRPr="00834B27" w:rsidRDefault="00DA6901" w:rsidP="00B91E74">
      <w:pPr>
        <w:spacing w:line="276" w:lineRule="auto"/>
        <w:jc w:val="both"/>
        <w:rPr>
          <w:rFonts w:ascii="Calibri" w:hAnsi="Calibri" w:cs="Calibri"/>
          <w:lang w:val="ro-RO"/>
        </w:rPr>
      </w:pPr>
      <w:r w:rsidRPr="00834B27">
        <w:rPr>
          <w:rFonts w:ascii="Calibri" w:hAnsi="Calibri" w:cs="Calibri"/>
          <w:b/>
          <w:bCs/>
          <w:u w:val="single"/>
          <w:lang w:val="ro-RO"/>
        </w:rPr>
        <w:t>Plata:</w:t>
      </w:r>
      <w:r w:rsidRPr="00834B27">
        <w:rPr>
          <w:rFonts w:ascii="Calibri" w:hAnsi="Calibri" w:cs="Calibri"/>
          <w:lang w:val="ro-RO"/>
        </w:rPr>
        <w:t xml:space="preserve"> impozitul este calculat, </w:t>
      </w:r>
      <w:r w:rsidR="005030D8" w:rsidRPr="00834B27">
        <w:rPr>
          <w:rFonts w:ascii="Calibri" w:hAnsi="Calibri" w:cs="Calibri"/>
          <w:lang w:val="ro-RO"/>
        </w:rPr>
        <w:t>re</w:t>
      </w:r>
      <w:r w:rsidR="00D77C4B" w:rsidRPr="00834B27">
        <w:rPr>
          <w:rFonts w:ascii="Calibri" w:hAnsi="Calibri" w:cs="Calibri"/>
          <w:lang w:val="ro-RO"/>
        </w:rPr>
        <w:t>ț</w:t>
      </w:r>
      <w:r w:rsidR="005030D8" w:rsidRPr="00834B27">
        <w:rPr>
          <w:rFonts w:ascii="Calibri" w:hAnsi="Calibri" w:cs="Calibri"/>
          <w:lang w:val="ro-RO"/>
        </w:rPr>
        <w:t>inut</w:t>
      </w:r>
      <w:r w:rsidR="007A0B99" w:rsidRPr="00834B27">
        <w:rPr>
          <w:rFonts w:ascii="Calibri" w:hAnsi="Calibri" w:cs="Calibri"/>
          <w:lang w:val="ro-RO"/>
        </w:rPr>
        <w:t xml:space="preserve"> </w:t>
      </w:r>
      <w:r w:rsidR="005030D8" w:rsidRPr="00834B27">
        <w:rPr>
          <w:rFonts w:ascii="Calibri" w:hAnsi="Calibri" w:cs="Calibri"/>
          <w:lang w:val="ro-RO"/>
        </w:rPr>
        <w:t>ș</w:t>
      </w:r>
      <w:r w:rsidR="007A0B99" w:rsidRPr="00834B27">
        <w:rPr>
          <w:rFonts w:ascii="Calibri" w:hAnsi="Calibri" w:cs="Calibri"/>
          <w:lang w:val="ro-RO"/>
        </w:rPr>
        <w:t xml:space="preserve">i </w:t>
      </w:r>
      <w:r w:rsidR="005030D8" w:rsidRPr="00834B27">
        <w:rPr>
          <w:rFonts w:ascii="Calibri" w:hAnsi="Calibri" w:cs="Calibri"/>
          <w:lang w:val="ro-RO"/>
        </w:rPr>
        <w:t>plătit</w:t>
      </w:r>
      <w:r w:rsidR="007A0B99" w:rsidRPr="00834B27">
        <w:rPr>
          <w:rFonts w:ascii="Calibri" w:hAnsi="Calibri" w:cs="Calibri"/>
          <w:lang w:val="ro-RO"/>
        </w:rPr>
        <w:t xml:space="preserve"> la buget p</w:t>
      </w:r>
      <w:r w:rsidR="005030D8" w:rsidRPr="00834B27">
        <w:rPr>
          <w:rFonts w:ascii="Calibri" w:hAnsi="Calibri" w:cs="Calibri"/>
          <w:lang w:val="ro-RO"/>
        </w:rPr>
        <w:t>â</w:t>
      </w:r>
      <w:r w:rsidR="007A0B99" w:rsidRPr="00834B27">
        <w:rPr>
          <w:rFonts w:ascii="Calibri" w:hAnsi="Calibri" w:cs="Calibri"/>
          <w:lang w:val="ro-RO"/>
        </w:rPr>
        <w:t>n</w:t>
      </w:r>
      <w:r w:rsidR="005030D8" w:rsidRPr="00834B27">
        <w:rPr>
          <w:rFonts w:ascii="Calibri" w:hAnsi="Calibri" w:cs="Calibri"/>
          <w:lang w:val="ro-RO"/>
        </w:rPr>
        <w:t>ă</w:t>
      </w:r>
      <w:r w:rsidR="007A0B99" w:rsidRPr="00834B27">
        <w:rPr>
          <w:rFonts w:ascii="Calibri" w:hAnsi="Calibri" w:cs="Calibri"/>
          <w:lang w:val="ro-RO"/>
        </w:rPr>
        <w:t xml:space="preserve"> cel mai t</w:t>
      </w:r>
      <w:r w:rsidR="005030D8" w:rsidRPr="00834B27">
        <w:rPr>
          <w:rFonts w:ascii="Calibri" w:hAnsi="Calibri" w:cs="Calibri"/>
          <w:lang w:val="ro-RO"/>
        </w:rPr>
        <w:t>â</w:t>
      </w:r>
      <w:r w:rsidR="007A0B99" w:rsidRPr="00834B27">
        <w:rPr>
          <w:rFonts w:ascii="Calibri" w:hAnsi="Calibri" w:cs="Calibri"/>
          <w:lang w:val="ro-RO"/>
        </w:rPr>
        <w:t>rziu</w:t>
      </w:r>
      <w:r w:rsidR="00285F1A" w:rsidRPr="00834B27">
        <w:rPr>
          <w:rFonts w:ascii="Calibri" w:hAnsi="Calibri" w:cs="Calibri"/>
          <w:lang w:val="ro-RO"/>
        </w:rPr>
        <w:t xml:space="preserve"> la data de</w:t>
      </w:r>
      <w:r w:rsidR="007A0B99" w:rsidRPr="00834B27">
        <w:rPr>
          <w:rFonts w:ascii="Calibri" w:hAnsi="Calibri" w:cs="Calibri"/>
          <w:lang w:val="ro-RO"/>
        </w:rPr>
        <w:t xml:space="preserve"> 25 a lunii </w:t>
      </w:r>
      <w:r w:rsidR="005030D8" w:rsidRPr="00834B27">
        <w:rPr>
          <w:rFonts w:ascii="Calibri" w:hAnsi="Calibri" w:cs="Calibri"/>
          <w:lang w:val="ro-RO"/>
        </w:rPr>
        <w:t>următoare</w:t>
      </w:r>
      <w:r w:rsidR="007A0B99" w:rsidRPr="00834B27">
        <w:rPr>
          <w:rFonts w:ascii="Calibri" w:hAnsi="Calibri" w:cs="Calibri"/>
          <w:lang w:val="ro-RO"/>
        </w:rPr>
        <w:t xml:space="preserve"> de</w:t>
      </w:r>
      <w:r w:rsidR="00285F1A" w:rsidRPr="00834B27">
        <w:rPr>
          <w:rFonts w:ascii="Calibri" w:hAnsi="Calibri" w:cs="Calibri"/>
          <w:lang w:val="ro-RO"/>
        </w:rPr>
        <w:t xml:space="preserve"> către</w:t>
      </w:r>
      <w:r w:rsidR="007A0B99" w:rsidRPr="00834B27">
        <w:rPr>
          <w:rFonts w:ascii="Calibri" w:hAnsi="Calibri" w:cs="Calibri"/>
          <w:lang w:val="ro-RO"/>
        </w:rPr>
        <w:t xml:space="preserve"> </w:t>
      </w:r>
      <w:r w:rsidR="005030D8" w:rsidRPr="00834B27">
        <w:rPr>
          <w:rFonts w:ascii="Calibri" w:hAnsi="Calibri" w:cs="Calibri"/>
          <w:lang w:val="ro-RO"/>
        </w:rPr>
        <w:t>plătitorul</w:t>
      </w:r>
      <w:r w:rsidR="007A0B99" w:rsidRPr="00834B27">
        <w:rPr>
          <w:rFonts w:ascii="Calibri" w:hAnsi="Calibri" w:cs="Calibri"/>
          <w:lang w:val="ro-RO"/>
        </w:rPr>
        <w:t xml:space="preserve"> de premii sau </w:t>
      </w:r>
      <w:r w:rsidR="005030D8" w:rsidRPr="00834B27">
        <w:rPr>
          <w:rFonts w:ascii="Calibri" w:hAnsi="Calibri" w:cs="Calibri"/>
          <w:lang w:val="ro-RO"/>
        </w:rPr>
        <w:t>câștiguri</w:t>
      </w:r>
      <w:r w:rsidR="00D10303" w:rsidRPr="00834B27">
        <w:rPr>
          <w:rFonts w:ascii="Calibri" w:hAnsi="Calibri" w:cs="Calibri"/>
          <w:lang w:val="ro-RO"/>
        </w:rPr>
        <w:t xml:space="preserve"> din jocuri de noroc.</w:t>
      </w:r>
    </w:p>
    <w:p w14:paraId="01F3B221" w14:textId="77777777" w:rsidR="005030D8" w:rsidRPr="00834B27" w:rsidRDefault="005030D8" w:rsidP="00B91E74">
      <w:pPr>
        <w:spacing w:line="276" w:lineRule="auto"/>
        <w:jc w:val="both"/>
        <w:rPr>
          <w:rFonts w:ascii="Calibri" w:hAnsi="Calibri" w:cs="Calibri"/>
          <w:lang w:val="ro-RO"/>
        </w:rPr>
      </w:pPr>
    </w:p>
    <w:p w14:paraId="4CDD8B1B" w14:textId="63C6AB7C" w:rsidR="00465856" w:rsidRPr="00834B27" w:rsidRDefault="0056182D" w:rsidP="00967BC7">
      <w:pPr>
        <w:pStyle w:val="Listparagraf"/>
        <w:numPr>
          <w:ilvl w:val="2"/>
          <w:numId w:val="43"/>
        </w:numPr>
        <w:spacing w:line="276" w:lineRule="auto"/>
        <w:ind w:left="720" w:hanging="720"/>
        <w:jc w:val="both"/>
        <w:rPr>
          <w:rFonts w:ascii="Calibri" w:hAnsi="Calibri" w:cs="Calibri"/>
          <w:b/>
          <w:bCs/>
          <w:lang w:val="ro-RO"/>
        </w:rPr>
      </w:pPr>
      <w:r w:rsidRPr="00834B27">
        <w:rPr>
          <w:rFonts w:ascii="Calibri" w:hAnsi="Calibri" w:cs="Calibri"/>
          <w:b/>
          <w:bCs/>
          <w:lang w:val="ro-RO"/>
        </w:rPr>
        <w:t xml:space="preserve">CAS </w:t>
      </w:r>
    </w:p>
    <w:p w14:paraId="19D03BA6" w14:textId="71C39DA8" w:rsidR="0056182D" w:rsidRPr="00834B27" w:rsidRDefault="0056182D" w:rsidP="00B91E74">
      <w:pPr>
        <w:spacing w:line="276" w:lineRule="auto"/>
        <w:jc w:val="both"/>
        <w:rPr>
          <w:rFonts w:ascii="Calibri" w:hAnsi="Calibri" w:cs="Calibri"/>
          <w:lang w:val="ro-RO"/>
        </w:rPr>
      </w:pPr>
      <w:r w:rsidRPr="00834B27">
        <w:rPr>
          <w:rFonts w:ascii="Calibri" w:hAnsi="Calibri" w:cs="Calibri"/>
          <w:lang w:val="ro-RO"/>
        </w:rPr>
        <w:t xml:space="preserve">Nu se </w:t>
      </w:r>
      <w:r w:rsidR="005030D8" w:rsidRPr="00834B27">
        <w:rPr>
          <w:rFonts w:ascii="Calibri" w:hAnsi="Calibri" w:cs="Calibri"/>
          <w:lang w:val="ro-RO"/>
        </w:rPr>
        <w:t>datorează</w:t>
      </w:r>
      <w:r w:rsidRPr="00834B27">
        <w:rPr>
          <w:rFonts w:ascii="Calibri" w:hAnsi="Calibri" w:cs="Calibri"/>
          <w:lang w:val="ro-RO"/>
        </w:rPr>
        <w:t xml:space="preserve"> CAS.</w:t>
      </w:r>
    </w:p>
    <w:p w14:paraId="51028BAE" w14:textId="77777777" w:rsidR="005030D8" w:rsidRPr="00834B27" w:rsidRDefault="005030D8" w:rsidP="00B91E74">
      <w:pPr>
        <w:spacing w:line="276" w:lineRule="auto"/>
        <w:jc w:val="both"/>
        <w:rPr>
          <w:rFonts w:ascii="Calibri" w:hAnsi="Calibri" w:cs="Calibri"/>
          <w:lang w:val="ro-RO"/>
        </w:rPr>
      </w:pPr>
    </w:p>
    <w:p w14:paraId="40A4EC34" w14:textId="1891BB48" w:rsidR="0056182D" w:rsidRPr="00834B27" w:rsidRDefault="0056182D" w:rsidP="00967BC7">
      <w:pPr>
        <w:pStyle w:val="Listparagraf"/>
        <w:numPr>
          <w:ilvl w:val="2"/>
          <w:numId w:val="43"/>
        </w:numPr>
        <w:spacing w:line="276" w:lineRule="auto"/>
        <w:ind w:left="720" w:hanging="720"/>
        <w:jc w:val="both"/>
        <w:rPr>
          <w:rFonts w:ascii="Calibri" w:hAnsi="Calibri" w:cs="Calibri"/>
          <w:b/>
          <w:bCs/>
          <w:lang w:val="ro-RO"/>
        </w:rPr>
      </w:pPr>
      <w:r w:rsidRPr="00834B27">
        <w:rPr>
          <w:rFonts w:ascii="Calibri" w:hAnsi="Calibri" w:cs="Calibri"/>
          <w:b/>
          <w:bCs/>
          <w:lang w:val="ro-RO"/>
        </w:rPr>
        <w:t>CASS</w:t>
      </w:r>
    </w:p>
    <w:p w14:paraId="5AD6E0CB" w14:textId="6EB18F65" w:rsidR="0056182D" w:rsidRPr="00834B27" w:rsidRDefault="0056182D" w:rsidP="00B91E74">
      <w:pPr>
        <w:spacing w:line="276" w:lineRule="auto"/>
        <w:jc w:val="both"/>
        <w:rPr>
          <w:rFonts w:ascii="Calibri" w:hAnsi="Calibri" w:cs="Calibri"/>
          <w:lang w:val="ro-RO"/>
        </w:rPr>
      </w:pPr>
      <w:r w:rsidRPr="00834B27">
        <w:rPr>
          <w:rFonts w:ascii="Calibri" w:hAnsi="Calibri" w:cs="Calibri"/>
          <w:lang w:val="ro-RO"/>
        </w:rPr>
        <w:t xml:space="preserve">Nu se </w:t>
      </w:r>
      <w:r w:rsidR="005030D8" w:rsidRPr="00834B27">
        <w:rPr>
          <w:rFonts w:ascii="Calibri" w:hAnsi="Calibri" w:cs="Calibri"/>
          <w:lang w:val="ro-RO"/>
        </w:rPr>
        <w:t>datorează</w:t>
      </w:r>
      <w:r w:rsidRPr="00834B27">
        <w:rPr>
          <w:rFonts w:ascii="Calibri" w:hAnsi="Calibri" w:cs="Calibri"/>
          <w:lang w:val="ro-RO"/>
        </w:rPr>
        <w:t xml:space="preserve"> CASS.</w:t>
      </w:r>
    </w:p>
    <w:p w14:paraId="5EA30152" w14:textId="77777777" w:rsidR="0056182D" w:rsidRPr="00834B27" w:rsidRDefault="0056182D" w:rsidP="00B91E74">
      <w:pPr>
        <w:spacing w:line="276" w:lineRule="auto"/>
        <w:jc w:val="both"/>
        <w:rPr>
          <w:rFonts w:ascii="Calibri" w:hAnsi="Calibri" w:cs="Calibri"/>
          <w:lang w:val="ro-RO"/>
        </w:rPr>
      </w:pPr>
    </w:p>
    <w:p w14:paraId="2B7757B3" w14:textId="42FDB746" w:rsidR="00FE15AD" w:rsidRPr="00834B27" w:rsidRDefault="0056182D" w:rsidP="009F2FDA">
      <w:pPr>
        <w:pStyle w:val="Listparagraf"/>
        <w:keepNext/>
        <w:numPr>
          <w:ilvl w:val="1"/>
          <w:numId w:val="5"/>
        </w:numPr>
        <w:spacing w:line="276" w:lineRule="auto"/>
        <w:ind w:left="720" w:hanging="720"/>
        <w:contextualSpacing w:val="0"/>
        <w:jc w:val="both"/>
        <w:outlineLvl w:val="1"/>
        <w:rPr>
          <w:rFonts w:ascii="Calibri" w:hAnsi="Calibri" w:cs="Calibri"/>
          <w:b/>
          <w:bCs/>
          <w:lang w:val="ro-RO"/>
        </w:rPr>
      </w:pPr>
      <w:bookmarkStart w:id="10" w:name="_Toc223643879"/>
      <w:r w:rsidRPr="00834B27">
        <w:rPr>
          <w:rFonts w:ascii="Calibri" w:hAnsi="Calibri" w:cs="Calibri"/>
          <w:b/>
          <w:bCs/>
          <w:lang w:val="ro-RO"/>
        </w:rPr>
        <w:t>Venituri din transferul bunurilor imobile din patrimoniul personal</w:t>
      </w:r>
      <w:bookmarkEnd w:id="10"/>
    </w:p>
    <w:p w14:paraId="2F251D28" w14:textId="423F2D1C" w:rsidR="0078525B" w:rsidRPr="00834B27" w:rsidRDefault="0078525B" w:rsidP="005030D8">
      <w:pPr>
        <w:pStyle w:val="Listparagraf"/>
        <w:keepNext/>
        <w:numPr>
          <w:ilvl w:val="2"/>
          <w:numId w:val="29"/>
        </w:numPr>
        <w:spacing w:line="276" w:lineRule="auto"/>
        <w:contextualSpacing w:val="0"/>
        <w:jc w:val="both"/>
        <w:rPr>
          <w:rFonts w:ascii="Calibri" w:hAnsi="Calibri" w:cs="Calibri"/>
          <w:b/>
          <w:bCs/>
          <w:lang w:val="ro-RO"/>
        </w:rPr>
      </w:pPr>
      <w:r w:rsidRPr="00834B27">
        <w:rPr>
          <w:rFonts w:ascii="Calibri" w:hAnsi="Calibri" w:cs="Calibri"/>
          <w:b/>
          <w:bCs/>
          <w:lang w:val="ro-RO"/>
        </w:rPr>
        <w:t>IV</w:t>
      </w:r>
    </w:p>
    <w:p w14:paraId="0AB9AB45" w14:textId="51963562" w:rsidR="0078525B" w:rsidRPr="00834B27" w:rsidRDefault="00AA0CE7" w:rsidP="005030D8">
      <w:pPr>
        <w:keepNext/>
        <w:spacing w:line="276" w:lineRule="auto"/>
        <w:jc w:val="both"/>
        <w:rPr>
          <w:rFonts w:ascii="Calibri" w:hAnsi="Calibri" w:cs="Calibri"/>
          <w:b/>
          <w:bCs/>
          <w:u w:val="single"/>
          <w:lang w:val="ro-RO"/>
        </w:rPr>
      </w:pPr>
      <w:r w:rsidRPr="00834B27">
        <w:rPr>
          <w:rFonts w:ascii="Calibri" w:hAnsi="Calibri" w:cs="Calibri"/>
          <w:b/>
          <w:bCs/>
          <w:u w:val="single"/>
          <w:lang w:val="ro-RO"/>
        </w:rPr>
        <w:t xml:space="preserve">Cota </w:t>
      </w:r>
      <w:r w:rsidR="00342A0A" w:rsidRPr="00834B27">
        <w:rPr>
          <w:rFonts w:ascii="Calibri" w:hAnsi="Calibri" w:cs="Calibri"/>
          <w:b/>
          <w:bCs/>
          <w:u w:val="single"/>
          <w:lang w:val="ro-RO"/>
        </w:rPr>
        <w:t xml:space="preserve">de IV: </w:t>
      </w:r>
    </w:p>
    <w:p w14:paraId="1C9E5D29" w14:textId="4340F8E1" w:rsidR="00937B50" w:rsidRPr="00834B27" w:rsidRDefault="00937B50" w:rsidP="00B91E74">
      <w:pPr>
        <w:pStyle w:val="Listparagraf"/>
        <w:numPr>
          <w:ilvl w:val="0"/>
          <w:numId w:val="1"/>
        </w:numPr>
        <w:spacing w:line="276" w:lineRule="auto"/>
        <w:ind w:left="360"/>
        <w:contextualSpacing w:val="0"/>
        <w:jc w:val="both"/>
        <w:rPr>
          <w:rFonts w:ascii="Calibri" w:hAnsi="Calibri" w:cs="Calibri"/>
          <w:lang w:val="ro-RO"/>
        </w:rPr>
      </w:pPr>
      <w:r w:rsidRPr="00834B27">
        <w:rPr>
          <w:rFonts w:ascii="Calibri" w:hAnsi="Calibri" w:cs="Calibri"/>
          <w:lang w:val="ro-RO"/>
        </w:rPr>
        <w:t xml:space="preserve">1% din venit, </w:t>
      </w:r>
      <w:r w:rsidR="000136D9" w:rsidRPr="00834B27">
        <w:rPr>
          <w:rFonts w:ascii="Calibri" w:hAnsi="Calibri" w:cs="Calibri"/>
          <w:lang w:val="ro-RO"/>
        </w:rPr>
        <w:t>î</w:t>
      </w:r>
      <w:r w:rsidRPr="00834B27">
        <w:rPr>
          <w:rFonts w:ascii="Calibri" w:hAnsi="Calibri" w:cs="Calibri"/>
          <w:lang w:val="ro-RO"/>
        </w:rPr>
        <w:t xml:space="preserve">n cazul </w:t>
      </w:r>
      <w:r w:rsidR="000136D9" w:rsidRPr="00834B27">
        <w:rPr>
          <w:rFonts w:ascii="Calibri" w:hAnsi="Calibri" w:cs="Calibri"/>
          <w:lang w:val="ro-RO"/>
        </w:rPr>
        <w:t>î</w:t>
      </w:r>
      <w:r w:rsidRPr="00834B27">
        <w:rPr>
          <w:rFonts w:ascii="Calibri" w:hAnsi="Calibri" w:cs="Calibri"/>
          <w:lang w:val="ro-RO"/>
        </w:rPr>
        <w:t>n care imobilul transferat</w:t>
      </w:r>
      <w:r w:rsidR="00C32045" w:rsidRPr="00834B27">
        <w:rPr>
          <w:rFonts w:ascii="Calibri" w:hAnsi="Calibri" w:cs="Calibri"/>
          <w:lang w:val="ro-RO"/>
        </w:rPr>
        <w:t xml:space="preserve"> este </w:t>
      </w:r>
      <w:r w:rsidR="000136D9" w:rsidRPr="00834B27">
        <w:rPr>
          <w:rFonts w:ascii="Calibri" w:hAnsi="Calibri" w:cs="Calibri"/>
          <w:lang w:val="ro-RO"/>
        </w:rPr>
        <w:t>de</w:t>
      </w:r>
      <w:r w:rsidR="00D77C4B" w:rsidRPr="00834B27">
        <w:rPr>
          <w:rFonts w:ascii="Calibri" w:hAnsi="Calibri" w:cs="Calibri"/>
          <w:lang w:val="ro-RO"/>
        </w:rPr>
        <w:t>ț</w:t>
      </w:r>
      <w:r w:rsidR="000136D9" w:rsidRPr="00834B27">
        <w:rPr>
          <w:rFonts w:ascii="Calibri" w:hAnsi="Calibri" w:cs="Calibri"/>
          <w:lang w:val="ro-RO"/>
        </w:rPr>
        <w:t>inut</w:t>
      </w:r>
      <w:r w:rsidR="00C32045" w:rsidRPr="00834B27">
        <w:rPr>
          <w:rFonts w:ascii="Calibri" w:hAnsi="Calibri" w:cs="Calibri"/>
          <w:lang w:val="ro-RO"/>
        </w:rPr>
        <w:t xml:space="preserve"> de </w:t>
      </w:r>
      <w:r w:rsidR="00903728" w:rsidRPr="00834B27">
        <w:rPr>
          <w:rFonts w:ascii="Calibri" w:hAnsi="Calibri" w:cs="Calibri"/>
          <w:lang w:val="ro-RO"/>
        </w:rPr>
        <w:t>mai mult de</w:t>
      </w:r>
      <w:r w:rsidR="00C32045" w:rsidRPr="00834B27">
        <w:rPr>
          <w:rFonts w:ascii="Calibri" w:hAnsi="Calibri" w:cs="Calibri"/>
          <w:lang w:val="ro-RO"/>
        </w:rPr>
        <w:t xml:space="preserve"> 3 ani;</w:t>
      </w:r>
    </w:p>
    <w:p w14:paraId="05C7CDD2" w14:textId="35352A91" w:rsidR="00C32045" w:rsidRPr="00834B27" w:rsidRDefault="00C32045" w:rsidP="00B91E74">
      <w:pPr>
        <w:pStyle w:val="Listparagraf"/>
        <w:numPr>
          <w:ilvl w:val="0"/>
          <w:numId w:val="1"/>
        </w:numPr>
        <w:spacing w:line="276" w:lineRule="auto"/>
        <w:ind w:left="360"/>
        <w:contextualSpacing w:val="0"/>
        <w:jc w:val="both"/>
        <w:rPr>
          <w:rFonts w:ascii="Calibri" w:hAnsi="Calibri" w:cs="Calibri"/>
          <w:lang w:val="ro-RO"/>
        </w:rPr>
      </w:pPr>
      <w:r w:rsidRPr="00834B27">
        <w:rPr>
          <w:rFonts w:ascii="Calibri" w:hAnsi="Calibri" w:cs="Calibri"/>
          <w:lang w:val="ro-RO"/>
        </w:rPr>
        <w:t xml:space="preserve">3% din venit, </w:t>
      </w:r>
      <w:r w:rsidR="000136D9" w:rsidRPr="00834B27">
        <w:rPr>
          <w:rFonts w:ascii="Calibri" w:hAnsi="Calibri" w:cs="Calibri"/>
          <w:lang w:val="ro-RO"/>
        </w:rPr>
        <w:t>î</w:t>
      </w:r>
      <w:r w:rsidRPr="00834B27">
        <w:rPr>
          <w:rFonts w:ascii="Calibri" w:hAnsi="Calibri" w:cs="Calibri"/>
          <w:lang w:val="ro-RO"/>
        </w:rPr>
        <w:t xml:space="preserve">n cazul </w:t>
      </w:r>
      <w:r w:rsidR="000136D9" w:rsidRPr="00834B27">
        <w:rPr>
          <w:rFonts w:ascii="Calibri" w:hAnsi="Calibri" w:cs="Calibri"/>
          <w:lang w:val="ro-RO"/>
        </w:rPr>
        <w:t>î</w:t>
      </w:r>
      <w:r w:rsidRPr="00834B27">
        <w:rPr>
          <w:rFonts w:ascii="Calibri" w:hAnsi="Calibri" w:cs="Calibri"/>
          <w:lang w:val="ro-RO"/>
        </w:rPr>
        <w:t xml:space="preserve">n care imobilul transferat este </w:t>
      </w:r>
      <w:r w:rsidR="000136D9" w:rsidRPr="00834B27">
        <w:rPr>
          <w:rFonts w:ascii="Calibri" w:hAnsi="Calibri" w:cs="Calibri"/>
          <w:lang w:val="ro-RO"/>
        </w:rPr>
        <w:t>de</w:t>
      </w:r>
      <w:r w:rsidR="00D77C4B" w:rsidRPr="00834B27">
        <w:rPr>
          <w:rFonts w:ascii="Calibri" w:hAnsi="Calibri" w:cs="Calibri"/>
          <w:lang w:val="ro-RO"/>
        </w:rPr>
        <w:t>ț</w:t>
      </w:r>
      <w:r w:rsidR="000136D9" w:rsidRPr="00834B27">
        <w:rPr>
          <w:rFonts w:ascii="Calibri" w:hAnsi="Calibri" w:cs="Calibri"/>
          <w:lang w:val="ro-RO"/>
        </w:rPr>
        <w:t>inut</w:t>
      </w:r>
      <w:r w:rsidRPr="00834B27">
        <w:rPr>
          <w:rFonts w:ascii="Calibri" w:hAnsi="Calibri" w:cs="Calibri"/>
          <w:lang w:val="ro-RO"/>
        </w:rPr>
        <w:t xml:space="preserve"> de </w:t>
      </w:r>
      <w:r w:rsidR="00D64BE9" w:rsidRPr="00834B27">
        <w:rPr>
          <w:rFonts w:ascii="Calibri" w:hAnsi="Calibri" w:cs="Calibri"/>
          <w:lang w:val="ro-RO"/>
        </w:rPr>
        <w:t>mai</w:t>
      </w:r>
      <w:r w:rsidRPr="00834B27">
        <w:rPr>
          <w:rFonts w:ascii="Calibri" w:hAnsi="Calibri" w:cs="Calibri"/>
          <w:lang w:val="ro-RO"/>
        </w:rPr>
        <w:t xml:space="preserve"> </w:t>
      </w:r>
      <w:r w:rsidR="000136D9" w:rsidRPr="00834B27">
        <w:rPr>
          <w:rFonts w:ascii="Calibri" w:hAnsi="Calibri" w:cs="Calibri"/>
          <w:lang w:val="ro-RO"/>
        </w:rPr>
        <w:t>pu</w:t>
      </w:r>
      <w:r w:rsidR="00D77C4B" w:rsidRPr="00834B27">
        <w:rPr>
          <w:rFonts w:ascii="Calibri" w:hAnsi="Calibri" w:cs="Calibri"/>
          <w:lang w:val="ro-RO"/>
        </w:rPr>
        <w:t>ț</w:t>
      </w:r>
      <w:r w:rsidR="000136D9" w:rsidRPr="00834B27">
        <w:rPr>
          <w:rFonts w:ascii="Calibri" w:hAnsi="Calibri" w:cs="Calibri"/>
          <w:lang w:val="ro-RO"/>
        </w:rPr>
        <w:t>in de</w:t>
      </w:r>
      <w:r w:rsidRPr="00834B27">
        <w:rPr>
          <w:rFonts w:ascii="Calibri" w:hAnsi="Calibri" w:cs="Calibri"/>
          <w:lang w:val="ro-RO"/>
        </w:rPr>
        <w:t xml:space="preserve"> 3 ani</w:t>
      </w:r>
      <w:r w:rsidR="00903728" w:rsidRPr="00834B27">
        <w:rPr>
          <w:rFonts w:ascii="Calibri" w:hAnsi="Calibri" w:cs="Calibri"/>
          <w:lang w:val="ro-RO"/>
        </w:rPr>
        <w:t>, inclusiv</w:t>
      </w:r>
      <w:r w:rsidR="00D64BE9" w:rsidRPr="00834B27">
        <w:rPr>
          <w:rFonts w:ascii="Calibri" w:hAnsi="Calibri" w:cs="Calibri"/>
          <w:lang w:val="ro-RO"/>
        </w:rPr>
        <w:t>.</w:t>
      </w:r>
    </w:p>
    <w:p w14:paraId="615315D1" w14:textId="4CE8FD54" w:rsidR="00D64BE9" w:rsidRPr="00834B27" w:rsidRDefault="00D64BE9" w:rsidP="00B91E74">
      <w:pPr>
        <w:spacing w:line="276" w:lineRule="auto"/>
        <w:jc w:val="both"/>
        <w:rPr>
          <w:rFonts w:ascii="Calibri" w:hAnsi="Calibri" w:cs="Calibri"/>
          <w:lang w:val="ro-RO"/>
        </w:rPr>
      </w:pPr>
      <w:r w:rsidRPr="00834B27">
        <w:rPr>
          <w:rFonts w:ascii="Calibri" w:hAnsi="Calibri" w:cs="Calibri"/>
          <w:b/>
          <w:bCs/>
          <w:u w:val="single"/>
          <w:lang w:val="ro-RO"/>
        </w:rPr>
        <w:t>Baza de calcul:</w:t>
      </w:r>
      <w:r w:rsidRPr="00834B27">
        <w:rPr>
          <w:rFonts w:ascii="Calibri" w:hAnsi="Calibri" w:cs="Calibri"/>
          <w:lang w:val="ro-RO"/>
        </w:rPr>
        <w:t xml:space="preserve"> valoarea </w:t>
      </w:r>
      <w:r w:rsidR="000136D9" w:rsidRPr="00834B27">
        <w:rPr>
          <w:rFonts w:ascii="Calibri" w:hAnsi="Calibri" w:cs="Calibri"/>
          <w:lang w:val="ro-RO"/>
        </w:rPr>
        <w:t>înscrisă</w:t>
      </w:r>
      <w:r w:rsidRPr="00834B27">
        <w:rPr>
          <w:rFonts w:ascii="Calibri" w:hAnsi="Calibri" w:cs="Calibri"/>
          <w:lang w:val="ro-RO"/>
        </w:rPr>
        <w:t xml:space="preserve"> </w:t>
      </w:r>
      <w:r w:rsidR="000136D9" w:rsidRPr="00834B27">
        <w:rPr>
          <w:rFonts w:ascii="Calibri" w:hAnsi="Calibri" w:cs="Calibri"/>
          <w:lang w:val="ro-RO"/>
        </w:rPr>
        <w:t>î</w:t>
      </w:r>
      <w:r w:rsidRPr="00834B27">
        <w:rPr>
          <w:rFonts w:ascii="Calibri" w:hAnsi="Calibri" w:cs="Calibri"/>
          <w:lang w:val="ro-RO"/>
        </w:rPr>
        <w:t xml:space="preserve">n actul de </w:t>
      </w:r>
      <w:r w:rsidR="00CD02C3" w:rsidRPr="00834B27">
        <w:rPr>
          <w:rFonts w:ascii="Calibri" w:hAnsi="Calibri" w:cs="Calibri"/>
          <w:lang w:val="ro-RO"/>
        </w:rPr>
        <w:t>transfer al dreptului de proprietate sau a</w:t>
      </w:r>
      <w:r w:rsidR="00285F1A" w:rsidRPr="00834B27">
        <w:rPr>
          <w:rFonts w:ascii="Calibri" w:hAnsi="Calibri" w:cs="Calibri"/>
          <w:lang w:val="ro-RO"/>
        </w:rPr>
        <w:t>l</w:t>
      </w:r>
      <w:r w:rsidR="00CD02C3" w:rsidRPr="00834B27">
        <w:rPr>
          <w:rFonts w:ascii="Calibri" w:hAnsi="Calibri" w:cs="Calibri"/>
          <w:lang w:val="ro-RO"/>
        </w:rPr>
        <w:t xml:space="preserve"> </w:t>
      </w:r>
      <w:r w:rsidR="000136D9" w:rsidRPr="00834B27">
        <w:rPr>
          <w:rFonts w:ascii="Calibri" w:hAnsi="Calibri" w:cs="Calibri"/>
          <w:lang w:val="ro-RO"/>
        </w:rPr>
        <w:t>dezmembrămintelor</w:t>
      </w:r>
      <w:r w:rsidR="003175BC" w:rsidRPr="00834B27">
        <w:rPr>
          <w:rFonts w:ascii="Calibri" w:hAnsi="Calibri" w:cs="Calibri"/>
          <w:lang w:val="ro-RO"/>
        </w:rPr>
        <w:t xml:space="preserve"> acestuia. Exist</w:t>
      </w:r>
      <w:r w:rsidR="000136D9" w:rsidRPr="00834B27">
        <w:rPr>
          <w:rFonts w:ascii="Calibri" w:hAnsi="Calibri" w:cs="Calibri"/>
          <w:lang w:val="ro-RO"/>
        </w:rPr>
        <w:t>ă</w:t>
      </w:r>
      <w:r w:rsidR="003175BC" w:rsidRPr="00834B27">
        <w:rPr>
          <w:rFonts w:ascii="Calibri" w:hAnsi="Calibri" w:cs="Calibri"/>
          <w:lang w:val="ro-RO"/>
        </w:rPr>
        <w:t xml:space="preserve"> </w:t>
      </w:r>
      <w:r w:rsidR="000136D9" w:rsidRPr="00834B27">
        <w:rPr>
          <w:rFonts w:ascii="Calibri" w:hAnsi="Calibri" w:cs="Calibri"/>
          <w:lang w:val="ro-RO"/>
        </w:rPr>
        <w:t>ș</w:t>
      </w:r>
      <w:r w:rsidR="003175BC" w:rsidRPr="00834B27">
        <w:rPr>
          <w:rFonts w:ascii="Calibri" w:hAnsi="Calibri" w:cs="Calibri"/>
          <w:lang w:val="ro-RO"/>
        </w:rPr>
        <w:t xml:space="preserve">i anumite </w:t>
      </w:r>
      <w:r w:rsidR="000136D9" w:rsidRPr="00834B27">
        <w:rPr>
          <w:rFonts w:ascii="Calibri" w:hAnsi="Calibri" w:cs="Calibri"/>
          <w:lang w:val="ro-RO"/>
        </w:rPr>
        <w:t>excep</w:t>
      </w:r>
      <w:r w:rsidR="00D77C4B" w:rsidRPr="00834B27">
        <w:rPr>
          <w:rFonts w:ascii="Calibri" w:hAnsi="Calibri" w:cs="Calibri"/>
          <w:lang w:val="ro-RO"/>
        </w:rPr>
        <w:t>ț</w:t>
      </w:r>
      <w:r w:rsidR="000136D9" w:rsidRPr="00834B27">
        <w:rPr>
          <w:rFonts w:ascii="Calibri" w:hAnsi="Calibri" w:cs="Calibri"/>
          <w:lang w:val="ro-RO"/>
        </w:rPr>
        <w:t>ii</w:t>
      </w:r>
      <w:r w:rsidR="003175BC" w:rsidRPr="00834B27">
        <w:rPr>
          <w:rFonts w:ascii="Calibri" w:hAnsi="Calibri" w:cs="Calibri"/>
          <w:lang w:val="ro-RO"/>
        </w:rPr>
        <w:t xml:space="preserve">, </w:t>
      </w:r>
      <w:r w:rsidR="000136D9" w:rsidRPr="00834B27">
        <w:rPr>
          <w:rFonts w:ascii="Calibri" w:hAnsi="Calibri" w:cs="Calibri"/>
          <w:lang w:val="ro-RO"/>
        </w:rPr>
        <w:t>prevăzute</w:t>
      </w:r>
      <w:r w:rsidR="003175BC" w:rsidRPr="00834B27">
        <w:rPr>
          <w:rFonts w:ascii="Calibri" w:hAnsi="Calibri" w:cs="Calibri"/>
          <w:lang w:val="ro-RO"/>
        </w:rPr>
        <w:t xml:space="preserve"> la </w:t>
      </w:r>
      <w:r w:rsidR="005A1A15" w:rsidRPr="00834B27">
        <w:rPr>
          <w:rFonts w:ascii="Calibri" w:hAnsi="Calibri" w:cs="Calibri"/>
          <w:lang w:val="ro-RO"/>
        </w:rPr>
        <w:t>art. 111(2) din CF.</w:t>
      </w:r>
    </w:p>
    <w:p w14:paraId="0313D225" w14:textId="64D1F128" w:rsidR="005A1A15" w:rsidRPr="00834B27" w:rsidRDefault="005A1A15" w:rsidP="00B91E74">
      <w:pPr>
        <w:spacing w:line="276" w:lineRule="auto"/>
        <w:jc w:val="both"/>
        <w:rPr>
          <w:rFonts w:ascii="Calibri" w:hAnsi="Calibri" w:cs="Calibri"/>
          <w:lang w:val="ro-RO"/>
        </w:rPr>
      </w:pPr>
      <w:r w:rsidRPr="00834B27">
        <w:rPr>
          <w:rFonts w:ascii="Calibri" w:hAnsi="Calibri" w:cs="Calibri"/>
          <w:b/>
          <w:bCs/>
          <w:u w:val="single"/>
          <w:lang w:val="ro-RO"/>
        </w:rPr>
        <w:t>Plata:</w:t>
      </w:r>
      <w:r w:rsidRPr="00834B27">
        <w:rPr>
          <w:rFonts w:ascii="Calibri" w:hAnsi="Calibri" w:cs="Calibri"/>
          <w:lang w:val="ro-RO"/>
        </w:rPr>
        <w:t xml:space="preserve"> impozitul se </w:t>
      </w:r>
      <w:r w:rsidR="000136D9" w:rsidRPr="00834B27">
        <w:rPr>
          <w:rFonts w:ascii="Calibri" w:hAnsi="Calibri" w:cs="Calibri"/>
          <w:lang w:val="ro-RO"/>
        </w:rPr>
        <w:t>calculează</w:t>
      </w:r>
      <w:r w:rsidRPr="00834B27">
        <w:rPr>
          <w:rFonts w:ascii="Calibri" w:hAnsi="Calibri" w:cs="Calibri"/>
          <w:lang w:val="ro-RO"/>
        </w:rPr>
        <w:t xml:space="preserve"> </w:t>
      </w:r>
      <w:r w:rsidR="000136D9" w:rsidRPr="00834B27">
        <w:rPr>
          <w:rFonts w:ascii="Calibri" w:hAnsi="Calibri" w:cs="Calibri"/>
          <w:lang w:val="ro-RO"/>
        </w:rPr>
        <w:t>ș</w:t>
      </w:r>
      <w:r w:rsidRPr="00834B27">
        <w:rPr>
          <w:rFonts w:ascii="Calibri" w:hAnsi="Calibri" w:cs="Calibri"/>
          <w:lang w:val="ro-RO"/>
        </w:rPr>
        <w:t>i se re</w:t>
      </w:r>
      <w:r w:rsidR="00D77C4B" w:rsidRPr="00834B27">
        <w:rPr>
          <w:rFonts w:ascii="Calibri" w:hAnsi="Calibri" w:cs="Calibri"/>
          <w:lang w:val="ro-RO"/>
        </w:rPr>
        <w:t>ț</w:t>
      </w:r>
      <w:r w:rsidRPr="00834B27">
        <w:rPr>
          <w:rFonts w:ascii="Calibri" w:hAnsi="Calibri" w:cs="Calibri"/>
          <w:lang w:val="ro-RO"/>
        </w:rPr>
        <w:t xml:space="preserve">ine de </w:t>
      </w:r>
      <w:r w:rsidR="000136D9" w:rsidRPr="00834B27">
        <w:rPr>
          <w:rFonts w:ascii="Calibri" w:hAnsi="Calibri" w:cs="Calibri"/>
          <w:lang w:val="ro-RO"/>
        </w:rPr>
        <w:t>către</w:t>
      </w:r>
      <w:r w:rsidRPr="00834B27">
        <w:rPr>
          <w:rFonts w:ascii="Calibri" w:hAnsi="Calibri" w:cs="Calibri"/>
          <w:lang w:val="ro-RO"/>
        </w:rPr>
        <w:t xml:space="preserve"> notar, la data </w:t>
      </w:r>
      <w:r w:rsidR="000136D9" w:rsidRPr="00834B27">
        <w:rPr>
          <w:rFonts w:ascii="Calibri" w:hAnsi="Calibri" w:cs="Calibri"/>
          <w:lang w:val="ro-RO"/>
        </w:rPr>
        <w:t>autentificării</w:t>
      </w:r>
      <w:r w:rsidRPr="00834B27">
        <w:rPr>
          <w:rFonts w:ascii="Calibri" w:hAnsi="Calibri" w:cs="Calibri"/>
          <w:lang w:val="ro-RO"/>
        </w:rPr>
        <w:t xml:space="preserve"> actului de transfer.</w:t>
      </w:r>
    </w:p>
    <w:p w14:paraId="770B2ED0" w14:textId="77777777" w:rsidR="005030D8" w:rsidRPr="00834B27" w:rsidRDefault="005030D8" w:rsidP="00B91E74">
      <w:pPr>
        <w:spacing w:line="276" w:lineRule="auto"/>
        <w:jc w:val="both"/>
        <w:rPr>
          <w:rFonts w:ascii="Calibri" w:hAnsi="Calibri" w:cs="Calibri"/>
          <w:lang w:val="ro-RO"/>
        </w:rPr>
      </w:pPr>
    </w:p>
    <w:p w14:paraId="60AAAA5A" w14:textId="797A2136" w:rsidR="005A1A15" w:rsidRPr="00834B27" w:rsidRDefault="005F0760" w:rsidP="00B91E74">
      <w:pPr>
        <w:spacing w:line="276" w:lineRule="auto"/>
        <w:jc w:val="both"/>
        <w:rPr>
          <w:rFonts w:ascii="Calibri" w:hAnsi="Calibri" w:cs="Calibri"/>
          <w:b/>
          <w:bCs/>
          <w:i/>
          <w:iCs/>
          <w:lang w:val="ro-RO"/>
        </w:rPr>
      </w:pPr>
      <w:r w:rsidRPr="00834B27">
        <w:rPr>
          <w:rFonts w:ascii="Calibri" w:hAnsi="Calibri" w:cs="Calibri"/>
          <w:b/>
          <w:bCs/>
          <w:i/>
          <w:iCs/>
          <w:lang w:val="ro-RO"/>
        </w:rPr>
        <w:t>Scurt istoric</w:t>
      </w:r>
    </w:p>
    <w:p w14:paraId="3CE55505" w14:textId="1E3A104F" w:rsidR="005F0760" w:rsidRPr="00834B27" w:rsidRDefault="000136D9" w:rsidP="00B91E74">
      <w:pPr>
        <w:spacing w:line="276" w:lineRule="auto"/>
        <w:jc w:val="both"/>
        <w:rPr>
          <w:rFonts w:ascii="Calibri" w:hAnsi="Calibri" w:cs="Calibri"/>
          <w:i/>
          <w:iCs/>
          <w:lang w:val="ro-RO"/>
        </w:rPr>
      </w:pPr>
      <w:r w:rsidRPr="00834B27">
        <w:rPr>
          <w:rFonts w:ascii="Calibri" w:hAnsi="Calibri" w:cs="Calibri"/>
          <w:i/>
          <w:iCs/>
          <w:lang w:val="ro-RO"/>
        </w:rPr>
        <w:t>Ș</w:t>
      </w:r>
      <w:r w:rsidR="005F0760" w:rsidRPr="00834B27">
        <w:rPr>
          <w:rFonts w:ascii="Calibri" w:hAnsi="Calibri" w:cs="Calibri"/>
          <w:i/>
          <w:iCs/>
          <w:lang w:val="ro-RO"/>
        </w:rPr>
        <w:t>i acest impozit are un parcurs zbuciumat:</w:t>
      </w:r>
    </w:p>
    <w:p w14:paraId="0A066152" w14:textId="187C2A7A" w:rsidR="005F0760" w:rsidRPr="00834B27" w:rsidRDefault="005F0760" w:rsidP="005030D8">
      <w:pPr>
        <w:pStyle w:val="Listparagraf"/>
        <w:numPr>
          <w:ilvl w:val="0"/>
          <w:numId w:val="1"/>
        </w:numPr>
        <w:spacing w:line="276" w:lineRule="auto"/>
        <w:ind w:left="360"/>
        <w:contextualSpacing w:val="0"/>
        <w:jc w:val="both"/>
        <w:rPr>
          <w:rFonts w:ascii="Calibri" w:hAnsi="Calibri" w:cs="Calibri"/>
          <w:i/>
          <w:iCs/>
          <w:lang w:val="ro-RO"/>
        </w:rPr>
      </w:pPr>
      <w:r w:rsidRPr="00834B27">
        <w:rPr>
          <w:rFonts w:ascii="Calibri" w:hAnsi="Calibri" w:cs="Calibri"/>
          <w:i/>
          <w:iCs/>
          <w:lang w:val="ro-RO"/>
        </w:rPr>
        <w:t>P</w:t>
      </w:r>
      <w:r w:rsidR="000136D9" w:rsidRPr="00834B27">
        <w:rPr>
          <w:rFonts w:ascii="Calibri" w:hAnsi="Calibri" w:cs="Calibri"/>
          <w:i/>
          <w:iCs/>
          <w:lang w:val="ro-RO"/>
        </w:rPr>
        <w:t>â</w:t>
      </w:r>
      <w:r w:rsidRPr="00834B27">
        <w:rPr>
          <w:rFonts w:ascii="Calibri" w:hAnsi="Calibri" w:cs="Calibri"/>
          <w:i/>
          <w:iCs/>
          <w:lang w:val="ro-RO"/>
        </w:rPr>
        <w:t>n</w:t>
      </w:r>
      <w:r w:rsidR="000136D9" w:rsidRPr="00834B27">
        <w:rPr>
          <w:rFonts w:ascii="Calibri" w:hAnsi="Calibri" w:cs="Calibri"/>
          <w:i/>
          <w:iCs/>
          <w:lang w:val="ro-RO"/>
        </w:rPr>
        <w:t>ă</w:t>
      </w:r>
      <w:r w:rsidRPr="00834B27">
        <w:rPr>
          <w:rFonts w:ascii="Calibri" w:hAnsi="Calibri" w:cs="Calibri"/>
          <w:i/>
          <w:iCs/>
          <w:lang w:val="ro-RO"/>
        </w:rPr>
        <w:t xml:space="preserve"> la 1 iunie 2015, veniturile/</w:t>
      </w:r>
      <w:r w:rsidR="000136D9" w:rsidRPr="00834B27">
        <w:rPr>
          <w:rFonts w:ascii="Calibri" w:hAnsi="Calibri" w:cs="Calibri"/>
          <w:i/>
          <w:iCs/>
          <w:lang w:val="ro-RO"/>
        </w:rPr>
        <w:t>câștigurile</w:t>
      </w:r>
      <w:r w:rsidRPr="00834B27">
        <w:rPr>
          <w:rFonts w:ascii="Calibri" w:hAnsi="Calibri" w:cs="Calibri"/>
          <w:i/>
          <w:iCs/>
          <w:lang w:val="ro-RO"/>
        </w:rPr>
        <w:t xml:space="preserve"> din </w:t>
      </w:r>
      <w:r w:rsidR="000136D9" w:rsidRPr="00834B27">
        <w:rPr>
          <w:rFonts w:ascii="Calibri" w:hAnsi="Calibri" w:cs="Calibri"/>
          <w:i/>
          <w:iCs/>
          <w:lang w:val="ro-RO"/>
        </w:rPr>
        <w:t>vânzarea</w:t>
      </w:r>
      <w:r w:rsidRPr="00834B27">
        <w:rPr>
          <w:rFonts w:ascii="Calibri" w:hAnsi="Calibri" w:cs="Calibri"/>
          <w:i/>
          <w:iCs/>
          <w:lang w:val="ro-RO"/>
        </w:rPr>
        <w:t xml:space="preserve"> bunurilor imobile din patri</w:t>
      </w:r>
      <w:r w:rsidR="003E448B" w:rsidRPr="00834B27">
        <w:rPr>
          <w:rFonts w:ascii="Calibri" w:hAnsi="Calibri" w:cs="Calibri"/>
          <w:i/>
          <w:iCs/>
          <w:lang w:val="ro-RO"/>
        </w:rPr>
        <w:t>moniul perso</w:t>
      </w:r>
      <w:r w:rsidR="00DC0E45" w:rsidRPr="00834B27">
        <w:rPr>
          <w:rFonts w:ascii="Calibri" w:hAnsi="Calibri" w:cs="Calibri"/>
          <w:i/>
          <w:iCs/>
          <w:lang w:val="ro-RO"/>
        </w:rPr>
        <w:t>nal al persoanelor fizice nu au fost impozitate</w:t>
      </w:r>
      <w:r w:rsidR="00596227" w:rsidRPr="00834B27">
        <w:rPr>
          <w:rFonts w:ascii="Calibri" w:hAnsi="Calibri" w:cs="Calibri"/>
          <w:i/>
          <w:iCs/>
          <w:lang w:val="ro-RO"/>
        </w:rPr>
        <w:t xml:space="preserve">, </w:t>
      </w:r>
      <w:r w:rsidR="000136D9" w:rsidRPr="00834B27">
        <w:rPr>
          <w:rFonts w:ascii="Calibri" w:hAnsi="Calibri" w:cs="Calibri"/>
          <w:i/>
          <w:iCs/>
          <w:lang w:val="ro-RO"/>
        </w:rPr>
        <w:t>nefăcându</w:t>
      </w:r>
      <w:r w:rsidR="00596227" w:rsidRPr="00834B27">
        <w:rPr>
          <w:rFonts w:ascii="Calibri" w:hAnsi="Calibri" w:cs="Calibri"/>
          <w:i/>
          <w:iCs/>
          <w:lang w:val="ro-RO"/>
        </w:rPr>
        <w:t xml:space="preserve">-se </w:t>
      </w:r>
      <w:r w:rsidR="000136D9" w:rsidRPr="00834B27">
        <w:rPr>
          <w:rFonts w:ascii="Calibri" w:hAnsi="Calibri" w:cs="Calibri"/>
          <w:i/>
          <w:iCs/>
          <w:lang w:val="ro-RO"/>
        </w:rPr>
        <w:t>niciodată</w:t>
      </w:r>
      <w:r w:rsidR="00596227" w:rsidRPr="00834B27">
        <w:rPr>
          <w:rFonts w:ascii="Calibri" w:hAnsi="Calibri" w:cs="Calibri"/>
          <w:i/>
          <w:iCs/>
          <w:lang w:val="ro-RO"/>
        </w:rPr>
        <w:t xml:space="preserve"> </w:t>
      </w:r>
      <w:r w:rsidR="000136D9" w:rsidRPr="00834B27">
        <w:rPr>
          <w:rFonts w:ascii="Calibri" w:hAnsi="Calibri" w:cs="Calibri"/>
          <w:i/>
          <w:iCs/>
          <w:lang w:val="ro-RO"/>
        </w:rPr>
        <w:t>distinc</w:t>
      </w:r>
      <w:r w:rsidR="00D77C4B" w:rsidRPr="00834B27">
        <w:rPr>
          <w:rFonts w:ascii="Calibri" w:hAnsi="Calibri" w:cs="Calibri"/>
          <w:i/>
          <w:iCs/>
          <w:lang w:val="ro-RO"/>
        </w:rPr>
        <w:t>ț</w:t>
      </w:r>
      <w:r w:rsidR="000136D9" w:rsidRPr="00834B27">
        <w:rPr>
          <w:rFonts w:ascii="Calibri" w:hAnsi="Calibri" w:cs="Calibri"/>
          <w:i/>
          <w:iCs/>
          <w:lang w:val="ro-RO"/>
        </w:rPr>
        <w:t>ie</w:t>
      </w:r>
      <w:r w:rsidR="00596227" w:rsidRPr="00834B27">
        <w:rPr>
          <w:rFonts w:ascii="Calibri" w:hAnsi="Calibri" w:cs="Calibri"/>
          <w:i/>
          <w:iCs/>
          <w:lang w:val="ro-RO"/>
        </w:rPr>
        <w:t xml:space="preserve"> </w:t>
      </w:r>
      <w:r w:rsidR="000136D9" w:rsidRPr="00834B27">
        <w:rPr>
          <w:rFonts w:ascii="Calibri" w:hAnsi="Calibri" w:cs="Calibri"/>
          <w:i/>
          <w:iCs/>
          <w:lang w:val="ro-RO"/>
        </w:rPr>
        <w:t>î</w:t>
      </w:r>
      <w:r w:rsidR="00596227" w:rsidRPr="00834B27">
        <w:rPr>
          <w:rFonts w:ascii="Calibri" w:hAnsi="Calibri" w:cs="Calibri"/>
          <w:i/>
          <w:iCs/>
          <w:lang w:val="ro-RO"/>
        </w:rPr>
        <w:t xml:space="preserve">ntre patrimoniul personal </w:t>
      </w:r>
      <w:r w:rsidR="000136D9" w:rsidRPr="00834B27">
        <w:rPr>
          <w:rFonts w:ascii="Calibri" w:hAnsi="Calibri" w:cs="Calibri"/>
          <w:i/>
          <w:iCs/>
          <w:lang w:val="ro-RO"/>
        </w:rPr>
        <w:t>ș</w:t>
      </w:r>
      <w:r w:rsidR="00596227" w:rsidRPr="00834B27">
        <w:rPr>
          <w:rFonts w:ascii="Calibri" w:hAnsi="Calibri" w:cs="Calibri"/>
          <w:i/>
          <w:iCs/>
          <w:lang w:val="ro-RO"/>
        </w:rPr>
        <w:t xml:space="preserve">i patrimoniul afacerii, </w:t>
      </w:r>
      <w:r w:rsidR="000136D9" w:rsidRPr="00834B27">
        <w:rPr>
          <w:rFonts w:ascii="Calibri" w:hAnsi="Calibri" w:cs="Calibri"/>
          <w:i/>
          <w:iCs/>
          <w:lang w:val="ro-RO"/>
        </w:rPr>
        <w:t>deși</w:t>
      </w:r>
      <w:r w:rsidR="00596227" w:rsidRPr="00834B27">
        <w:rPr>
          <w:rFonts w:ascii="Calibri" w:hAnsi="Calibri" w:cs="Calibri"/>
          <w:i/>
          <w:iCs/>
          <w:lang w:val="ro-RO"/>
        </w:rPr>
        <w:t xml:space="preserve"> </w:t>
      </w:r>
      <w:r w:rsidR="00F16B65" w:rsidRPr="00834B27">
        <w:rPr>
          <w:rFonts w:ascii="Calibri" w:hAnsi="Calibri" w:cs="Calibri"/>
          <w:i/>
          <w:iCs/>
          <w:lang w:val="ro-RO"/>
        </w:rPr>
        <w:t>era evident c</w:t>
      </w:r>
      <w:r w:rsidR="000136D9" w:rsidRPr="00834B27">
        <w:rPr>
          <w:rFonts w:ascii="Calibri" w:hAnsi="Calibri" w:cs="Calibri"/>
          <w:i/>
          <w:iCs/>
          <w:lang w:val="ro-RO"/>
        </w:rPr>
        <w:t>ă</w:t>
      </w:r>
      <w:r w:rsidR="00F16B65" w:rsidRPr="00834B27">
        <w:rPr>
          <w:rFonts w:ascii="Calibri" w:hAnsi="Calibri" w:cs="Calibri"/>
          <w:i/>
          <w:iCs/>
          <w:lang w:val="ro-RO"/>
        </w:rPr>
        <w:t xml:space="preserve"> pentru </w:t>
      </w:r>
      <w:r w:rsidR="000136D9" w:rsidRPr="00834B27">
        <w:rPr>
          <w:rFonts w:ascii="Calibri" w:hAnsi="Calibri" w:cs="Calibri"/>
          <w:i/>
          <w:iCs/>
          <w:lang w:val="ro-RO"/>
        </w:rPr>
        <w:t>mul</w:t>
      </w:r>
      <w:r w:rsidR="00D77C4B" w:rsidRPr="00834B27">
        <w:rPr>
          <w:rFonts w:ascii="Calibri" w:hAnsi="Calibri" w:cs="Calibri"/>
          <w:i/>
          <w:iCs/>
          <w:lang w:val="ro-RO"/>
        </w:rPr>
        <w:t>ț</w:t>
      </w:r>
      <w:r w:rsidR="000136D9" w:rsidRPr="00834B27">
        <w:rPr>
          <w:rFonts w:ascii="Calibri" w:hAnsi="Calibri" w:cs="Calibri"/>
          <w:i/>
          <w:iCs/>
          <w:lang w:val="ro-RO"/>
        </w:rPr>
        <w:t>i</w:t>
      </w:r>
      <w:r w:rsidR="00F16B65" w:rsidRPr="00834B27">
        <w:rPr>
          <w:rFonts w:ascii="Calibri" w:hAnsi="Calibri" w:cs="Calibri"/>
          <w:i/>
          <w:iCs/>
          <w:lang w:val="ro-RO"/>
        </w:rPr>
        <w:t xml:space="preserve"> </w:t>
      </w:r>
      <w:r w:rsidR="000136D9" w:rsidRPr="00834B27">
        <w:rPr>
          <w:rFonts w:ascii="Calibri" w:hAnsi="Calibri" w:cs="Calibri"/>
          <w:i/>
          <w:iCs/>
          <w:lang w:val="ro-RO"/>
        </w:rPr>
        <w:t>vânzarea</w:t>
      </w:r>
      <w:r w:rsidR="00F16B65" w:rsidRPr="00834B27">
        <w:rPr>
          <w:rFonts w:ascii="Calibri" w:hAnsi="Calibri" w:cs="Calibri"/>
          <w:i/>
          <w:iCs/>
          <w:lang w:val="ro-RO"/>
        </w:rPr>
        <w:t xml:space="preserve"> de terenuri sau </w:t>
      </w:r>
      <w:r w:rsidR="000136D9" w:rsidRPr="00834B27">
        <w:rPr>
          <w:rFonts w:ascii="Calibri" w:hAnsi="Calibri" w:cs="Calibri"/>
          <w:i/>
          <w:iCs/>
          <w:lang w:val="ro-RO"/>
        </w:rPr>
        <w:t>vânzarea</w:t>
      </w:r>
      <w:r w:rsidR="00F16B65" w:rsidRPr="00834B27">
        <w:rPr>
          <w:rFonts w:ascii="Calibri" w:hAnsi="Calibri" w:cs="Calibri"/>
          <w:i/>
          <w:iCs/>
          <w:lang w:val="ro-RO"/>
        </w:rPr>
        <w:t xml:space="preserve"> de imobile devenise o afacere extrem de lucrativ</w:t>
      </w:r>
      <w:r w:rsidR="000136D9" w:rsidRPr="00834B27">
        <w:rPr>
          <w:rFonts w:ascii="Calibri" w:hAnsi="Calibri" w:cs="Calibri"/>
          <w:i/>
          <w:iCs/>
          <w:lang w:val="ro-RO"/>
        </w:rPr>
        <w:t>ă</w:t>
      </w:r>
      <w:r w:rsidR="00427EA3" w:rsidRPr="00834B27">
        <w:rPr>
          <w:rFonts w:ascii="Calibri" w:hAnsi="Calibri" w:cs="Calibri"/>
          <w:i/>
          <w:iCs/>
          <w:lang w:val="ro-RO"/>
        </w:rPr>
        <w:t>. Problema nu a fost rezolvat</w:t>
      </w:r>
      <w:r w:rsidR="00285F1A" w:rsidRPr="00834B27">
        <w:rPr>
          <w:rFonts w:ascii="Calibri" w:hAnsi="Calibri" w:cs="Calibri"/>
          <w:i/>
          <w:iCs/>
          <w:lang w:val="ro-RO"/>
        </w:rPr>
        <w:t>ă</w:t>
      </w:r>
      <w:r w:rsidR="00427EA3" w:rsidRPr="00834B27">
        <w:rPr>
          <w:rFonts w:ascii="Calibri" w:hAnsi="Calibri" w:cs="Calibri"/>
          <w:i/>
          <w:iCs/>
          <w:lang w:val="ro-RO"/>
        </w:rPr>
        <w:t xml:space="preserve"> </w:t>
      </w:r>
      <w:r w:rsidR="00CB5BEC" w:rsidRPr="00834B27">
        <w:rPr>
          <w:rFonts w:ascii="Calibri" w:hAnsi="Calibri" w:cs="Calibri"/>
          <w:i/>
          <w:iCs/>
          <w:lang w:val="ro-RO"/>
        </w:rPr>
        <w:t xml:space="preserve">nici la introducerea cotei unice de 16%, </w:t>
      </w:r>
      <w:r w:rsidR="000136D9" w:rsidRPr="00834B27">
        <w:rPr>
          <w:rFonts w:ascii="Calibri" w:hAnsi="Calibri" w:cs="Calibri"/>
          <w:i/>
          <w:iCs/>
          <w:lang w:val="ro-RO"/>
        </w:rPr>
        <w:t>începând</w:t>
      </w:r>
      <w:r w:rsidR="00CB5BEC" w:rsidRPr="00834B27">
        <w:rPr>
          <w:rFonts w:ascii="Calibri" w:hAnsi="Calibri" w:cs="Calibri"/>
          <w:i/>
          <w:iCs/>
          <w:lang w:val="ro-RO"/>
        </w:rPr>
        <w:t xml:space="preserve"> cu 1 ianuarie 2005;</w:t>
      </w:r>
    </w:p>
    <w:p w14:paraId="0E6B93F6" w14:textId="1C4CB72F" w:rsidR="00CB5BEC" w:rsidRPr="00834B27" w:rsidRDefault="000136D9" w:rsidP="005030D8">
      <w:pPr>
        <w:pStyle w:val="Listparagraf"/>
        <w:numPr>
          <w:ilvl w:val="0"/>
          <w:numId w:val="1"/>
        </w:numPr>
        <w:spacing w:line="276" w:lineRule="auto"/>
        <w:ind w:left="360"/>
        <w:contextualSpacing w:val="0"/>
        <w:jc w:val="both"/>
        <w:rPr>
          <w:rFonts w:ascii="Calibri" w:hAnsi="Calibri" w:cs="Calibri"/>
          <w:i/>
          <w:iCs/>
          <w:lang w:val="ro-RO"/>
        </w:rPr>
      </w:pPr>
      <w:r w:rsidRPr="00834B27">
        <w:rPr>
          <w:rFonts w:ascii="Calibri" w:hAnsi="Calibri" w:cs="Calibri"/>
          <w:i/>
          <w:iCs/>
          <w:lang w:val="ro-RO"/>
        </w:rPr>
        <w:lastRenderedPageBreak/>
        <w:t>Î</w:t>
      </w:r>
      <w:r w:rsidR="00F16692" w:rsidRPr="00834B27">
        <w:rPr>
          <w:rFonts w:ascii="Calibri" w:hAnsi="Calibri" w:cs="Calibri"/>
          <w:i/>
          <w:iCs/>
          <w:lang w:val="ro-RO"/>
        </w:rPr>
        <w:t xml:space="preserve">n contextul </w:t>
      </w:r>
      <w:r w:rsidRPr="00834B27">
        <w:rPr>
          <w:rFonts w:ascii="Calibri" w:hAnsi="Calibri" w:cs="Calibri"/>
          <w:i/>
          <w:iCs/>
          <w:lang w:val="ro-RO"/>
        </w:rPr>
        <w:t>scăderii</w:t>
      </w:r>
      <w:r w:rsidR="00F16692" w:rsidRPr="00834B27">
        <w:rPr>
          <w:rFonts w:ascii="Calibri" w:hAnsi="Calibri" w:cs="Calibri"/>
          <w:i/>
          <w:iCs/>
          <w:lang w:val="ro-RO"/>
        </w:rPr>
        <w:t xml:space="preserve"> veniturilor bugetare (</w:t>
      </w:r>
      <w:r w:rsidRPr="00834B27">
        <w:rPr>
          <w:rFonts w:ascii="Calibri" w:hAnsi="Calibri" w:cs="Calibri"/>
          <w:i/>
          <w:iCs/>
          <w:lang w:val="ro-RO"/>
        </w:rPr>
        <w:t>scădere</w:t>
      </w:r>
      <w:r w:rsidR="00F16692" w:rsidRPr="00834B27">
        <w:rPr>
          <w:rFonts w:ascii="Calibri" w:hAnsi="Calibri" w:cs="Calibri"/>
          <w:i/>
          <w:iCs/>
          <w:lang w:val="ro-RO"/>
        </w:rPr>
        <w:t xml:space="preserve"> semnificativ</w:t>
      </w:r>
      <w:r w:rsidRPr="00834B27">
        <w:rPr>
          <w:rFonts w:ascii="Calibri" w:hAnsi="Calibri" w:cs="Calibri"/>
          <w:i/>
          <w:iCs/>
          <w:lang w:val="ro-RO"/>
        </w:rPr>
        <w:t>ă</w:t>
      </w:r>
      <w:r w:rsidR="00F16692" w:rsidRPr="00834B27">
        <w:rPr>
          <w:rFonts w:ascii="Calibri" w:hAnsi="Calibri" w:cs="Calibri"/>
          <w:i/>
          <w:iCs/>
          <w:lang w:val="ro-RO"/>
        </w:rPr>
        <w:t xml:space="preserve"> de cot</w:t>
      </w:r>
      <w:r w:rsidRPr="00834B27">
        <w:rPr>
          <w:rFonts w:ascii="Calibri" w:hAnsi="Calibri" w:cs="Calibri"/>
          <w:i/>
          <w:iCs/>
          <w:lang w:val="ro-RO"/>
        </w:rPr>
        <w:t>ă</w:t>
      </w:r>
      <w:r w:rsidR="00F16692" w:rsidRPr="00834B27">
        <w:rPr>
          <w:rFonts w:ascii="Calibri" w:hAnsi="Calibri" w:cs="Calibri"/>
          <w:i/>
          <w:iCs/>
          <w:lang w:val="ro-RO"/>
        </w:rPr>
        <w:t xml:space="preserve">, </w:t>
      </w:r>
      <w:r w:rsidRPr="00834B27">
        <w:rPr>
          <w:rFonts w:ascii="Calibri" w:hAnsi="Calibri" w:cs="Calibri"/>
          <w:i/>
          <w:iCs/>
          <w:lang w:val="ro-RO"/>
        </w:rPr>
        <w:t>fără</w:t>
      </w:r>
      <w:r w:rsidR="00F16692" w:rsidRPr="00834B27">
        <w:rPr>
          <w:rFonts w:ascii="Calibri" w:hAnsi="Calibri" w:cs="Calibri"/>
          <w:i/>
          <w:iCs/>
          <w:lang w:val="ro-RO"/>
        </w:rPr>
        <w:t xml:space="preserve"> extindere</w:t>
      </w:r>
      <w:r w:rsidRPr="00834B27">
        <w:rPr>
          <w:rFonts w:ascii="Calibri" w:hAnsi="Calibri" w:cs="Calibri"/>
          <w:i/>
          <w:iCs/>
          <w:lang w:val="ro-RO"/>
        </w:rPr>
        <w:t>a</w:t>
      </w:r>
      <w:r w:rsidR="00F16692" w:rsidRPr="00834B27">
        <w:rPr>
          <w:rFonts w:ascii="Calibri" w:hAnsi="Calibri" w:cs="Calibri"/>
          <w:i/>
          <w:iCs/>
          <w:lang w:val="ro-RO"/>
        </w:rPr>
        <w:t xml:space="preserve"> baz</w:t>
      </w:r>
      <w:r w:rsidRPr="00834B27">
        <w:rPr>
          <w:rFonts w:ascii="Calibri" w:hAnsi="Calibri" w:cs="Calibri"/>
          <w:i/>
          <w:iCs/>
          <w:lang w:val="ro-RO"/>
        </w:rPr>
        <w:t>ei</w:t>
      </w:r>
      <w:r w:rsidR="00F16692" w:rsidRPr="00834B27">
        <w:rPr>
          <w:rFonts w:ascii="Calibri" w:hAnsi="Calibri" w:cs="Calibri"/>
          <w:i/>
          <w:iCs/>
          <w:lang w:val="ro-RO"/>
        </w:rPr>
        <w:t xml:space="preserve">), </w:t>
      </w:r>
      <w:r w:rsidRPr="00834B27">
        <w:rPr>
          <w:rFonts w:ascii="Calibri" w:hAnsi="Calibri" w:cs="Calibri"/>
          <w:i/>
          <w:iCs/>
          <w:lang w:val="ro-RO"/>
        </w:rPr>
        <w:t>începând</w:t>
      </w:r>
      <w:r w:rsidR="00F16692" w:rsidRPr="00834B27">
        <w:rPr>
          <w:rFonts w:ascii="Calibri" w:hAnsi="Calibri" w:cs="Calibri"/>
          <w:i/>
          <w:iCs/>
          <w:lang w:val="ro-RO"/>
        </w:rPr>
        <w:t xml:space="preserve"> cu </w:t>
      </w:r>
      <w:r w:rsidR="000B5DCD" w:rsidRPr="00834B27">
        <w:rPr>
          <w:rFonts w:ascii="Calibri" w:hAnsi="Calibri" w:cs="Calibri"/>
          <w:i/>
          <w:iCs/>
          <w:lang w:val="ro-RO"/>
        </w:rPr>
        <w:t xml:space="preserve">1 iunie 2005 a fost introdus un impozit de 10% pe </w:t>
      </w:r>
      <w:r w:rsidRPr="00834B27">
        <w:rPr>
          <w:rFonts w:ascii="Calibri" w:hAnsi="Calibri" w:cs="Calibri"/>
          <w:i/>
          <w:iCs/>
          <w:lang w:val="ro-RO"/>
        </w:rPr>
        <w:t>câștigul</w:t>
      </w:r>
      <w:r w:rsidR="000B5DCD" w:rsidRPr="00834B27">
        <w:rPr>
          <w:rFonts w:ascii="Calibri" w:hAnsi="Calibri" w:cs="Calibri"/>
          <w:i/>
          <w:iCs/>
          <w:lang w:val="ro-RO"/>
        </w:rPr>
        <w:t xml:space="preserve"> din </w:t>
      </w:r>
      <w:r w:rsidRPr="00834B27">
        <w:rPr>
          <w:rFonts w:ascii="Calibri" w:hAnsi="Calibri" w:cs="Calibri"/>
          <w:i/>
          <w:iCs/>
          <w:lang w:val="ro-RO"/>
        </w:rPr>
        <w:t>vânzarea</w:t>
      </w:r>
      <w:r w:rsidR="000B5DCD" w:rsidRPr="00834B27">
        <w:rPr>
          <w:rFonts w:ascii="Calibri" w:hAnsi="Calibri" w:cs="Calibri"/>
          <w:i/>
          <w:iCs/>
          <w:lang w:val="ro-RO"/>
        </w:rPr>
        <w:t xml:space="preserve"> bunurilor imobile</w:t>
      </w:r>
      <w:r w:rsidR="00990357" w:rsidRPr="00834B27">
        <w:rPr>
          <w:rFonts w:ascii="Calibri" w:hAnsi="Calibri" w:cs="Calibri"/>
          <w:i/>
          <w:iCs/>
          <w:lang w:val="ro-RO"/>
        </w:rPr>
        <w:t>, cot</w:t>
      </w:r>
      <w:r w:rsidR="004E4818" w:rsidRPr="00834B27">
        <w:rPr>
          <w:rFonts w:ascii="Calibri" w:hAnsi="Calibri" w:cs="Calibri"/>
          <w:i/>
          <w:iCs/>
          <w:lang w:val="ro-RO"/>
        </w:rPr>
        <w:t>ă</w:t>
      </w:r>
      <w:r w:rsidR="00990357" w:rsidRPr="00834B27">
        <w:rPr>
          <w:rFonts w:ascii="Calibri" w:hAnsi="Calibri" w:cs="Calibri"/>
          <w:i/>
          <w:iCs/>
          <w:lang w:val="ro-RO"/>
        </w:rPr>
        <w:t xml:space="preserve"> majorat</w:t>
      </w:r>
      <w:r w:rsidR="004E4818" w:rsidRPr="00834B27">
        <w:rPr>
          <w:rFonts w:ascii="Calibri" w:hAnsi="Calibri" w:cs="Calibri"/>
          <w:i/>
          <w:iCs/>
          <w:lang w:val="ro-RO"/>
        </w:rPr>
        <w:t>ă</w:t>
      </w:r>
      <w:r w:rsidR="00990357" w:rsidRPr="00834B27">
        <w:rPr>
          <w:rFonts w:ascii="Calibri" w:hAnsi="Calibri" w:cs="Calibri"/>
          <w:i/>
          <w:iCs/>
          <w:lang w:val="ro-RO"/>
        </w:rPr>
        <w:t xml:space="preserve"> la 16% </w:t>
      </w:r>
      <w:r w:rsidRPr="00834B27">
        <w:rPr>
          <w:rFonts w:ascii="Calibri" w:hAnsi="Calibri" w:cs="Calibri"/>
          <w:i/>
          <w:iCs/>
          <w:lang w:val="ro-RO"/>
        </w:rPr>
        <w:t>începând</w:t>
      </w:r>
      <w:r w:rsidR="00990357" w:rsidRPr="00834B27">
        <w:rPr>
          <w:rFonts w:ascii="Calibri" w:hAnsi="Calibri" w:cs="Calibri"/>
          <w:i/>
          <w:iCs/>
          <w:lang w:val="ro-RO"/>
        </w:rPr>
        <w:t xml:space="preserve"> din 1 ianuarie 2006;</w:t>
      </w:r>
    </w:p>
    <w:p w14:paraId="3971591C" w14:textId="506368A5" w:rsidR="00990357" w:rsidRPr="00834B27" w:rsidRDefault="00990357" w:rsidP="005030D8">
      <w:pPr>
        <w:pStyle w:val="Listparagraf"/>
        <w:numPr>
          <w:ilvl w:val="0"/>
          <w:numId w:val="1"/>
        </w:numPr>
        <w:spacing w:line="276" w:lineRule="auto"/>
        <w:ind w:left="360"/>
        <w:contextualSpacing w:val="0"/>
        <w:jc w:val="both"/>
        <w:rPr>
          <w:rFonts w:ascii="Calibri" w:hAnsi="Calibri" w:cs="Calibri"/>
          <w:i/>
          <w:iCs/>
          <w:lang w:val="ro-RO"/>
        </w:rPr>
      </w:pPr>
      <w:r w:rsidRPr="00834B27">
        <w:rPr>
          <w:rFonts w:ascii="Calibri" w:hAnsi="Calibri" w:cs="Calibri"/>
          <w:i/>
          <w:iCs/>
          <w:lang w:val="ro-RO"/>
        </w:rPr>
        <w:t>Regleme</w:t>
      </w:r>
      <w:r w:rsidR="00803E2B" w:rsidRPr="00834B27">
        <w:rPr>
          <w:rFonts w:ascii="Calibri" w:hAnsi="Calibri" w:cs="Calibri"/>
          <w:i/>
          <w:iCs/>
          <w:lang w:val="ro-RO"/>
        </w:rPr>
        <w:t xml:space="preserve">ntarea </w:t>
      </w:r>
      <w:r w:rsidR="000136D9" w:rsidRPr="00834B27">
        <w:rPr>
          <w:rFonts w:ascii="Calibri" w:hAnsi="Calibri" w:cs="Calibri"/>
          <w:i/>
          <w:iCs/>
          <w:lang w:val="ro-RO"/>
        </w:rPr>
        <w:t>men</w:t>
      </w:r>
      <w:r w:rsidR="00D77C4B" w:rsidRPr="00834B27">
        <w:rPr>
          <w:rFonts w:ascii="Calibri" w:hAnsi="Calibri" w:cs="Calibri"/>
          <w:i/>
          <w:iCs/>
          <w:lang w:val="ro-RO"/>
        </w:rPr>
        <w:t>ț</w:t>
      </w:r>
      <w:r w:rsidR="000136D9" w:rsidRPr="00834B27">
        <w:rPr>
          <w:rFonts w:ascii="Calibri" w:hAnsi="Calibri" w:cs="Calibri"/>
          <w:i/>
          <w:iCs/>
          <w:lang w:val="ro-RO"/>
        </w:rPr>
        <w:t>ionată</w:t>
      </w:r>
      <w:r w:rsidR="00803E2B" w:rsidRPr="00834B27">
        <w:rPr>
          <w:rFonts w:ascii="Calibri" w:hAnsi="Calibri" w:cs="Calibri"/>
          <w:i/>
          <w:iCs/>
          <w:lang w:val="ro-RO"/>
        </w:rPr>
        <w:t xml:space="preserve"> anterior a </w:t>
      </w:r>
      <w:r w:rsidR="000136D9" w:rsidRPr="00834B27">
        <w:rPr>
          <w:rFonts w:ascii="Calibri" w:hAnsi="Calibri" w:cs="Calibri"/>
          <w:i/>
          <w:iCs/>
          <w:lang w:val="ro-RO"/>
        </w:rPr>
        <w:t>prevăzut</w:t>
      </w:r>
      <w:r w:rsidR="00803E2B" w:rsidRPr="00834B27">
        <w:rPr>
          <w:rFonts w:ascii="Calibri" w:hAnsi="Calibri" w:cs="Calibri"/>
          <w:i/>
          <w:iCs/>
          <w:lang w:val="ro-RO"/>
        </w:rPr>
        <w:t xml:space="preserve"> </w:t>
      </w:r>
      <w:r w:rsidR="000136D9" w:rsidRPr="00834B27">
        <w:rPr>
          <w:rFonts w:ascii="Calibri" w:hAnsi="Calibri" w:cs="Calibri"/>
          <w:i/>
          <w:iCs/>
          <w:lang w:val="ro-RO"/>
        </w:rPr>
        <w:t>atât</w:t>
      </w:r>
      <w:r w:rsidR="00803E2B" w:rsidRPr="00834B27">
        <w:rPr>
          <w:rFonts w:ascii="Calibri" w:hAnsi="Calibri" w:cs="Calibri"/>
          <w:i/>
          <w:iCs/>
          <w:lang w:val="ro-RO"/>
        </w:rPr>
        <w:t xml:space="preserve"> de multe </w:t>
      </w:r>
      <w:r w:rsidR="000136D9" w:rsidRPr="00834B27">
        <w:rPr>
          <w:rFonts w:ascii="Calibri" w:hAnsi="Calibri" w:cs="Calibri"/>
          <w:i/>
          <w:iCs/>
          <w:lang w:val="ro-RO"/>
        </w:rPr>
        <w:t>excep</w:t>
      </w:r>
      <w:r w:rsidR="00D77C4B" w:rsidRPr="00834B27">
        <w:rPr>
          <w:rFonts w:ascii="Calibri" w:hAnsi="Calibri" w:cs="Calibri"/>
          <w:i/>
          <w:iCs/>
          <w:lang w:val="ro-RO"/>
        </w:rPr>
        <w:t>ț</w:t>
      </w:r>
      <w:r w:rsidR="000136D9" w:rsidRPr="00834B27">
        <w:rPr>
          <w:rFonts w:ascii="Calibri" w:hAnsi="Calibri" w:cs="Calibri"/>
          <w:i/>
          <w:iCs/>
          <w:lang w:val="ro-RO"/>
        </w:rPr>
        <w:t>ii</w:t>
      </w:r>
      <w:r w:rsidR="00803E2B" w:rsidRPr="00834B27">
        <w:rPr>
          <w:rFonts w:ascii="Calibri" w:hAnsi="Calibri" w:cs="Calibri"/>
          <w:i/>
          <w:iCs/>
          <w:lang w:val="ro-RO"/>
        </w:rPr>
        <w:t xml:space="preserve"> (erau impozitate doar </w:t>
      </w:r>
      <w:r w:rsidR="000136D9" w:rsidRPr="00834B27">
        <w:rPr>
          <w:rFonts w:ascii="Calibri" w:hAnsi="Calibri" w:cs="Calibri"/>
          <w:i/>
          <w:iCs/>
          <w:lang w:val="ro-RO"/>
        </w:rPr>
        <w:t>câștigurile</w:t>
      </w:r>
      <w:r w:rsidR="00803E2B" w:rsidRPr="00834B27">
        <w:rPr>
          <w:rFonts w:ascii="Calibri" w:hAnsi="Calibri" w:cs="Calibri"/>
          <w:i/>
          <w:iCs/>
          <w:lang w:val="ro-RO"/>
        </w:rPr>
        <w:t xml:space="preserve"> din </w:t>
      </w:r>
      <w:r w:rsidR="000136D9" w:rsidRPr="00834B27">
        <w:rPr>
          <w:rFonts w:ascii="Calibri" w:hAnsi="Calibri" w:cs="Calibri"/>
          <w:i/>
          <w:iCs/>
          <w:lang w:val="ro-RO"/>
        </w:rPr>
        <w:t>vânzarea</w:t>
      </w:r>
      <w:r w:rsidR="00803E2B" w:rsidRPr="00834B27">
        <w:rPr>
          <w:rFonts w:ascii="Calibri" w:hAnsi="Calibri" w:cs="Calibri"/>
          <w:i/>
          <w:iCs/>
          <w:lang w:val="ro-RO"/>
        </w:rPr>
        <w:t xml:space="preserve"> unor imobile </w:t>
      </w:r>
      <w:r w:rsidR="000136D9" w:rsidRPr="00834B27">
        <w:rPr>
          <w:rFonts w:ascii="Calibri" w:hAnsi="Calibri" w:cs="Calibri"/>
          <w:i/>
          <w:iCs/>
          <w:lang w:val="ro-RO"/>
        </w:rPr>
        <w:t>de</w:t>
      </w:r>
      <w:r w:rsidR="00D77C4B" w:rsidRPr="00834B27">
        <w:rPr>
          <w:rFonts w:ascii="Calibri" w:hAnsi="Calibri" w:cs="Calibri"/>
          <w:i/>
          <w:iCs/>
          <w:lang w:val="ro-RO"/>
        </w:rPr>
        <w:t>ț</w:t>
      </w:r>
      <w:r w:rsidR="000136D9" w:rsidRPr="00834B27">
        <w:rPr>
          <w:rFonts w:ascii="Calibri" w:hAnsi="Calibri" w:cs="Calibri"/>
          <w:i/>
          <w:iCs/>
          <w:lang w:val="ro-RO"/>
        </w:rPr>
        <w:t>inute</w:t>
      </w:r>
      <w:r w:rsidR="00803E2B" w:rsidRPr="00834B27">
        <w:rPr>
          <w:rFonts w:ascii="Calibri" w:hAnsi="Calibri" w:cs="Calibri"/>
          <w:i/>
          <w:iCs/>
          <w:lang w:val="ro-RO"/>
        </w:rPr>
        <w:t xml:space="preserve"> mai </w:t>
      </w:r>
      <w:r w:rsidR="000136D9" w:rsidRPr="00834B27">
        <w:rPr>
          <w:rFonts w:ascii="Calibri" w:hAnsi="Calibri" w:cs="Calibri"/>
          <w:i/>
          <w:iCs/>
          <w:lang w:val="ro-RO"/>
        </w:rPr>
        <w:t>pu</w:t>
      </w:r>
      <w:r w:rsidR="00D77C4B" w:rsidRPr="00834B27">
        <w:rPr>
          <w:rFonts w:ascii="Calibri" w:hAnsi="Calibri" w:cs="Calibri"/>
          <w:i/>
          <w:iCs/>
          <w:lang w:val="ro-RO"/>
        </w:rPr>
        <w:t>ț</w:t>
      </w:r>
      <w:r w:rsidR="000136D9" w:rsidRPr="00834B27">
        <w:rPr>
          <w:rFonts w:ascii="Calibri" w:hAnsi="Calibri" w:cs="Calibri"/>
          <w:i/>
          <w:iCs/>
          <w:lang w:val="ro-RO"/>
        </w:rPr>
        <w:t>in</w:t>
      </w:r>
      <w:r w:rsidR="00803E2B" w:rsidRPr="00834B27">
        <w:rPr>
          <w:rFonts w:ascii="Calibri" w:hAnsi="Calibri" w:cs="Calibri"/>
          <w:i/>
          <w:iCs/>
          <w:lang w:val="ro-RO"/>
        </w:rPr>
        <w:t xml:space="preserve"> de 3 ani, </w:t>
      </w:r>
      <w:r w:rsidR="00027D48" w:rsidRPr="00834B27">
        <w:rPr>
          <w:rFonts w:ascii="Calibri" w:hAnsi="Calibri" w:cs="Calibri"/>
          <w:i/>
          <w:iCs/>
          <w:lang w:val="ro-RO"/>
        </w:rPr>
        <w:t xml:space="preserve">erau exceptate de la impozitare </w:t>
      </w:r>
      <w:r w:rsidR="000136D9" w:rsidRPr="00834B27">
        <w:rPr>
          <w:rFonts w:ascii="Calibri" w:hAnsi="Calibri" w:cs="Calibri"/>
          <w:i/>
          <w:iCs/>
          <w:lang w:val="ro-RO"/>
        </w:rPr>
        <w:t>câștigurile</w:t>
      </w:r>
      <w:r w:rsidR="00027D48" w:rsidRPr="00834B27">
        <w:rPr>
          <w:rFonts w:ascii="Calibri" w:hAnsi="Calibri" w:cs="Calibri"/>
          <w:i/>
          <w:iCs/>
          <w:lang w:val="ro-RO"/>
        </w:rPr>
        <w:t xml:space="preserve"> </w:t>
      </w:r>
      <w:r w:rsidR="000136D9" w:rsidRPr="00834B27">
        <w:rPr>
          <w:rFonts w:ascii="Calibri" w:hAnsi="Calibri" w:cs="Calibri"/>
          <w:i/>
          <w:iCs/>
          <w:lang w:val="ro-RO"/>
        </w:rPr>
        <w:t>ob</w:t>
      </w:r>
      <w:r w:rsidR="00D77C4B" w:rsidRPr="00834B27">
        <w:rPr>
          <w:rFonts w:ascii="Calibri" w:hAnsi="Calibri" w:cs="Calibri"/>
          <w:i/>
          <w:iCs/>
          <w:lang w:val="ro-RO"/>
        </w:rPr>
        <w:t>ț</w:t>
      </w:r>
      <w:r w:rsidR="000136D9" w:rsidRPr="00834B27">
        <w:rPr>
          <w:rFonts w:ascii="Calibri" w:hAnsi="Calibri" w:cs="Calibri"/>
          <w:i/>
          <w:iCs/>
          <w:lang w:val="ro-RO"/>
        </w:rPr>
        <w:t>inute</w:t>
      </w:r>
      <w:r w:rsidR="00027D48" w:rsidRPr="00834B27">
        <w:rPr>
          <w:rFonts w:ascii="Calibri" w:hAnsi="Calibri" w:cs="Calibri"/>
          <w:i/>
          <w:iCs/>
          <w:lang w:val="ro-RO"/>
        </w:rPr>
        <w:t xml:space="preserve"> din </w:t>
      </w:r>
      <w:r w:rsidR="000136D9" w:rsidRPr="00834B27">
        <w:rPr>
          <w:rFonts w:ascii="Calibri" w:hAnsi="Calibri" w:cs="Calibri"/>
          <w:i/>
          <w:iCs/>
          <w:lang w:val="ro-RO"/>
        </w:rPr>
        <w:t>vânzarea</w:t>
      </w:r>
      <w:r w:rsidR="00027D48" w:rsidRPr="00834B27">
        <w:rPr>
          <w:rFonts w:ascii="Calibri" w:hAnsi="Calibri" w:cs="Calibri"/>
          <w:i/>
          <w:iCs/>
          <w:lang w:val="ro-RO"/>
        </w:rPr>
        <w:t xml:space="preserve"> terenurilor </w:t>
      </w:r>
      <w:r w:rsidR="000136D9" w:rsidRPr="00834B27">
        <w:rPr>
          <w:rFonts w:ascii="Calibri" w:hAnsi="Calibri" w:cs="Calibri"/>
          <w:i/>
          <w:iCs/>
          <w:lang w:val="ro-RO"/>
        </w:rPr>
        <w:t>ob</w:t>
      </w:r>
      <w:r w:rsidR="00D77C4B" w:rsidRPr="00834B27">
        <w:rPr>
          <w:rFonts w:ascii="Calibri" w:hAnsi="Calibri" w:cs="Calibri"/>
          <w:i/>
          <w:iCs/>
          <w:lang w:val="ro-RO"/>
        </w:rPr>
        <w:t>ț</w:t>
      </w:r>
      <w:r w:rsidR="000136D9" w:rsidRPr="00834B27">
        <w:rPr>
          <w:rFonts w:ascii="Calibri" w:hAnsi="Calibri" w:cs="Calibri"/>
          <w:i/>
          <w:iCs/>
          <w:lang w:val="ro-RO"/>
        </w:rPr>
        <w:t>inute</w:t>
      </w:r>
      <w:r w:rsidR="00027D48" w:rsidRPr="00834B27">
        <w:rPr>
          <w:rFonts w:ascii="Calibri" w:hAnsi="Calibri" w:cs="Calibri"/>
          <w:i/>
          <w:iCs/>
          <w:lang w:val="ro-RO"/>
        </w:rPr>
        <w:t xml:space="preserve"> prin </w:t>
      </w:r>
      <w:r w:rsidR="000136D9" w:rsidRPr="00834B27">
        <w:rPr>
          <w:rFonts w:ascii="Calibri" w:hAnsi="Calibri" w:cs="Calibri"/>
          <w:i/>
          <w:iCs/>
          <w:lang w:val="ro-RO"/>
        </w:rPr>
        <w:t>dona</w:t>
      </w:r>
      <w:r w:rsidR="00D77C4B" w:rsidRPr="00834B27">
        <w:rPr>
          <w:rFonts w:ascii="Calibri" w:hAnsi="Calibri" w:cs="Calibri"/>
          <w:i/>
          <w:iCs/>
          <w:lang w:val="ro-RO"/>
        </w:rPr>
        <w:t>ț</w:t>
      </w:r>
      <w:r w:rsidR="000136D9" w:rsidRPr="00834B27">
        <w:rPr>
          <w:rFonts w:ascii="Calibri" w:hAnsi="Calibri" w:cs="Calibri"/>
          <w:i/>
          <w:iCs/>
          <w:lang w:val="ro-RO"/>
        </w:rPr>
        <w:t>ie</w:t>
      </w:r>
      <w:r w:rsidR="00027D48" w:rsidRPr="00834B27">
        <w:rPr>
          <w:rFonts w:ascii="Calibri" w:hAnsi="Calibri" w:cs="Calibri"/>
          <w:i/>
          <w:iCs/>
          <w:lang w:val="ro-RO"/>
        </w:rPr>
        <w:t xml:space="preserve"> </w:t>
      </w:r>
      <w:r w:rsidR="008A4715" w:rsidRPr="00834B27">
        <w:rPr>
          <w:rFonts w:ascii="Calibri" w:hAnsi="Calibri" w:cs="Calibri"/>
          <w:i/>
          <w:iCs/>
          <w:lang w:val="ro-RO"/>
        </w:rPr>
        <w:t xml:space="preserve">sau schimb) </w:t>
      </w:r>
      <w:r w:rsidR="000136D9" w:rsidRPr="00834B27">
        <w:rPr>
          <w:rFonts w:ascii="Calibri" w:hAnsi="Calibri" w:cs="Calibri"/>
          <w:i/>
          <w:iCs/>
          <w:lang w:val="ro-RO"/>
        </w:rPr>
        <w:t>încât</w:t>
      </w:r>
      <w:r w:rsidR="008A4715" w:rsidRPr="00834B27">
        <w:rPr>
          <w:rFonts w:ascii="Calibri" w:hAnsi="Calibri" w:cs="Calibri"/>
          <w:i/>
          <w:iCs/>
          <w:lang w:val="ro-RO"/>
        </w:rPr>
        <w:t xml:space="preserve"> veniturile generate bugetului de stat au fost derizorii</w:t>
      </w:r>
      <w:r w:rsidR="00D013FB" w:rsidRPr="00834B27">
        <w:rPr>
          <w:rFonts w:ascii="Calibri" w:hAnsi="Calibri" w:cs="Calibri"/>
          <w:i/>
          <w:iCs/>
          <w:lang w:val="ro-RO"/>
        </w:rPr>
        <w:t>, cu toate c</w:t>
      </w:r>
      <w:r w:rsidR="00285F1A" w:rsidRPr="00834B27">
        <w:rPr>
          <w:rFonts w:ascii="Calibri" w:hAnsi="Calibri" w:cs="Calibri"/>
          <w:i/>
          <w:iCs/>
          <w:lang w:val="ro-RO"/>
        </w:rPr>
        <w:t>ă</w:t>
      </w:r>
      <w:r w:rsidR="00D013FB" w:rsidRPr="00834B27">
        <w:rPr>
          <w:rFonts w:ascii="Calibri" w:hAnsi="Calibri" w:cs="Calibri"/>
          <w:i/>
          <w:iCs/>
          <w:lang w:val="ro-RO"/>
        </w:rPr>
        <w:t xml:space="preserve"> </w:t>
      </w:r>
      <w:r w:rsidR="000136D9" w:rsidRPr="00834B27">
        <w:rPr>
          <w:rFonts w:ascii="Calibri" w:hAnsi="Calibri" w:cs="Calibri"/>
          <w:i/>
          <w:iCs/>
          <w:lang w:val="ro-RO"/>
        </w:rPr>
        <w:t>pia</w:t>
      </w:r>
      <w:r w:rsidR="00D77C4B" w:rsidRPr="00834B27">
        <w:rPr>
          <w:rFonts w:ascii="Calibri" w:hAnsi="Calibri" w:cs="Calibri"/>
          <w:i/>
          <w:iCs/>
          <w:lang w:val="ro-RO"/>
        </w:rPr>
        <w:t>ț</w:t>
      </w:r>
      <w:r w:rsidR="000136D9" w:rsidRPr="00834B27">
        <w:rPr>
          <w:rFonts w:ascii="Calibri" w:hAnsi="Calibri" w:cs="Calibri"/>
          <w:i/>
          <w:iCs/>
          <w:lang w:val="ro-RO"/>
        </w:rPr>
        <w:t>a</w:t>
      </w:r>
      <w:r w:rsidR="00D013FB" w:rsidRPr="00834B27">
        <w:rPr>
          <w:rFonts w:ascii="Calibri" w:hAnsi="Calibri" w:cs="Calibri"/>
          <w:i/>
          <w:iCs/>
          <w:lang w:val="ro-RO"/>
        </w:rPr>
        <w:t xml:space="preserve"> imobiliar</w:t>
      </w:r>
      <w:r w:rsidR="000136D9" w:rsidRPr="00834B27">
        <w:rPr>
          <w:rFonts w:ascii="Calibri" w:hAnsi="Calibri" w:cs="Calibri"/>
          <w:i/>
          <w:iCs/>
          <w:lang w:val="ro-RO"/>
        </w:rPr>
        <w:t>ă</w:t>
      </w:r>
      <w:r w:rsidR="00D013FB" w:rsidRPr="00834B27">
        <w:rPr>
          <w:rFonts w:ascii="Calibri" w:hAnsi="Calibri" w:cs="Calibri"/>
          <w:i/>
          <w:iCs/>
          <w:lang w:val="ro-RO"/>
        </w:rPr>
        <w:t xml:space="preserve"> devenise una extrem de activ</w:t>
      </w:r>
      <w:r w:rsidR="000136D9" w:rsidRPr="00834B27">
        <w:rPr>
          <w:rFonts w:ascii="Calibri" w:hAnsi="Calibri" w:cs="Calibri"/>
          <w:i/>
          <w:iCs/>
          <w:lang w:val="ro-RO"/>
        </w:rPr>
        <w:t>ă</w:t>
      </w:r>
      <w:r w:rsidR="00D013FB" w:rsidRPr="00834B27">
        <w:rPr>
          <w:rFonts w:ascii="Calibri" w:hAnsi="Calibri" w:cs="Calibri"/>
          <w:i/>
          <w:iCs/>
          <w:lang w:val="ro-RO"/>
        </w:rPr>
        <w:t>;</w:t>
      </w:r>
    </w:p>
    <w:p w14:paraId="487848AA" w14:textId="06E5B93D" w:rsidR="00D013FB" w:rsidRPr="00834B27" w:rsidRDefault="00E35B25" w:rsidP="005030D8">
      <w:pPr>
        <w:pStyle w:val="Listparagraf"/>
        <w:numPr>
          <w:ilvl w:val="0"/>
          <w:numId w:val="1"/>
        </w:numPr>
        <w:spacing w:line="276" w:lineRule="auto"/>
        <w:ind w:left="360"/>
        <w:contextualSpacing w:val="0"/>
        <w:jc w:val="both"/>
        <w:rPr>
          <w:rFonts w:ascii="Calibri" w:hAnsi="Calibri" w:cs="Calibri"/>
          <w:i/>
          <w:iCs/>
          <w:lang w:val="ro-RO"/>
        </w:rPr>
      </w:pPr>
      <w:r w:rsidRPr="00834B27">
        <w:rPr>
          <w:rFonts w:ascii="Calibri" w:hAnsi="Calibri" w:cs="Calibri"/>
          <w:i/>
          <w:iCs/>
          <w:lang w:val="ro-RO"/>
        </w:rPr>
        <w:t xml:space="preserve">Impozitul pe </w:t>
      </w:r>
      <w:r w:rsidR="000136D9" w:rsidRPr="00834B27">
        <w:rPr>
          <w:rFonts w:ascii="Calibri" w:hAnsi="Calibri" w:cs="Calibri"/>
          <w:i/>
          <w:iCs/>
          <w:lang w:val="ro-RO"/>
        </w:rPr>
        <w:t>câștig</w:t>
      </w:r>
      <w:r w:rsidRPr="00834B27">
        <w:rPr>
          <w:rFonts w:ascii="Calibri" w:hAnsi="Calibri" w:cs="Calibri"/>
          <w:i/>
          <w:iCs/>
          <w:lang w:val="ro-RO"/>
        </w:rPr>
        <w:t xml:space="preserve"> a fost </w:t>
      </w:r>
      <w:r w:rsidR="000136D9" w:rsidRPr="00834B27">
        <w:rPr>
          <w:rFonts w:ascii="Calibri" w:hAnsi="Calibri" w:cs="Calibri"/>
          <w:i/>
          <w:iCs/>
          <w:lang w:val="ro-RO"/>
        </w:rPr>
        <w:t>înlocuit</w:t>
      </w:r>
      <w:r w:rsidRPr="00834B27">
        <w:rPr>
          <w:rFonts w:ascii="Calibri" w:hAnsi="Calibri" w:cs="Calibri"/>
          <w:i/>
          <w:iCs/>
          <w:lang w:val="ro-RO"/>
        </w:rPr>
        <w:t xml:space="preserve"> cu un impozit pe venit, degresiv, </w:t>
      </w:r>
      <w:r w:rsidR="000136D9" w:rsidRPr="00834B27">
        <w:rPr>
          <w:rFonts w:ascii="Calibri" w:hAnsi="Calibri" w:cs="Calibri"/>
          <w:i/>
          <w:iCs/>
          <w:lang w:val="ro-RO"/>
        </w:rPr>
        <w:t>începând</w:t>
      </w:r>
      <w:r w:rsidRPr="00834B27">
        <w:rPr>
          <w:rFonts w:ascii="Calibri" w:hAnsi="Calibri" w:cs="Calibri"/>
          <w:i/>
          <w:iCs/>
          <w:lang w:val="ro-RO"/>
        </w:rPr>
        <w:t xml:space="preserve"> cu 1 ianuarie 200</w:t>
      </w:r>
      <w:r w:rsidR="00F65D17" w:rsidRPr="00834B27">
        <w:rPr>
          <w:rFonts w:ascii="Calibri" w:hAnsi="Calibri" w:cs="Calibri"/>
          <w:i/>
          <w:iCs/>
          <w:lang w:val="ro-RO"/>
        </w:rPr>
        <w:t xml:space="preserve">7, ocazie cu care a fost </w:t>
      </w:r>
      <w:r w:rsidR="000136D9" w:rsidRPr="00834B27">
        <w:rPr>
          <w:rFonts w:ascii="Calibri" w:hAnsi="Calibri" w:cs="Calibri"/>
          <w:i/>
          <w:iCs/>
          <w:lang w:val="ro-RO"/>
        </w:rPr>
        <w:t>abrogată</w:t>
      </w:r>
      <w:r w:rsidR="00F65D17" w:rsidRPr="00834B27">
        <w:rPr>
          <w:rFonts w:ascii="Calibri" w:hAnsi="Calibri" w:cs="Calibri"/>
          <w:i/>
          <w:iCs/>
          <w:lang w:val="ro-RO"/>
        </w:rPr>
        <w:t xml:space="preserve"> </w:t>
      </w:r>
      <w:r w:rsidR="000136D9" w:rsidRPr="00834B27">
        <w:rPr>
          <w:rFonts w:ascii="Calibri" w:hAnsi="Calibri" w:cs="Calibri"/>
          <w:i/>
          <w:iCs/>
          <w:lang w:val="ro-RO"/>
        </w:rPr>
        <w:t>însă</w:t>
      </w:r>
      <w:r w:rsidR="00F65D17" w:rsidRPr="00834B27">
        <w:rPr>
          <w:rFonts w:ascii="Calibri" w:hAnsi="Calibri" w:cs="Calibri"/>
          <w:i/>
          <w:iCs/>
          <w:lang w:val="ro-RO"/>
        </w:rPr>
        <w:t xml:space="preserve"> taxa de timbru datorat</w:t>
      </w:r>
      <w:r w:rsidR="00285F1A" w:rsidRPr="00834B27">
        <w:rPr>
          <w:rFonts w:ascii="Calibri" w:hAnsi="Calibri" w:cs="Calibri"/>
          <w:i/>
          <w:iCs/>
          <w:lang w:val="ro-RO"/>
        </w:rPr>
        <w:t>ă</w:t>
      </w:r>
      <w:r w:rsidR="00F65D17" w:rsidRPr="00834B27">
        <w:rPr>
          <w:rFonts w:ascii="Calibri" w:hAnsi="Calibri" w:cs="Calibri"/>
          <w:i/>
          <w:iCs/>
          <w:lang w:val="ro-RO"/>
        </w:rPr>
        <w:t xml:space="preserve"> la transferul </w:t>
      </w:r>
      <w:r w:rsidR="00A25BF0" w:rsidRPr="00834B27">
        <w:rPr>
          <w:rFonts w:ascii="Calibri" w:hAnsi="Calibri" w:cs="Calibri"/>
          <w:i/>
          <w:iCs/>
          <w:lang w:val="ro-RO"/>
        </w:rPr>
        <w:t>bunurilor imobile. Cotele de impozit pe venit aplicabile au fost:</w:t>
      </w:r>
    </w:p>
    <w:p w14:paraId="1D0A80B9" w14:textId="5C5533DE" w:rsidR="00A25BF0" w:rsidRPr="00834B27" w:rsidRDefault="00E91CBC" w:rsidP="005030D8">
      <w:pPr>
        <w:pStyle w:val="Listparagraf"/>
        <w:numPr>
          <w:ilvl w:val="0"/>
          <w:numId w:val="15"/>
        </w:numPr>
        <w:spacing w:line="276" w:lineRule="auto"/>
        <w:ind w:left="1080"/>
        <w:contextualSpacing w:val="0"/>
        <w:jc w:val="both"/>
        <w:rPr>
          <w:rFonts w:ascii="Calibri" w:hAnsi="Calibri" w:cs="Calibri"/>
          <w:i/>
          <w:iCs/>
          <w:lang w:val="ro-RO"/>
        </w:rPr>
      </w:pPr>
      <w:r w:rsidRPr="00834B27">
        <w:rPr>
          <w:rFonts w:ascii="Calibri" w:hAnsi="Calibri" w:cs="Calibri"/>
          <w:i/>
          <w:iCs/>
          <w:lang w:val="ro-RO"/>
        </w:rPr>
        <w:t xml:space="preserve">pentru imobilele </w:t>
      </w:r>
      <w:r w:rsidR="000136D9" w:rsidRPr="00834B27">
        <w:rPr>
          <w:rFonts w:ascii="Calibri" w:hAnsi="Calibri" w:cs="Calibri"/>
          <w:i/>
          <w:iCs/>
          <w:lang w:val="ro-RO"/>
        </w:rPr>
        <w:t>de</w:t>
      </w:r>
      <w:r w:rsidR="00D77C4B" w:rsidRPr="00834B27">
        <w:rPr>
          <w:rFonts w:ascii="Calibri" w:hAnsi="Calibri" w:cs="Calibri"/>
          <w:i/>
          <w:iCs/>
          <w:lang w:val="ro-RO"/>
        </w:rPr>
        <w:t>ț</w:t>
      </w:r>
      <w:r w:rsidR="000136D9" w:rsidRPr="00834B27">
        <w:rPr>
          <w:rFonts w:ascii="Calibri" w:hAnsi="Calibri" w:cs="Calibri"/>
          <w:i/>
          <w:iCs/>
          <w:lang w:val="ro-RO"/>
        </w:rPr>
        <w:t>inute</w:t>
      </w:r>
      <w:r w:rsidRPr="00834B27">
        <w:rPr>
          <w:rFonts w:ascii="Calibri" w:hAnsi="Calibri" w:cs="Calibri"/>
          <w:i/>
          <w:iCs/>
          <w:lang w:val="ro-RO"/>
        </w:rPr>
        <w:t xml:space="preserve"> de mai </w:t>
      </w:r>
      <w:r w:rsidR="000136D9" w:rsidRPr="00834B27">
        <w:rPr>
          <w:rFonts w:ascii="Calibri" w:hAnsi="Calibri" w:cs="Calibri"/>
          <w:i/>
          <w:iCs/>
          <w:lang w:val="ro-RO"/>
        </w:rPr>
        <w:t>pu</w:t>
      </w:r>
      <w:r w:rsidR="00D77C4B" w:rsidRPr="00834B27">
        <w:rPr>
          <w:rFonts w:ascii="Calibri" w:hAnsi="Calibri" w:cs="Calibri"/>
          <w:i/>
          <w:iCs/>
          <w:lang w:val="ro-RO"/>
        </w:rPr>
        <w:t>ț</w:t>
      </w:r>
      <w:r w:rsidR="000136D9" w:rsidRPr="00834B27">
        <w:rPr>
          <w:rFonts w:ascii="Calibri" w:hAnsi="Calibri" w:cs="Calibri"/>
          <w:i/>
          <w:iCs/>
          <w:lang w:val="ro-RO"/>
        </w:rPr>
        <w:t>in</w:t>
      </w:r>
      <w:r w:rsidRPr="00834B27">
        <w:rPr>
          <w:rFonts w:ascii="Calibri" w:hAnsi="Calibri" w:cs="Calibri"/>
          <w:i/>
          <w:iCs/>
          <w:lang w:val="ro-RO"/>
        </w:rPr>
        <w:t xml:space="preserve"> de 3 ani: 3% </w:t>
      </w:r>
      <w:r w:rsidR="00B67E9B" w:rsidRPr="00834B27">
        <w:rPr>
          <w:rFonts w:ascii="Calibri" w:hAnsi="Calibri" w:cs="Calibri"/>
          <w:i/>
          <w:iCs/>
          <w:lang w:val="ro-RO"/>
        </w:rPr>
        <w:t>pentru venituri de p</w:t>
      </w:r>
      <w:r w:rsidR="000136D9" w:rsidRPr="00834B27">
        <w:rPr>
          <w:rFonts w:ascii="Calibri" w:hAnsi="Calibri" w:cs="Calibri"/>
          <w:i/>
          <w:iCs/>
          <w:lang w:val="ro-RO"/>
        </w:rPr>
        <w:t>â</w:t>
      </w:r>
      <w:r w:rsidR="00B67E9B" w:rsidRPr="00834B27">
        <w:rPr>
          <w:rFonts w:ascii="Calibri" w:hAnsi="Calibri" w:cs="Calibri"/>
          <w:i/>
          <w:iCs/>
          <w:lang w:val="ro-RO"/>
        </w:rPr>
        <w:t>n</w:t>
      </w:r>
      <w:r w:rsidR="000136D9" w:rsidRPr="00834B27">
        <w:rPr>
          <w:rFonts w:ascii="Calibri" w:hAnsi="Calibri" w:cs="Calibri"/>
          <w:i/>
          <w:iCs/>
          <w:lang w:val="ro-RO"/>
        </w:rPr>
        <w:t>ă</w:t>
      </w:r>
      <w:r w:rsidR="00B67E9B" w:rsidRPr="00834B27">
        <w:rPr>
          <w:rFonts w:ascii="Calibri" w:hAnsi="Calibri" w:cs="Calibri"/>
          <w:i/>
          <w:iCs/>
          <w:lang w:val="ro-RO"/>
        </w:rPr>
        <w:t xml:space="preserve"> la 200.000 lei, 2% pentru ce </w:t>
      </w:r>
      <w:r w:rsidR="000136D9" w:rsidRPr="00834B27">
        <w:rPr>
          <w:rFonts w:ascii="Calibri" w:hAnsi="Calibri" w:cs="Calibri"/>
          <w:i/>
          <w:iCs/>
          <w:lang w:val="ro-RO"/>
        </w:rPr>
        <w:t>depășea</w:t>
      </w:r>
      <w:r w:rsidR="00B67E9B" w:rsidRPr="00834B27">
        <w:rPr>
          <w:rFonts w:ascii="Calibri" w:hAnsi="Calibri" w:cs="Calibri"/>
          <w:i/>
          <w:iCs/>
          <w:lang w:val="ro-RO"/>
        </w:rPr>
        <w:t xml:space="preserve"> 200.000 lei;</w:t>
      </w:r>
    </w:p>
    <w:p w14:paraId="30A136D2" w14:textId="5F18A4CF" w:rsidR="00B67E9B" w:rsidRPr="00834B27" w:rsidRDefault="00B67E9B" w:rsidP="005030D8">
      <w:pPr>
        <w:pStyle w:val="Listparagraf"/>
        <w:numPr>
          <w:ilvl w:val="0"/>
          <w:numId w:val="15"/>
        </w:numPr>
        <w:spacing w:line="276" w:lineRule="auto"/>
        <w:ind w:left="1080"/>
        <w:contextualSpacing w:val="0"/>
        <w:jc w:val="both"/>
        <w:rPr>
          <w:rFonts w:ascii="Calibri" w:hAnsi="Calibri" w:cs="Calibri"/>
          <w:i/>
          <w:iCs/>
          <w:lang w:val="ro-RO"/>
        </w:rPr>
      </w:pPr>
      <w:r w:rsidRPr="00834B27">
        <w:rPr>
          <w:rFonts w:ascii="Calibri" w:hAnsi="Calibri" w:cs="Calibri"/>
          <w:i/>
          <w:iCs/>
          <w:lang w:val="ro-RO"/>
        </w:rPr>
        <w:t>pentru imobilele</w:t>
      </w:r>
      <w:r w:rsidR="00D20110" w:rsidRPr="00834B27">
        <w:rPr>
          <w:rFonts w:ascii="Calibri" w:hAnsi="Calibri" w:cs="Calibri"/>
          <w:i/>
          <w:iCs/>
          <w:lang w:val="ro-RO"/>
        </w:rPr>
        <w:t xml:space="preserve"> </w:t>
      </w:r>
      <w:r w:rsidR="000136D9" w:rsidRPr="00834B27">
        <w:rPr>
          <w:rFonts w:ascii="Calibri" w:hAnsi="Calibri" w:cs="Calibri"/>
          <w:i/>
          <w:iCs/>
          <w:lang w:val="ro-RO"/>
        </w:rPr>
        <w:t>de</w:t>
      </w:r>
      <w:r w:rsidR="00D77C4B" w:rsidRPr="00834B27">
        <w:rPr>
          <w:rFonts w:ascii="Calibri" w:hAnsi="Calibri" w:cs="Calibri"/>
          <w:i/>
          <w:iCs/>
          <w:lang w:val="ro-RO"/>
        </w:rPr>
        <w:t>ț</w:t>
      </w:r>
      <w:r w:rsidR="000136D9" w:rsidRPr="00834B27">
        <w:rPr>
          <w:rFonts w:ascii="Calibri" w:hAnsi="Calibri" w:cs="Calibri"/>
          <w:i/>
          <w:iCs/>
          <w:lang w:val="ro-RO"/>
        </w:rPr>
        <w:t>inute</w:t>
      </w:r>
      <w:r w:rsidR="00D20110" w:rsidRPr="00834B27">
        <w:rPr>
          <w:rFonts w:ascii="Calibri" w:hAnsi="Calibri" w:cs="Calibri"/>
          <w:i/>
          <w:iCs/>
          <w:lang w:val="ro-RO"/>
        </w:rPr>
        <w:t xml:space="preserve"> cel </w:t>
      </w:r>
      <w:r w:rsidR="000136D9" w:rsidRPr="00834B27">
        <w:rPr>
          <w:rFonts w:ascii="Calibri" w:hAnsi="Calibri" w:cs="Calibri"/>
          <w:i/>
          <w:iCs/>
          <w:lang w:val="ro-RO"/>
        </w:rPr>
        <w:t>pu</w:t>
      </w:r>
      <w:r w:rsidR="00D77C4B" w:rsidRPr="00834B27">
        <w:rPr>
          <w:rFonts w:ascii="Calibri" w:hAnsi="Calibri" w:cs="Calibri"/>
          <w:i/>
          <w:iCs/>
          <w:lang w:val="ro-RO"/>
        </w:rPr>
        <w:t>ț</w:t>
      </w:r>
      <w:r w:rsidR="000136D9" w:rsidRPr="00834B27">
        <w:rPr>
          <w:rFonts w:ascii="Calibri" w:hAnsi="Calibri" w:cs="Calibri"/>
          <w:i/>
          <w:iCs/>
          <w:lang w:val="ro-RO"/>
        </w:rPr>
        <w:t>in</w:t>
      </w:r>
      <w:r w:rsidR="00D20110" w:rsidRPr="00834B27">
        <w:rPr>
          <w:rFonts w:ascii="Calibri" w:hAnsi="Calibri" w:cs="Calibri"/>
          <w:i/>
          <w:iCs/>
          <w:lang w:val="ro-RO"/>
        </w:rPr>
        <w:t xml:space="preserve"> 3 ani: 2% pentru venituri de p</w:t>
      </w:r>
      <w:r w:rsidR="000136D9" w:rsidRPr="00834B27">
        <w:rPr>
          <w:rFonts w:ascii="Calibri" w:hAnsi="Calibri" w:cs="Calibri"/>
          <w:i/>
          <w:iCs/>
          <w:lang w:val="ro-RO"/>
        </w:rPr>
        <w:t>â</w:t>
      </w:r>
      <w:r w:rsidR="00D20110" w:rsidRPr="00834B27">
        <w:rPr>
          <w:rFonts w:ascii="Calibri" w:hAnsi="Calibri" w:cs="Calibri"/>
          <w:i/>
          <w:iCs/>
          <w:lang w:val="ro-RO"/>
        </w:rPr>
        <w:t>n</w:t>
      </w:r>
      <w:r w:rsidR="000136D9" w:rsidRPr="00834B27">
        <w:rPr>
          <w:rFonts w:ascii="Calibri" w:hAnsi="Calibri" w:cs="Calibri"/>
          <w:i/>
          <w:iCs/>
          <w:lang w:val="ro-RO"/>
        </w:rPr>
        <w:t>ă</w:t>
      </w:r>
      <w:r w:rsidR="00D20110" w:rsidRPr="00834B27">
        <w:rPr>
          <w:rFonts w:ascii="Calibri" w:hAnsi="Calibri" w:cs="Calibri"/>
          <w:i/>
          <w:iCs/>
          <w:lang w:val="ro-RO"/>
        </w:rPr>
        <w:t xml:space="preserve"> la 200.000 lei, 1% pentru ce </w:t>
      </w:r>
      <w:r w:rsidR="000136D9" w:rsidRPr="00834B27">
        <w:rPr>
          <w:rFonts w:ascii="Calibri" w:hAnsi="Calibri" w:cs="Calibri"/>
          <w:i/>
          <w:iCs/>
          <w:lang w:val="ro-RO"/>
        </w:rPr>
        <w:t>depășea</w:t>
      </w:r>
      <w:r w:rsidR="00D20110" w:rsidRPr="00834B27">
        <w:rPr>
          <w:rFonts w:ascii="Calibri" w:hAnsi="Calibri" w:cs="Calibri"/>
          <w:i/>
          <w:iCs/>
          <w:lang w:val="ro-RO"/>
        </w:rPr>
        <w:t xml:space="preserve"> 200.000 lei;</w:t>
      </w:r>
    </w:p>
    <w:p w14:paraId="0DEC2C04" w14:textId="39228327" w:rsidR="00B43D36" w:rsidRPr="00834B27" w:rsidRDefault="000136D9" w:rsidP="005030D8">
      <w:pPr>
        <w:pStyle w:val="Listparagraf"/>
        <w:numPr>
          <w:ilvl w:val="0"/>
          <w:numId w:val="1"/>
        </w:numPr>
        <w:spacing w:line="276" w:lineRule="auto"/>
        <w:ind w:left="360"/>
        <w:contextualSpacing w:val="0"/>
        <w:jc w:val="both"/>
        <w:rPr>
          <w:rFonts w:ascii="Calibri" w:hAnsi="Calibri" w:cs="Calibri"/>
          <w:i/>
          <w:iCs/>
          <w:lang w:val="ro-RO"/>
        </w:rPr>
      </w:pPr>
      <w:r w:rsidRPr="00834B27">
        <w:rPr>
          <w:rFonts w:ascii="Calibri" w:hAnsi="Calibri" w:cs="Calibri"/>
          <w:i/>
          <w:iCs/>
          <w:lang w:val="ro-RO"/>
        </w:rPr>
        <w:t>Î</w:t>
      </w:r>
      <w:r w:rsidR="00B43D36" w:rsidRPr="00834B27">
        <w:rPr>
          <w:rFonts w:ascii="Calibri" w:hAnsi="Calibri" w:cs="Calibri"/>
          <w:i/>
          <w:iCs/>
          <w:lang w:val="ro-RO"/>
        </w:rPr>
        <w:t>n continuare</w:t>
      </w:r>
      <w:r w:rsidRPr="00834B27">
        <w:rPr>
          <w:rFonts w:ascii="Calibri" w:hAnsi="Calibri" w:cs="Calibri"/>
          <w:i/>
          <w:iCs/>
          <w:lang w:val="ro-RO"/>
        </w:rPr>
        <w:t>,</w:t>
      </w:r>
      <w:r w:rsidR="00B43D36" w:rsidRPr="00834B27">
        <w:rPr>
          <w:rFonts w:ascii="Calibri" w:hAnsi="Calibri" w:cs="Calibri"/>
          <w:i/>
          <w:iCs/>
          <w:lang w:val="ro-RO"/>
        </w:rPr>
        <w:t xml:space="preserve"> nu s-a </w:t>
      </w:r>
      <w:r w:rsidRPr="00834B27">
        <w:rPr>
          <w:rFonts w:ascii="Calibri" w:hAnsi="Calibri" w:cs="Calibri"/>
          <w:i/>
          <w:iCs/>
          <w:lang w:val="ro-RO"/>
        </w:rPr>
        <w:t>făcut</w:t>
      </w:r>
      <w:r w:rsidR="00B43D36" w:rsidRPr="00834B27">
        <w:rPr>
          <w:rFonts w:ascii="Calibri" w:hAnsi="Calibri" w:cs="Calibri"/>
          <w:i/>
          <w:iCs/>
          <w:lang w:val="ro-RO"/>
        </w:rPr>
        <w:t xml:space="preserve"> nicio </w:t>
      </w:r>
      <w:r w:rsidRPr="00834B27">
        <w:rPr>
          <w:rFonts w:ascii="Calibri" w:hAnsi="Calibri" w:cs="Calibri"/>
          <w:i/>
          <w:iCs/>
          <w:lang w:val="ro-RO"/>
        </w:rPr>
        <w:t>distinc</w:t>
      </w:r>
      <w:r w:rsidR="00D77C4B" w:rsidRPr="00834B27">
        <w:rPr>
          <w:rFonts w:ascii="Calibri" w:hAnsi="Calibri" w:cs="Calibri"/>
          <w:i/>
          <w:iCs/>
          <w:lang w:val="ro-RO"/>
        </w:rPr>
        <w:t>ț</w:t>
      </w:r>
      <w:r w:rsidRPr="00834B27">
        <w:rPr>
          <w:rFonts w:ascii="Calibri" w:hAnsi="Calibri" w:cs="Calibri"/>
          <w:i/>
          <w:iCs/>
          <w:lang w:val="ro-RO"/>
        </w:rPr>
        <w:t>ie</w:t>
      </w:r>
      <w:r w:rsidR="00B43D36" w:rsidRPr="00834B27">
        <w:rPr>
          <w:rFonts w:ascii="Calibri" w:hAnsi="Calibri" w:cs="Calibri"/>
          <w:i/>
          <w:iCs/>
          <w:lang w:val="ro-RO"/>
        </w:rPr>
        <w:t xml:space="preserve"> </w:t>
      </w:r>
      <w:r w:rsidRPr="00834B27">
        <w:rPr>
          <w:rFonts w:ascii="Calibri" w:hAnsi="Calibri" w:cs="Calibri"/>
          <w:i/>
          <w:iCs/>
          <w:lang w:val="ro-RO"/>
        </w:rPr>
        <w:t>î</w:t>
      </w:r>
      <w:r w:rsidR="00B43D36" w:rsidRPr="00834B27">
        <w:rPr>
          <w:rFonts w:ascii="Calibri" w:hAnsi="Calibri" w:cs="Calibri"/>
          <w:i/>
          <w:iCs/>
          <w:lang w:val="ro-RO"/>
        </w:rPr>
        <w:t xml:space="preserve">ntre bunurile din patrimoniul personal </w:t>
      </w:r>
      <w:r w:rsidRPr="00834B27">
        <w:rPr>
          <w:rFonts w:ascii="Calibri" w:hAnsi="Calibri" w:cs="Calibri"/>
          <w:i/>
          <w:iCs/>
          <w:lang w:val="ro-RO"/>
        </w:rPr>
        <w:t>ș</w:t>
      </w:r>
      <w:r w:rsidR="00B43D36" w:rsidRPr="00834B27">
        <w:rPr>
          <w:rFonts w:ascii="Calibri" w:hAnsi="Calibri" w:cs="Calibri"/>
          <w:i/>
          <w:iCs/>
          <w:lang w:val="ro-RO"/>
        </w:rPr>
        <w:t xml:space="preserve">i </w:t>
      </w:r>
      <w:r w:rsidR="00DC1707" w:rsidRPr="00834B27">
        <w:rPr>
          <w:rFonts w:ascii="Calibri" w:hAnsi="Calibri" w:cs="Calibri"/>
          <w:i/>
          <w:iCs/>
          <w:lang w:val="ro-RO"/>
        </w:rPr>
        <w:t>cele din patrimoniul afacerii. Problema nu a fost remediat</w:t>
      </w:r>
      <w:r w:rsidRPr="00834B27">
        <w:rPr>
          <w:rFonts w:ascii="Calibri" w:hAnsi="Calibri" w:cs="Calibri"/>
          <w:i/>
          <w:iCs/>
          <w:lang w:val="ro-RO"/>
        </w:rPr>
        <w:t>ă</w:t>
      </w:r>
      <w:r w:rsidR="00DC1707" w:rsidRPr="00834B27">
        <w:rPr>
          <w:rFonts w:ascii="Calibri" w:hAnsi="Calibri" w:cs="Calibri"/>
          <w:i/>
          <w:iCs/>
          <w:lang w:val="ro-RO"/>
        </w:rPr>
        <w:t xml:space="preserve"> nici </w:t>
      </w:r>
      <w:r w:rsidRPr="00834B27">
        <w:rPr>
          <w:rFonts w:ascii="Calibri" w:hAnsi="Calibri" w:cs="Calibri"/>
          <w:i/>
          <w:iCs/>
          <w:lang w:val="ro-RO"/>
        </w:rPr>
        <w:t>măcar</w:t>
      </w:r>
      <w:r w:rsidR="00DC1707" w:rsidRPr="00834B27">
        <w:rPr>
          <w:rFonts w:ascii="Calibri" w:hAnsi="Calibri" w:cs="Calibri"/>
          <w:i/>
          <w:iCs/>
          <w:lang w:val="ro-RO"/>
        </w:rPr>
        <w:t xml:space="preserve"> </w:t>
      </w:r>
      <w:r w:rsidRPr="00834B27">
        <w:rPr>
          <w:rFonts w:ascii="Calibri" w:hAnsi="Calibri" w:cs="Calibri"/>
          <w:i/>
          <w:iCs/>
          <w:lang w:val="ro-RO"/>
        </w:rPr>
        <w:t>î</w:t>
      </w:r>
      <w:r w:rsidR="00DC1707" w:rsidRPr="00834B27">
        <w:rPr>
          <w:rFonts w:ascii="Calibri" w:hAnsi="Calibri" w:cs="Calibri"/>
          <w:i/>
          <w:iCs/>
          <w:lang w:val="ro-RO"/>
        </w:rPr>
        <w:t xml:space="preserve">n 2009, </w:t>
      </w:r>
      <w:r w:rsidRPr="00834B27">
        <w:rPr>
          <w:rFonts w:ascii="Calibri" w:hAnsi="Calibri" w:cs="Calibri"/>
          <w:i/>
          <w:iCs/>
          <w:lang w:val="ro-RO"/>
        </w:rPr>
        <w:t>când</w:t>
      </w:r>
      <w:r w:rsidR="00DC1707" w:rsidRPr="00834B27">
        <w:rPr>
          <w:rFonts w:ascii="Calibri" w:hAnsi="Calibri" w:cs="Calibri"/>
          <w:i/>
          <w:iCs/>
          <w:lang w:val="ro-RO"/>
        </w:rPr>
        <w:t xml:space="preserve"> ANAF a </w:t>
      </w:r>
      <w:r w:rsidRPr="00834B27">
        <w:rPr>
          <w:rFonts w:ascii="Calibri" w:hAnsi="Calibri" w:cs="Calibri"/>
          <w:i/>
          <w:iCs/>
          <w:lang w:val="ro-RO"/>
        </w:rPr>
        <w:t>declanșat</w:t>
      </w:r>
      <w:r w:rsidR="00DC1707" w:rsidRPr="00834B27">
        <w:rPr>
          <w:rFonts w:ascii="Calibri" w:hAnsi="Calibri" w:cs="Calibri"/>
          <w:i/>
          <w:iCs/>
          <w:lang w:val="ro-RO"/>
        </w:rPr>
        <w:t xml:space="preserve"> o serie de controale </w:t>
      </w:r>
      <w:r w:rsidRPr="00834B27">
        <w:rPr>
          <w:rFonts w:ascii="Calibri" w:hAnsi="Calibri" w:cs="Calibri"/>
          <w:i/>
          <w:iCs/>
          <w:lang w:val="ro-RO"/>
        </w:rPr>
        <w:t>î</w:t>
      </w:r>
      <w:r w:rsidR="00A07AEC" w:rsidRPr="00834B27">
        <w:rPr>
          <w:rFonts w:ascii="Calibri" w:hAnsi="Calibri" w:cs="Calibri"/>
          <w:i/>
          <w:iCs/>
          <w:lang w:val="ro-RO"/>
        </w:rPr>
        <w:t xml:space="preserve">n ceea ce </w:t>
      </w:r>
      <w:r w:rsidRPr="00834B27">
        <w:rPr>
          <w:rFonts w:ascii="Calibri" w:hAnsi="Calibri" w:cs="Calibri"/>
          <w:i/>
          <w:iCs/>
          <w:lang w:val="ro-RO"/>
        </w:rPr>
        <w:t>privește</w:t>
      </w:r>
      <w:r w:rsidR="00A07AEC" w:rsidRPr="00834B27">
        <w:rPr>
          <w:rFonts w:ascii="Calibri" w:hAnsi="Calibri" w:cs="Calibri"/>
          <w:i/>
          <w:iCs/>
          <w:lang w:val="ro-RO"/>
        </w:rPr>
        <w:t xml:space="preserve"> TVA datorat</w:t>
      </w:r>
      <w:r w:rsidRPr="00834B27">
        <w:rPr>
          <w:rFonts w:ascii="Calibri" w:hAnsi="Calibri" w:cs="Calibri"/>
          <w:i/>
          <w:iCs/>
          <w:lang w:val="ro-RO"/>
        </w:rPr>
        <w:t>ă</w:t>
      </w:r>
      <w:r w:rsidR="00A07AEC" w:rsidRPr="00834B27">
        <w:rPr>
          <w:rFonts w:ascii="Calibri" w:hAnsi="Calibri" w:cs="Calibri"/>
          <w:i/>
          <w:iCs/>
          <w:lang w:val="ro-RO"/>
        </w:rPr>
        <w:t xml:space="preserve"> pentru </w:t>
      </w:r>
      <w:r w:rsidRPr="00834B27">
        <w:rPr>
          <w:rFonts w:ascii="Calibri" w:hAnsi="Calibri" w:cs="Calibri"/>
          <w:i/>
          <w:iCs/>
          <w:lang w:val="ro-RO"/>
        </w:rPr>
        <w:t>vânzări</w:t>
      </w:r>
      <w:r w:rsidR="00A07AEC" w:rsidRPr="00834B27">
        <w:rPr>
          <w:rFonts w:ascii="Calibri" w:hAnsi="Calibri" w:cs="Calibri"/>
          <w:i/>
          <w:iCs/>
          <w:lang w:val="ro-RO"/>
        </w:rPr>
        <w:t xml:space="preserve"> repetitive</w:t>
      </w:r>
      <w:r w:rsidR="00383572" w:rsidRPr="00834B27">
        <w:rPr>
          <w:rFonts w:ascii="Calibri" w:hAnsi="Calibri" w:cs="Calibri"/>
          <w:i/>
          <w:iCs/>
          <w:lang w:val="ro-RO"/>
        </w:rPr>
        <w:t xml:space="preserve"> </w:t>
      </w:r>
      <w:r w:rsidRPr="00834B27">
        <w:rPr>
          <w:rFonts w:ascii="Calibri" w:hAnsi="Calibri" w:cs="Calibri"/>
          <w:i/>
          <w:iCs/>
          <w:lang w:val="ro-RO"/>
        </w:rPr>
        <w:t>ș</w:t>
      </w:r>
      <w:r w:rsidR="00383572" w:rsidRPr="00834B27">
        <w:rPr>
          <w:rFonts w:ascii="Calibri" w:hAnsi="Calibri" w:cs="Calibri"/>
          <w:i/>
          <w:iCs/>
          <w:lang w:val="ro-RO"/>
        </w:rPr>
        <w:t xml:space="preserve">i nici </w:t>
      </w:r>
      <w:r w:rsidRPr="00834B27">
        <w:rPr>
          <w:rFonts w:ascii="Calibri" w:hAnsi="Calibri" w:cs="Calibri"/>
          <w:i/>
          <w:iCs/>
          <w:lang w:val="ro-RO"/>
        </w:rPr>
        <w:t>m</w:t>
      </w:r>
      <w:r w:rsidR="00285F1A" w:rsidRPr="00834B27">
        <w:rPr>
          <w:rFonts w:ascii="Calibri" w:hAnsi="Calibri" w:cs="Calibri"/>
          <w:i/>
          <w:iCs/>
          <w:lang w:val="ro-RO"/>
        </w:rPr>
        <w:t>ă</w:t>
      </w:r>
      <w:r w:rsidRPr="00834B27">
        <w:rPr>
          <w:rFonts w:ascii="Calibri" w:hAnsi="Calibri" w:cs="Calibri"/>
          <w:i/>
          <w:iCs/>
          <w:lang w:val="ro-RO"/>
        </w:rPr>
        <w:t>c</w:t>
      </w:r>
      <w:r w:rsidR="00285F1A" w:rsidRPr="00834B27">
        <w:rPr>
          <w:rFonts w:ascii="Calibri" w:hAnsi="Calibri" w:cs="Calibri"/>
          <w:i/>
          <w:iCs/>
          <w:lang w:val="ro-RO"/>
        </w:rPr>
        <w:t>ar</w:t>
      </w:r>
      <w:r w:rsidR="00383572" w:rsidRPr="00834B27">
        <w:rPr>
          <w:rFonts w:ascii="Calibri" w:hAnsi="Calibri" w:cs="Calibri"/>
          <w:i/>
          <w:iCs/>
          <w:lang w:val="ro-RO"/>
        </w:rPr>
        <w:t xml:space="preserve"> c</w:t>
      </w:r>
      <w:r w:rsidRPr="00834B27">
        <w:rPr>
          <w:rFonts w:ascii="Calibri" w:hAnsi="Calibri" w:cs="Calibri"/>
          <w:i/>
          <w:iCs/>
          <w:lang w:val="ro-RO"/>
        </w:rPr>
        <w:t>â</w:t>
      </w:r>
      <w:r w:rsidR="00383572" w:rsidRPr="00834B27">
        <w:rPr>
          <w:rFonts w:ascii="Calibri" w:hAnsi="Calibri" w:cs="Calibri"/>
          <w:i/>
          <w:iCs/>
          <w:lang w:val="ro-RO"/>
        </w:rPr>
        <w:t xml:space="preserve">nd problema </w:t>
      </w:r>
      <w:r w:rsidRPr="00834B27">
        <w:rPr>
          <w:rFonts w:ascii="Calibri" w:hAnsi="Calibri" w:cs="Calibri"/>
          <w:i/>
          <w:iCs/>
          <w:lang w:val="ro-RO"/>
        </w:rPr>
        <w:t>înregistrării</w:t>
      </w:r>
      <w:r w:rsidR="00383572" w:rsidRPr="00834B27">
        <w:rPr>
          <w:rFonts w:ascii="Calibri" w:hAnsi="Calibri" w:cs="Calibri"/>
          <w:i/>
          <w:iCs/>
          <w:lang w:val="ro-RO"/>
        </w:rPr>
        <w:t xml:space="preserve"> </w:t>
      </w:r>
      <w:r w:rsidRPr="00834B27">
        <w:rPr>
          <w:rFonts w:ascii="Calibri" w:hAnsi="Calibri" w:cs="Calibri"/>
          <w:i/>
          <w:iCs/>
          <w:lang w:val="ro-RO"/>
        </w:rPr>
        <w:t>î</w:t>
      </w:r>
      <w:r w:rsidR="00383572" w:rsidRPr="00834B27">
        <w:rPr>
          <w:rFonts w:ascii="Calibri" w:hAnsi="Calibri" w:cs="Calibri"/>
          <w:i/>
          <w:iCs/>
          <w:lang w:val="ro-RO"/>
        </w:rPr>
        <w:t xml:space="preserve">n scop de TVA a acestor antreprenori a </w:t>
      </w:r>
      <w:r w:rsidR="00B72E63" w:rsidRPr="00834B27">
        <w:rPr>
          <w:rFonts w:ascii="Calibri" w:hAnsi="Calibri" w:cs="Calibri"/>
          <w:i/>
          <w:iCs/>
          <w:lang w:val="ro-RO"/>
        </w:rPr>
        <w:t>fost</w:t>
      </w:r>
      <w:r w:rsidR="004E4818" w:rsidRPr="00834B27">
        <w:rPr>
          <w:rFonts w:ascii="Calibri" w:hAnsi="Calibri" w:cs="Calibri"/>
          <w:i/>
          <w:iCs/>
          <w:lang w:val="ro-RO"/>
        </w:rPr>
        <w:t xml:space="preserve"> – </w:t>
      </w:r>
      <w:r w:rsidRPr="00834B27">
        <w:rPr>
          <w:rFonts w:ascii="Calibri" w:hAnsi="Calibri" w:cs="Calibri"/>
          <w:i/>
          <w:iCs/>
          <w:lang w:val="ro-RO"/>
        </w:rPr>
        <w:t>î</w:t>
      </w:r>
      <w:r w:rsidR="00B72E63" w:rsidRPr="00834B27">
        <w:rPr>
          <w:rFonts w:ascii="Calibri" w:hAnsi="Calibri" w:cs="Calibri"/>
          <w:i/>
          <w:iCs/>
          <w:lang w:val="ro-RO"/>
        </w:rPr>
        <w:t>n</w:t>
      </w:r>
      <w:r w:rsidR="004E4818" w:rsidRPr="00834B27">
        <w:rPr>
          <w:rFonts w:ascii="Calibri" w:hAnsi="Calibri" w:cs="Calibri"/>
          <w:i/>
          <w:iCs/>
          <w:lang w:val="ro-RO"/>
        </w:rPr>
        <w:t xml:space="preserve"> </w:t>
      </w:r>
      <w:r w:rsidRPr="00834B27">
        <w:rPr>
          <w:rFonts w:ascii="Calibri" w:hAnsi="Calibri" w:cs="Calibri"/>
          <w:i/>
          <w:iCs/>
          <w:lang w:val="ro-RO"/>
        </w:rPr>
        <w:t>sfârșit</w:t>
      </w:r>
      <w:r w:rsidR="004E4818" w:rsidRPr="00834B27">
        <w:rPr>
          <w:rFonts w:ascii="Calibri" w:hAnsi="Calibri" w:cs="Calibri"/>
          <w:i/>
          <w:iCs/>
          <w:lang w:val="ro-RO"/>
        </w:rPr>
        <w:t xml:space="preserve"> – </w:t>
      </w:r>
      <w:r w:rsidR="00B72E63" w:rsidRPr="00834B27">
        <w:rPr>
          <w:rFonts w:ascii="Calibri" w:hAnsi="Calibri" w:cs="Calibri"/>
          <w:i/>
          <w:iCs/>
          <w:lang w:val="ro-RO"/>
        </w:rPr>
        <w:t>reglementat</w:t>
      </w:r>
      <w:r w:rsidRPr="00834B27">
        <w:rPr>
          <w:rFonts w:ascii="Calibri" w:hAnsi="Calibri" w:cs="Calibri"/>
          <w:i/>
          <w:iCs/>
          <w:lang w:val="ro-RO"/>
        </w:rPr>
        <w:t>ă</w:t>
      </w:r>
      <w:r w:rsidR="004E4818" w:rsidRPr="00834B27">
        <w:rPr>
          <w:rFonts w:ascii="Calibri" w:hAnsi="Calibri" w:cs="Calibri"/>
          <w:i/>
          <w:iCs/>
          <w:lang w:val="ro-RO"/>
        </w:rPr>
        <w:t xml:space="preserve"> </w:t>
      </w:r>
      <w:r w:rsidRPr="00834B27">
        <w:rPr>
          <w:rFonts w:ascii="Calibri" w:hAnsi="Calibri" w:cs="Calibri"/>
          <w:i/>
          <w:iCs/>
          <w:lang w:val="ro-RO"/>
        </w:rPr>
        <w:t>î</w:t>
      </w:r>
      <w:r w:rsidR="00B72E63" w:rsidRPr="00834B27">
        <w:rPr>
          <w:rFonts w:ascii="Calibri" w:hAnsi="Calibri" w:cs="Calibri"/>
          <w:i/>
          <w:iCs/>
          <w:lang w:val="ro-RO"/>
        </w:rPr>
        <w:t>n 2010;</w:t>
      </w:r>
    </w:p>
    <w:p w14:paraId="59CE1B4A" w14:textId="2FD015C9" w:rsidR="00B72E63" w:rsidRPr="00834B27" w:rsidRDefault="00B72E63" w:rsidP="005030D8">
      <w:pPr>
        <w:pStyle w:val="Listparagraf"/>
        <w:numPr>
          <w:ilvl w:val="0"/>
          <w:numId w:val="1"/>
        </w:numPr>
        <w:spacing w:line="276" w:lineRule="auto"/>
        <w:ind w:left="360"/>
        <w:contextualSpacing w:val="0"/>
        <w:jc w:val="both"/>
        <w:rPr>
          <w:rFonts w:ascii="Calibri" w:hAnsi="Calibri" w:cs="Calibri"/>
          <w:i/>
          <w:iCs/>
          <w:lang w:val="ro-RO"/>
        </w:rPr>
      </w:pPr>
      <w:r w:rsidRPr="00834B27">
        <w:rPr>
          <w:rFonts w:ascii="Calibri" w:hAnsi="Calibri" w:cs="Calibri"/>
          <w:i/>
          <w:iCs/>
          <w:lang w:val="ro-RO"/>
        </w:rPr>
        <w:t>Extrem de ciudat a fost c</w:t>
      </w:r>
      <w:r w:rsidR="000136D9" w:rsidRPr="00834B27">
        <w:rPr>
          <w:rFonts w:ascii="Calibri" w:hAnsi="Calibri" w:cs="Calibri"/>
          <w:i/>
          <w:iCs/>
          <w:lang w:val="ro-RO"/>
        </w:rPr>
        <w:t>ă</w:t>
      </w:r>
      <w:r w:rsidRPr="00834B27">
        <w:rPr>
          <w:rFonts w:ascii="Calibri" w:hAnsi="Calibri" w:cs="Calibri"/>
          <w:i/>
          <w:iCs/>
          <w:lang w:val="ro-RO"/>
        </w:rPr>
        <w:t xml:space="preserve"> ANAF a continuat s</w:t>
      </w:r>
      <w:r w:rsidR="000136D9" w:rsidRPr="00834B27">
        <w:rPr>
          <w:rFonts w:ascii="Calibri" w:hAnsi="Calibri" w:cs="Calibri"/>
          <w:i/>
          <w:iCs/>
          <w:lang w:val="ro-RO"/>
        </w:rPr>
        <w:t>ă</w:t>
      </w:r>
      <w:r w:rsidRPr="00834B27">
        <w:rPr>
          <w:rFonts w:ascii="Calibri" w:hAnsi="Calibri" w:cs="Calibri"/>
          <w:i/>
          <w:iCs/>
          <w:lang w:val="ro-RO"/>
        </w:rPr>
        <w:t xml:space="preserve"> sus</w:t>
      </w:r>
      <w:r w:rsidR="00D77C4B" w:rsidRPr="00834B27">
        <w:rPr>
          <w:rFonts w:ascii="Calibri" w:hAnsi="Calibri" w:cs="Calibri"/>
          <w:i/>
          <w:iCs/>
          <w:lang w:val="ro-RO"/>
        </w:rPr>
        <w:t>ț</w:t>
      </w:r>
      <w:r w:rsidRPr="00834B27">
        <w:rPr>
          <w:rFonts w:ascii="Calibri" w:hAnsi="Calibri" w:cs="Calibri"/>
          <w:i/>
          <w:iCs/>
          <w:lang w:val="ro-RO"/>
        </w:rPr>
        <w:t>in</w:t>
      </w:r>
      <w:r w:rsidR="000136D9" w:rsidRPr="00834B27">
        <w:rPr>
          <w:rFonts w:ascii="Calibri" w:hAnsi="Calibri" w:cs="Calibri"/>
          <w:i/>
          <w:iCs/>
          <w:lang w:val="ro-RO"/>
        </w:rPr>
        <w:t>ă</w:t>
      </w:r>
      <w:r w:rsidRPr="00834B27">
        <w:rPr>
          <w:rFonts w:ascii="Calibri" w:hAnsi="Calibri" w:cs="Calibri"/>
          <w:i/>
          <w:iCs/>
          <w:lang w:val="ro-RO"/>
        </w:rPr>
        <w:t xml:space="preserve"> c</w:t>
      </w:r>
      <w:r w:rsidR="00285F1A" w:rsidRPr="00834B27">
        <w:rPr>
          <w:rFonts w:ascii="Calibri" w:hAnsi="Calibri" w:cs="Calibri"/>
          <w:i/>
          <w:iCs/>
          <w:lang w:val="ro-RO"/>
        </w:rPr>
        <w:t>ă</w:t>
      </w:r>
      <w:r w:rsidRPr="00834B27">
        <w:rPr>
          <w:rFonts w:ascii="Calibri" w:hAnsi="Calibri" w:cs="Calibri"/>
          <w:i/>
          <w:iCs/>
          <w:lang w:val="ro-RO"/>
        </w:rPr>
        <w:t xml:space="preserve"> </w:t>
      </w:r>
      <w:r w:rsidR="00DD73B7" w:rsidRPr="00834B27">
        <w:rPr>
          <w:rFonts w:ascii="Calibri" w:hAnsi="Calibri" w:cs="Calibri"/>
          <w:i/>
          <w:iCs/>
          <w:lang w:val="ro-RO"/>
        </w:rPr>
        <w:t xml:space="preserve">notarii au </w:t>
      </w:r>
      <w:r w:rsidR="000136D9" w:rsidRPr="00834B27">
        <w:rPr>
          <w:rFonts w:ascii="Calibri" w:hAnsi="Calibri" w:cs="Calibri"/>
          <w:i/>
          <w:iCs/>
          <w:lang w:val="ro-RO"/>
        </w:rPr>
        <w:t>obliga</w:t>
      </w:r>
      <w:r w:rsidR="00D77C4B" w:rsidRPr="00834B27">
        <w:rPr>
          <w:rFonts w:ascii="Calibri" w:hAnsi="Calibri" w:cs="Calibri"/>
          <w:i/>
          <w:iCs/>
          <w:lang w:val="ro-RO"/>
        </w:rPr>
        <w:t>ț</w:t>
      </w:r>
      <w:r w:rsidR="000136D9" w:rsidRPr="00834B27">
        <w:rPr>
          <w:rFonts w:ascii="Calibri" w:hAnsi="Calibri" w:cs="Calibri"/>
          <w:i/>
          <w:iCs/>
          <w:lang w:val="ro-RO"/>
        </w:rPr>
        <w:t>ia</w:t>
      </w:r>
      <w:r w:rsidR="00DD73B7" w:rsidRPr="00834B27">
        <w:rPr>
          <w:rFonts w:ascii="Calibri" w:hAnsi="Calibri" w:cs="Calibri"/>
          <w:i/>
          <w:iCs/>
          <w:lang w:val="ro-RO"/>
        </w:rPr>
        <w:t xml:space="preserve"> s</w:t>
      </w:r>
      <w:r w:rsidR="000136D9" w:rsidRPr="00834B27">
        <w:rPr>
          <w:rFonts w:ascii="Calibri" w:hAnsi="Calibri" w:cs="Calibri"/>
          <w:i/>
          <w:iCs/>
          <w:lang w:val="ro-RO"/>
        </w:rPr>
        <w:t xml:space="preserve">ă </w:t>
      </w:r>
      <w:r w:rsidR="00DD73B7" w:rsidRPr="00834B27">
        <w:rPr>
          <w:rFonts w:ascii="Calibri" w:hAnsi="Calibri" w:cs="Calibri"/>
          <w:i/>
          <w:iCs/>
          <w:lang w:val="ro-RO"/>
        </w:rPr>
        <w:t>re</w:t>
      </w:r>
      <w:r w:rsidR="00D77C4B" w:rsidRPr="00834B27">
        <w:rPr>
          <w:rFonts w:ascii="Calibri" w:hAnsi="Calibri" w:cs="Calibri"/>
          <w:i/>
          <w:iCs/>
          <w:lang w:val="ro-RO"/>
        </w:rPr>
        <w:t>ț</w:t>
      </w:r>
      <w:r w:rsidR="00DD73B7" w:rsidRPr="00834B27">
        <w:rPr>
          <w:rFonts w:ascii="Calibri" w:hAnsi="Calibri" w:cs="Calibri"/>
          <w:i/>
          <w:iCs/>
          <w:lang w:val="ro-RO"/>
        </w:rPr>
        <w:t>in</w:t>
      </w:r>
      <w:r w:rsidR="000136D9" w:rsidRPr="00834B27">
        <w:rPr>
          <w:rFonts w:ascii="Calibri" w:hAnsi="Calibri" w:cs="Calibri"/>
          <w:i/>
          <w:iCs/>
          <w:lang w:val="ro-RO"/>
        </w:rPr>
        <w:t>ă</w:t>
      </w:r>
      <w:r w:rsidR="00DD73B7" w:rsidRPr="00834B27">
        <w:rPr>
          <w:rFonts w:ascii="Calibri" w:hAnsi="Calibri" w:cs="Calibri"/>
          <w:i/>
          <w:iCs/>
          <w:lang w:val="ro-RO"/>
        </w:rPr>
        <w:t xml:space="preserve"> impozitul datorat pentru </w:t>
      </w:r>
      <w:r w:rsidR="000136D9" w:rsidRPr="00834B27">
        <w:rPr>
          <w:rFonts w:ascii="Calibri" w:hAnsi="Calibri" w:cs="Calibri"/>
          <w:i/>
          <w:iCs/>
          <w:lang w:val="ro-RO"/>
        </w:rPr>
        <w:t>vânzarea</w:t>
      </w:r>
      <w:r w:rsidR="00DD73B7" w:rsidRPr="00834B27">
        <w:rPr>
          <w:rFonts w:ascii="Calibri" w:hAnsi="Calibri" w:cs="Calibri"/>
          <w:i/>
          <w:iCs/>
          <w:lang w:val="ro-RO"/>
        </w:rPr>
        <w:t xml:space="preserve"> bunurilor din patrimoniul personal</w:t>
      </w:r>
      <w:r w:rsidR="00F24FE7" w:rsidRPr="00834B27">
        <w:rPr>
          <w:rFonts w:ascii="Calibri" w:hAnsi="Calibri" w:cs="Calibri"/>
          <w:i/>
          <w:iCs/>
          <w:lang w:val="ro-RO"/>
        </w:rPr>
        <w:t xml:space="preserve">, </w:t>
      </w:r>
      <w:r w:rsidR="000136D9" w:rsidRPr="00834B27">
        <w:rPr>
          <w:rFonts w:ascii="Calibri" w:hAnsi="Calibri" w:cs="Calibri"/>
          <w:i/>
          <w:iCs/>
          <w:lang w:val="ro-RO"/>
        </w:rPr>
        <w:t>deși</w:t>
      </w:r>
      <w:r w:rsidR="00F24FE7" w:rsidRPr="00834B27">
        <w:rPr>
          <w:rFonts w:ascii="Calibri" w:hAnsi="Calibri" w:cs="Calibri"/>
          <w:i/>
          <w:iCs/>
          <w:lang w:val="ro-RO"/>
        </w:rPr>
        <w:t xml:space="preserve"> </w:t>
      </w:r>
      <w:r w:rsidR="000136D9" w:rsidRPr="00834B27">
        <w:rPr>
          <w:rFonts w:ascii="Calibri" w:hAnsi="Calibri" w:cs="Calibri"/>
          <w:i/>
          <w:iCs/>
          <w:lang w:val="ro-RO"/>
        </w:rPr>
        <w:t>vânzătorii</w:t>
      </w:r>
      <w:r w:rsidR="00F24FE7" w:rsidRPr="00834B27">
        <w:rPr>
          <w:rFonts w:ascii="Calibri" w:hAnsi="Calibri" w:cs="Calibri"/>
          <w:i/>
          <w:iCs/>
          <w:lang w:val="ro-RO"/>
        </w:rPr>
        <w:t xml:space="preserve"> erau </w:t>
      </w:r>
      <w:r w:rsidR="000136D9" w:rsidRPr="00834B27">
        <w:rPr>
          <w:rFonts w:ascii="Calibri" w:hAnsi="Calibri" w:cs="Calibri"/>
          <w:i/>
          <w:iCs/>
          <w:lang w:val="ro-RO"/>
        </w:rPr>
        <w:t>înregistra</w:t>
      </w:r>
      <w:r w:rsidR="00D77C4B" w:rsidRPr="00834B27">
        <w:rPr>
          <w:rFonts w:ascii="Calibri" w:hAnsi="Calibri" w:cs="Calibri"/>
          <w:i/>
          <w:iCs/>
          <w:lang w:val="ro-RO"/>
        </w:rPr>
        <w:t>ț</w:t>
      </w:r>
      <w:r w:rsidR="000136D9" w:rsidRPr="00834B27">
        <w:rPr>
          <w:rFonts w:ascii="Calibri" w:hAnsi="Calibri" w:cs="Calibri"/>
          <w:i/>
          <w:iCs/>
          <w:lang w:val="ro-RO"/>
        </w:rPr>
        <w:t>i</w:t>
      </w:r>
      <w:r w:rsidR="00F24FE7" w:rsidRPr="00834B27">
        <w:rPr>
          <w:rFonts w:ascii="Calibri" w:hAnsi="Calibri" w:cs="Calibri"/>
          <w:i/>
          <w:iCs/>
          <w:lang w:val="ro-RO"/>
        </w:rPr>
        <w:t xml:space="preserve"> </w:t>
      </w:r>
      <w:r w:rsidR="000136D9" w:rsidRPr="00834B27">
        <w:rPr>
          <w:rFonts w:ascii="Calibri" w:hAnsi="Calibri" w:cs="Calibri"/>
          <w:i/>
          <w:iCs/>
          <w:lang w:val="ro-RO"/>
        </w:rPr>
        <w:t>î</w:t>
      </w:r>
      <w:r w:rsidR="00F24FE7" w:rsidRPr="00834B27">
        <w:rPr>
          <w:rFonts w:ascii="Calibri" w:hAnsi="Calibri" w:cs="Calibri"/>
          <w:i/>
          <w:iCs/>
          <w:lang w:val="ro-RO"/>
        </w:rPr>
        <w:t xml:space="preserve">n scop de TVA (deci </w:t>
      </w:r>
      <w:r w:rsidR="000136D9" w:rsidRPr="00834B27">
        <w:rPr>
          <w:rFonts w:ascii="Calibri" w:hAnsi="Calibri" w:cs="Calibri"/>
          <w:i/>
          <w:iCs/>
          <w:lang w:val="ro-RO"/>
        </w:rPr>
        <w:t>comercian</w:t>
      </w:r>
      <w:r w:rsidR="00D77C4B" w:rsidRPr="00834B27">
        <w:rPr>
          <w:rFonts w:ascii="Calibri" w:hAnsi="Calibri" w:cs="Calibri"/>
          <w:i/>
          <w:iCs/>
          <w:lang w:val="ro-RO"/>
        </w:rPr>
        <w:t>ț</w:t>
      </w:r>
      <w:r w:rsidR="000136D9" w:rsidRPr="00834B27">
        <w:rPr>
          <w:rFonts w:ascii="Calibri" w:hAnsi="Calibri" w:cs="Calibri"/>
          <w:i/>
          <w:iCs/>
          <w:lang w:val="ro-RO"/>
        </w:rPr>
        <w:t>i</w:t>
      </w:r>
      <w:r w:rsidR="00F24FE7" w:rsidRPr="00834B27">
        <w:rPr>
          <w:rFonts w:ascii="Calibri" w:hAnsi="Calibri" w:cs="Calibri"/>
          <w:i/>
          <w:iCs/>
          <w:lang w:val="ro-RO"/>
        </w:rPr>
        <w:t>!)</w:t>
      </w:r>
      <w:r w:rsidR="007C37A0" w:rsidRPr="00834B27">
        <w:rPr>
          <w:rFonts w:ascii="Calibri" w:hAnsi="Calibri" w:cs="Calibri"/>
          <w:i/>
          <w:iCs/>
          <w:lang w:val="ro-RO"/>
        </w:rPr>
        <w:t xml:space="preserve"> </w:t>
      </w:r>
      <w:r w:rsidR="000136D9" w:rsidRPr="00834B27">
        <w:rPr>
          <w:rFonts w:ascii="Calibri" w:hAnsi="Calibri" w:cs="Calibri"/>
          <w:i/>
          <w:iCs/>
          <w:lang w:val="ro-RO"/>
        </w:rPr>
        <w:t>ș</w:t>
      </w:r>
      <w:r w:rsidR="007C37A0" w:rsidRPr="00834B27">
        <w:rPr>
          <w:rFonts w:ascii="Calibri" w:hAnsi="Calibri" w:cs="Calibri"/>
          <w:i/>
          <w:iCs/>
          <w:lang w:val="ro-RO"/>
        </w:rPr>
        <w:t>i emiteau facturi cu TVA</w:t>
      </w:r>
      <w:r w:rsidR="00FD5677" w:rsidRPr="00834B27">
        <w:rPr>
          <w:rFonts w:ascii="Calibri" w:hAnsi="Calibri" w:cs="Calibri"/>
          <w:i/>
          <w:iCs/>
          <w:lang w:val="ro-RO"/>
        </w:rPr>
        <w:t>. Aceast</w:t>
      </w:r>
      <w:r w:rsidR="000136D9" w:rsidRPr="00834B27">
        <w:rPr>
          <w:rFonts w:ascii="Calibri" w:hAnsi="Calibri" w:cs="Calibri"/>
          <w:i/>
          <w:iCs/>
          <w:lang w:val="ro-RO"/>
        </w:rPr>
        <w:t>ă</w:t>
      </w:r>
      <w:r w:rsidR="00FD5677" w:rsidRPr="00834B27">
        <w:rPr>
          <w:rFonts w:ascii="Calibri" w:hAnsi="Calibri" w:cs="Calibri"/>
          <w:i/>
          <w:iCs/>
          <w:lang w:val="ro-RO"/>
        </w:rPr>
        <w:t xml:space="preserve"> abordare a avut </w:t>
      </w:r>
      <w:r w:rsidR="000136D9" w:rsidRPr="00834B27">
        <w:rPr>
          <w:rFonts w:ascii="Calibri" w:hAnsi="Calibri" w:cs="Calibri"/>
          <w:i/>
          <w:iCs/>
          <w:lang w:val="ro-RO"/>
        </w:rPr>
        <w:t>î</w:t>
      </w:r>
      <w:r w:rsidR="00FD5677" w:rsidRPr="00834B27">
        <w:rPr>
          <w:rFonts w:ascii="Calibri" w:hAnsi="Calibri" w:cs="Calibri"/>
          <w:i/>
          <w:iCs/>
          <w:lang w:val="ro-RO"/>
        </w:rPr>
        <w:t xml:space="preserve">n mod evident </w:t>
      </w:r>
      <w:r w:rsidR="000136D9" w:rsidRPr="00834B27">
        <w:rPr>
          <w:rFonts w:ascii="Calibri" w:hAnsi="Calibri" w:cs="Calibri"/>
          <w:i/>
          <w:iCs/>
          <w:lang w:val="ro-RO"/>
        </w:rPr>
        <w:t>ș</w:t>
      </w:r>
      <w:r w:rsidR="00FD5677" w:rsidRPr="00834B27">
        <w:rPr>
          <w:rFonts w:ascii="Calibri" w:hAnsi="Calibri" w:cs="Calibri"/>
          <w:i/>
          <w:iCs/>
          <w:lang w:val="ro-RO"/>
        </w:rPr>
        <w:t xml:space="preserve">i un impact negativ </w:t>
      </w:r>
      <w:r w:rsidR="00984C76" w:rsidRPr="00834B27">
        <w:rPr>
          <w:rFonts w:ascii="Calibri" w:hAnsi="Calibri" w:cs="Calibri"/>
          <w:i/>
          <w:iCs/>
          <w:lang w:val="ro-RO"/>
        </w:rPr>
        <w:t xml:space="preserve">asupra </w:t>
      </w:r>
      <w:r w:rsidR="00506335" w:rsidRPr="00834B27">
        <w:rPr>
          <w:rFonts w:ascii="Calibri" w:hAnsi="Calibri" w:cs="Calibri"/>
          <w:i/>
          <w:iCs/>
          <w:lang w:val="ro-RO"/>
        </w:rPr>
        <w:t xml:space="preserve">evaziunii </w:t>
      </w:r>
      <w:r w:rsidR="000136D9" w:rsidRPr="00834B27">
        <w:rPr>
          <w:rFonts w:ascii="Calibri" w:hAnsi="Calibri" w:cs="Calibri"/>
          <w:i/>
          <w:iCs/>
          <w:lang w:val="ro-RO"/>
        </w:rPr>
        <w:t>ș</w:t>
      </w:r>
      <w:r w:rsidR="00506335" w:rsidRPr="00834B27">
        <w:rPr>
          <w:rFonts w:ascii="Calibri" w:hAnsi="Calibri" w:cs="Calibri"/>
          <w:i/>
          <w:iCs/>
          <w:lang w:val="ro-RO"/>
        </w:rPr>
        <w:t xml:space="preserve">i </w:t>
      </w:r>
      <w:r w:rsidR="00984C76" w:rsidRPr="00834B27">
        <w:rPr>
          <w:rFonts w:ascii="Calibri" w:hAnsi="Calibri" w:cs="Calibri"/>
          <w:i/>
          <w:iCs/>
          <w:lang w:val="ro-RO"/>
        </w:rPr>
        <w:t xml:space="preserve">muncii la negru, </w:t>
      </w:r>
      <w:r w:rsidR="000136D9" w:rsidRPr="00834B27">
        <w:rPr>
          <w:rFonts w:ascii="Calibri" w:hAnsi="Calibri" w:cs="Calibri"/>
          <w:i/>
          <w:iCs/>
          <w:lang w:val="ro-RO"/>
        </w:rPr>
        <w:t>stimulând</w:t>
      </w:r>
      <w:r w:rsidR="00285F1A" w:rsidRPr="00834B27">
        <w:rPr>
          <w:rFonts w:ascii="Calibri" w:hAnsi="Calibri" w:cs="Calibri"/>
          <w:i/>
          <w:iCs/>
          <w:lang w:val="ro-RO"/>
        </w:rPr>
        <w:t>u-le</w:t>
      </w:r>
      <w:r w:rsidR="00984C76" w:rsidRPr="00834B27">
        <w:rPr>
          <w:rFonts w:ascii="Calibri" w:hAnsi="Calibri" w:cs="Calibri"/>
          <w:i/>
          <w:iCs/>
          <w:lang w:val="ro-RO"/>
        </w:rPr>
        <w:t xml:space="preserve"> (</w:t>
      </w:r>
      <w:r w:rsidR="004E4818" w:rsidRPr="00834B27">
        <w:rPr>
          <w:rFonts w:ascii="Calibri" w:hAnsi="Calibri" w:cs="Calibri"/>
          <w:i/>
          <w:iCs/>
          <w:lang w:val="ro-RO"/>
        </w:rPr>
        <w:t>î</w:t>
      </w:r>
      <w:r w:rsidR="00984C76" w:rsidRPr="00834B27">
        <w:rPr>
          <w:rFonts w:ascii="Calibri" w:hAnsi="Calibri" w:cs="Calibri"/>
          <w:i/>
          <w:iCs/>
          <w:lang w:val="ro-RO"/>
        </w:rPr>
        <w:t>n special</w:t>
      </w:r>
      <w:r w:rsidR="000136D9" w:rsidRPr="00834B27">
        <w:rPr>
          <w:rFonts w:ascii="Calibri" w:hAnsi="Calibri" w:cs="Calibri"/>
          <w:i/>
          <w:iCs/>
          <w:lang w:val="ro-RO"/>
        </w:rPr>
        <w:t xml:space="preserve"> î</w:t>
      </w:r>
      <w:r w:rsidR="00984C76" w:rsidRPr="00834B27">
        <w:rPr>
          <w:rFonts w:ascii="Calibri" w:hAnsi="Calibri" w:cs="Calibri"/>
          <w:i/>
          <w:iCs/>
          <w:lang w:val="ro-RO"/>
        </w:rPr>
        <w:t xml:space="preserve">n cazul </w:t>
      </w:r>
      <w:r w:rsidR="000136D9" w:rsidRPr="00834B27">
        <w:rPr>
          <w:rFonts w:ascii="Calibri" w:hAnsi="Calibri" w:cs="Calibri"/>
          <w:i/>
          <w:iCs/>
          <w:lang w:val="ro-RO"/>
        </w:rPr>
        <w:t>construc</w:t>
      </w:r>
      <w:r w:rsidR="00D77C4B" w:rsidRPr="00834B27">
        <w:rPr>
          <w:rFonts w:ascii="Calibri" w:hAnsi="Calibri" w:cs="Calibri"/>
          <w:i/>
          <w:iCs/>
          <w:lang w:val="ro-RO"/>
        </w:rPr>
        <w:t>ț</w:t>
      </w:r>
      <w:r w:rsidR="000136D9" w:rsidRPr="00834B27">
        <w:rPr>
          <w:rFonts w:ascii="Calibri" w:hAnsi="Calibri" w:cs="Calibri"/>
          <w:i/>
          <w:iCs/>
          <w:lang w:val="ro-RO"/>
        </w:rPr>
        <w:t>iilor</w:t>
      </w:r>
      <w:r w:rsidR="00506335" w:rsidRPr="00834B27">
        <w:rPr>
          <w:rFonts w:ascii="Calibri" w:hAnsi="Calibri" w:cs="Calibri"/>
          <w:i/>
          <w:iCs/>
          <w:lang w:val="ro-RO"/>
        </w:rPr>
        <w:t xml:space="preserve">, cele mai multe fiind </w:t>
      </w:r>
      <w:r w:rsidR="000136D9" w:rsidRPr="00834B27">
        <w:rPr>
          <w:rFonts w:ascii="Calibri" w:hAnsi="Calibri" w:cs="Calibri"/>
          <w:i/>
          <w:iCs/>
          <w:lang w:val="ro-RO"/>
        </w:rPr>
        <w:t>„î</w:t>
      </w:r>
      <w:r w:rsidR="00506335" w:rsidRPr="00834B27">
        <w:rPr>
          <w:rFonts w:ascii="Calibri" w:hAnsi="Calibri" w:cs="Calibri"/>
          <w:i/>
          <w:iCs/>
          <w:lang w:val="ro-RO"/>
        </w:rPr>
        <w:t>n regie proprie”)</w:t>
      </w:r>
      <w:r w:rsidR="00952B4D" w:rsidRPr="00834B27">
        <w:rPr>
          <w:rFonts w:ascii="Calibri" w:hAnsi="Calibri" w:cs="Calibri"/>
          <w:i/>
          <w:iCs/>
          <w:lang w:val="ro-RO"/>
        </w:rPr>
        <w:t>;</w:t>
      </w:r>
    </w:p>
    <w:p w14:paraId="78D2225C" w14:textId="2ED819B9" w:rsidR="007C37A0" w:rsidRPr="00834B27" w:rsidRDefault="00C56DFC" w:rsidP="005030D8">
      <w:pPr>
        <w:pStyle w:val="Listparagraf"/>
        <w:numPr>
          <w:ilvl w:val="0"/>
          <w:numId w:val="1"/>
        </w:numPr>
        <w:spacing w:line="276" w:lineRule="auto"/>
        <w:ind w:left="360"/>
        <w:contextualSpacing w:val="0"/>
        <w:jc w:val="both"/>
        <w:rPr>
          <w:rFonts w:ascii="Calibri" w:hAnsi="Calibri" w:cs="Calibri"/>
          <w:i/>
          <w:iCs/>
          <w:lang w:val="ro-RO"/>
        </w:rPr>
      </w:pPr>
      <w:r w:rsidRPr="00834B27">
        <w:rPr>
          <w:rFonts w:ascii="Calibri" w:hAnsi="Calibri" w:cs="Calibri"/>
          <w:i/>
          <w:iCs/>
          <w:lang w:val="ro-RO"/>
        </w:rPr>
        <w:t>A</w:t>
      </w:r>
      <w:r w:rsidR="007C37A0" w:rsidRPr="00834B27">
        <w:rPr>
          <w:rFonts w:ascii="Calibri" w:hAnsi="Calibri" w:cs="Calibri"/>
          <w:i/>
          <w:iCs/>
          <w:lang w:val="ro-RO"/>
        </w:rPr>
        <w:t xml:space="preserve">bia </w:t>
      </w:r>
      <w:r w:rsidRPr="00834B27">
        <w:rPr>
          <w:rFonts w:ascii="Calibri" w:hAnsi="Calibri" w:cs="Calibri"/>
          <w:i/>
          <w:iCs/>
          <w:lang w:val="ro-RO"/>
        </w:rPr>
        <w:t>î</w:t>
      </w:r>
      <w:r w:rsidR="007C37A0" w:rsidRPr="00834B27">
        <w:rPr>
          <w:rFonts w:ascii="Calibri" w:hAnsi="Calibri" w:cs="Calibri"/>
          <w:i/>
          <w:iCs/>
          <w:lang w:val="ro-RO"/>
        </w:rPr>
        <w:t xml:space="preserve">n 2016 ANAF </w:t>
      </w:r>
      <w:r w:rsidRPr="00834B27">
        <w:rPr>
          <w:rFonts w:ascii="Calibri" w:hAnsi="Calibri" w:cs="Calibri"/>
          <w:i/>
          <w:iCs/>
          <w:lang w:val="ro-RO"/>
        </w:rPr>
        <w:t>ș</w:t>
      </w:r>
      <w:r w:rsidR="007C37A0" w:rsidRPr="00834B27">
        <w:rPr>
          <w:rFonts w:ascii="Calibri" w:hAnsi="Calibri" w:cs="Calibri"/>
          <w:i/>
          <w:iCs/>
          <w:lang w:val="ro-RO"/>
        </w:rPr>
        <w:t xml:space="preserve">i-a schimbat </w:t>
      </w:r>
      <w:r w:rsidR="00C1395D" w:rsidRPr="00834B27">
        <w:rPr>
          <w:rFonts w:ascii="Calibri" w:hAnsi="Calibri" w:cs="Calibri"/>
          <w:i/>
          <w:iCs/>
          <w:lang w:val="ro-RO"/>
        </w:rPr>
        <w:t xml:space="preserve">opinia </w:t>
      </w:r>
      <w:r w:rsidRPr="00834B27">
        <w:rPr>
          <w:rFonts w:ascii="Calibri" w:hAnsi="Calibri" w:cs="Calibri"/>
          <w:i/>
          <w:iCs/>
          <w:lang w:val="ro-RO"/>
        </w:rPr>
        <w:t>ș</w:t>
      </w:r>
      <w:r w:rsidR="00C1395D" w:rsidRPr="00834B27">
        <w:rPr>
          <w:rFonts w:ascii="Calibri" w:hAnsi="Calibri" w:cs="Calibri"/>
          <w:i/>
          <w:iCs/>
          <w:lang w:val="ro-RO"/>
        </w:rPr>
        <w:t xml:space="preserve">i a </w:t>
      </w:r>
      <w:r w:rsidRPr="00834B27">
        <w:rPr>
          <w:rFonts w:ascii="Calibri" w:hAnsi="Calibri" w:cs="Calibri"/>
          <w:i/>
          <w:iCs/>
          <w:lang w:val="ro-RO"/>
        </w:rPr>
        <w:t>început</w:t>
      </w:r>
      <w:r w:rsidR="00C1395D" w:rsidRPr="00834B27">
        <w:rPr>
          <w:rFonts w:ascii="Calibri" w:hAnsi="Calibri" w:cs="Calibri"/>
          <w:i/>
          <w:iCs/>
          <w:lang w:val="ro-RO"/>
        </w:rPr>
        <w:t xml:space="preserve"> s</w:t>
      </w:r>
      <w:r w:rsidRPr="00834B27">
        <w:rPr>
          <w:rFonts w:ascii="Calibri" w:hAnsi="Calibri" w:cs="Calibri"/>
          <w:i/>
          <w:iCs/>
          <w:lang w:val="ro-RO"/>
        </w:rPr>
        <w:t>ă</w:t>
      </w:r>
      <w:r w:rsidR="00C1395D" w:rsidRPr="00834B27">
        <w:rPr>
          <w:rFonts w:ascii="Calibri" w:hAnsi="Calibri" w:cs="Calibri"/>
          <w:i/>
          <w:iCs/>
          <w:lang w:val="ro-RO"/>
        </w:rPr>
        <w:t xml:space="preserve"> calculeze </w:t>
      </w:r>
      <w:r w:rsidR="00225250" w:rsidRPr="00834B27">
        <w:rPr>
          <w:rFonts w:ascii="Calibri" w:hAnsi="Calibri" w:cs="Calibri"/>
          <w:i/>
          <w:iCs/>
          <w:lang w:val="ro-RO"/>
        </w:rPr>
        <w:t xml:space="preserve">retroactiv impozitul pe venitul din </w:t>
      </w:r>
      <w:r w:rsidRPr="00834B27">
        <w:rPr>
          <w:rFonts w:ascii="Calibri" w:hAnsi="Calibri" w:cs="Calibri"/>
          <w:i/>
          <w:iCs/>
          <w:lang w:val="ro-RO"/>
        </w:rPr>
        <w:t>activită</w:t>
      </w:r>
      <w:r w:rsidR="00D77C4B" w:rsidRPr="00834B27">
        <w:rPr>
          <w:rFonts w:ascii="Calibri" w:hAnsi="Calibri" w:cs="Calibri"/>
          <w:i/>
          <w:iCs/>
          <w:lang w:val="ro-RO"/>
        </w:rPr>
        <w:t>ț</w:t>
      </w:r>
      <w:r w:rsidRPr="00834B27">
        <w:rPr>
          <w:rFonts w:ascii="Calibri" w:hAnsi="Calibri" w:cs="Calibri"/>
          <w:i/>
          <w:iCs/>
          <w:lang w:val="ro-RO"/>
        </w:rPr>
        <w:t>i</w:t>
      </w:r>
      <w:r w:rsidR="00225250" w:rsidRPr="00834B27">
        <w:rPr>
          <w:rFonts w:ascii="Calibri" w:hAnsi="Calibri" w:cs="Calibri"/>
          <w:i/>
          <w:iCs/>
          <w:lang w:val="ro-RO"/>
        </w:rPr>
        <w:t xml:space="preserve"> independente</w:t>
      </w:r>
      <w:r w:rsidR="00506335" w:rsidRPr="00834B27">
        <w:rPr>
          <w:rFonts w:ascii="Calibri" w:hAnsi="Calibri" w:cs="Calibri"/>
          <w:i/>
          <w:iCs/>
          <w:lang w:val="ro-RO"/>
        </w:rPr>
        <w:t xml:space="preserve"> </w:t>
      </w:r>
      <w:r w:rsidRPr="00834B27">
        <w:rPr>
          <w:rFonts w:ascii="Calibri" w:hAnsi="Calibri" w:cs="Calibri"/>
          <w:i/>
          <w:iCs/>
          <w:lang w:val="ro-RO"/>
        </w:rPr>
        <w:t>ș</w:t>
      </w:r>
      <w:r w:rsidR="00506335" w:rsidRPr="00834B27">
        <w:rPr>
          <w:rFonts w:ascii="Calibri" w:hAnsi="Calibri" w:cs="Calibri"/>
          <w:i/>
          <w:iCs/>
          <w:lang w:val="ro-RO"/>
        </w:rPr>
        <w:t>i CASS</w:t>
      </w:r>
      <w:r w:rsidR="00554E27" w:rsidRPr="00834B27">
        <w:rPr>
          <w:rFonts w:ascii="Calibri" w:hAnsi="Calibri" w:cs="Calibri"/>
          <w:i/>
          <w:iCs/>
          <w:lang w:val="ro-RO"/>
        </w:rPr>
        <w:t>, practic</w:t>
      </w:r>
      <w:r w:rsidRPr="00834B27">
        <w:rPr>
          <w:rFonts w:ascii="Calibri" w:hAnsi="Calibri" w:cs="Calibri"/>
          <w:i/>
          <w:iCs/>
          <w:lang w:val="ro-RO"/>
        </w:rPr>
        <w:t>ă</w:t>
      </w:r>
      <w:r w:rsidR="00554E27" w:rsidRPr="00834B27">
        <w:rPr>
          <w:rFonts w:ascii="Calibri" w:hAnsi="Calibri" w:cs="Calibri"/>
          <w:i/>
          <w:iCs/>
          <w:lang w:val="ro-RO"/>
        </w:rPr>
        <w:t xml:space="preserve"> </w:t>
      </w:r>
      <w:r w:rsidRPr="00834B27">
        <w:rPr>
          <w:rFonts w:ascii="Calibri" w:hAnsi="Calibri" w:cs="Calibri"/>
          <w:i/>
          <w:iCs/>
          <w:lang w:val="ro-RO"/>
        </w:rPr>
        <w:t>însă</w:t>
      </w:r>
      <w:r w:rsidR="00554E27" w:rsidRPr="00834B27">
        <w:rPr>
          <w:rFonts w:ascii="Calibri" w:hAnsi="Calibri" w:cs="Calibri"/>
          <w:i/>
          <w:iCs/>
          <w:lang w:val="ro-RO"/>
        </w:rPr>
        <w:t xml:space="preserve"> oprit</w:t>
      </w:r>
      <w:r w:rsidRPr="00834B27">
        <w:rPr>
          <w:rFonts w:ascii="Calibri" w:hAnsi="Calibri" w:cs="Calibri"/>
          <w:i/>
          <w:iCs/>
          <w:lang w:val="ro-RO"/>
        </w:rPr>
        <w:t>ă</w:t>
      </w:r>
      <w:r w:rsidR="00554E27" w:rsidRPr="00834B27">
        <w:rPr>
          <w:rFonts w:ascii="Calibri" w:hAnsi="Calibri" w:cs="Calibri"/>
          <w:i/>
          <w:iCs/>
          <w:lang w:val="ro-RO"/>
        </w:rPr>
        <w:t xml:space="preserve"> printr-o amnistie (necesar</w:t>
      </w:r>
      <w:r w:rsidRPr="00834B27">
        <w:rPr>
          <w:rFonts w:ascii="Calibri" w:hAnsi="Calibri" w:cs="Calibri"/>
          <w:i/>
          <w:iCs/>
          <w:lang w:val="ro-RO"/>
        </w:rPr>
        <w:t>ă</w:t>
      </w:r>
      <w:r w:rsidR="00554E27" w:rsidRPr="00834B27">
        <w:rPr>
          <w:rFonts w:ascii="Calibri" w:hAnsi="Calibri" w:cs="Calibri"/>
          <w:i/>
          <w:iCs/>
          <w:lang w:val="ro-RO"/>
        </w:rPr>
        <w:t xml:space="preserve">, </w:t>
      </w:r>
      <w:r w:rsidRPr="00834B27">
        <w:rPr>
          <w:rFonts w:ascii="Calibri" w:hAnsi="Calibri" w:cs="Calibri"/>
          <w:i/>
          <w:iCs/>
          <w:lang w:val="ro-RO"/>
        </w:rPr>
        <w:t>î</w:t>
      </w:r>
      <w:r w:rsidR="00554E27" w:rsidRPr="00834B27">
        <w:rPr>
          <w:rFonts w:ascii="Calibri" w:hAnsi="Calibri" w:cs="Calibri"/>
          <w:i/>
          <w:iCs/>
          <w:lang w:val="ro-RO"/>
        </w:rPr>
        <w:t xml:space="preserve">n contextul </w:t>
      </w:r>
      <w:r w:rsidRPr="00834B27">
        <w:rPr>
          <w:rFonts w:ascii="Calibri" w:hAnsi="Calibri" w:cs="Calibri"/>
          <w:i/>
          <w:iCs/>
          <w:lang w:val="ro-RO"/>
        </w:rPr>
        <w:t>î</w:t>
      </w:r>
      <w:r w:rsidR="00554E27" w:rsidRPr="00834B27">
        <w:rPr>
          <w:rFonts w:ascii="Calibri" w:hAnsi="Calibri" w:cs="Calibri"/>
          <w:i/>
          <w:iCs/>
          <w:lang w:val="ro-RO"/>
        </w:rPr>
        <w:t xml:space="preserve">n care chiar ANAF emisese opinii </w:t>
      </w:r>
      <w:r w:rsidRPr="00834B27">
        <w:rPr>
          <w:rFonts w:ascii="Calibri" w:hAnsi="Calibri" w:cs="Calibri"/>
          <w:i/>
          <w:iCs/>
          <w:lang w:val="ro-RO"/>
        </w:rPr>
        <w:t>î</w:t>
      </w:r>
      <w:r w:rsidR="00C77994" w:rsidRPr="00834B27">
        <w:rPr>
          <w:rFonts w:ascii="Calibri" w:hAnsi="Calibri" w:cs="Calibri"/>
          <w:i/>
          <w:iCs/>
          <w:lang w:val="ro-RO"/>
        </w:rPr>
        <w:t xml:space="preserve">n baza </w:t>
      </w:r>
      <w:r w:rsidRPr="00834B27">
        <w:rPr>
          <w:rFonts w:ascii="Calibri" w:hAnsi="Calibri" w:cs="Calibri"/>
          <w:i/>
          <w:iCs/>
          <w:lang w:val="ro-RO"/>
        </w:rPr>
        <w:t>cărora</w:t>
      </w:r>
      <w:r w:rsidR="00C77994" w:rsidRPr="00834B27">
        <w:rPr>
          <w:rFonts w:ascii="Calibri" w:hAnsi="Calibri" w:cs="Calibri"/>
          <w:i/>
          <w:iCs/>
          <w:lang w:val="ro-RO"/>
        </w:rPr>
        <w:t xml:space="preserve"> practica a continuat, </w:t>
      </w:r>
      <w:r w:rsidRPr="00834B27">
        <w:rPr>
          <w:rFonts w:ascii="Calibri" w:hAnsi="Calibri" w:cs="Calibri"/>
          <w:i/>
          <w:iCs/>
          <w:lang w:val="ro-RO"/>
        </w:rPr>
        <w:t>î</w:t>
      </w:r>
      <w:r w:rsidR="00C77994" w:rsidRPr="00834B27">
        <w:rPr>
          <w:rFonts w:ascii="Calibri" w:hAnsi="Calibri" w:cs="Calibri"/>
          <w:i/>
          <w:iCs/>
          <w:lang w:val="ro-RO"/>
        </w:rPr>
        <w:t xml:space="preserve">n ciuda opiniei exprimate de unii </w:t>
      </w:r>
      <w:r w:rsidRPr="00834B27">
        <w:rPr>
          <w:rFonts w:ascii="Calibri" w:hAnsi="Calibri" w:cs="Calibri"/>
          <w:i/>
          <w:iCs/>
          <w:lang w:val="ro-RO"/>
        </w:rPr>
        <w:t>exper</w:t>
      </w:r>
      <w:r w:rsidR="00D77C4B" w:rsidRPr="00834B27">
        <w:rPr>
          <w:rFonts w:ascii="Calibri" w:hAnsi="Calibri" w:cs="Calibri"/>
          <w:i/>
          <w:iCs/>
          <w:lang w:val="ro-RO"/>
        </w:rPr>
        <w:t>ț</w:t>
      </w:r>
      <w:r w:rsidRPr="00834B27">
        <w:rPr>
          <w:rFonts w:ascii="Calibri" w:hAnsi="Calibri" w:cs="Calibri"/>
          <w:i/>
          <w:iCs/>
          <w:lang w:val="ro-RO"/>
        </w:rPr>
        <w:t>i</w:t>
      </w:r>
      <w:r w:rsidR="00952B4D" w:rsidRPr="00834B27">
        <w:rPr>
          <w:rFonts w:ascii="Calibri" w:hAnsi="Calibri" w:cs="Calibri"/>
          <w:i/>
          <w:iCs/>
          <w:lang w:val="ro-RO"/>
        </w:rPr>
        <w:t xml:space="preserve"> fiscali din </w:t>
      </w:r>
      <w:r w:rsidRPr="00834B27">
        <w:rPr>
          <w:rFonts w:ascii="Calibri" w:hAnsi="Calibri" w:cs="Calibri"/>
          <w:i/>
          <w:iCs/>
          <w:lang w:val="ro-RO"/>
        </w:rPr>
        <w:t>pia</w:t>
      </w:r>
      <w:r w:rsidR="00D77C4B" w:rsidRPr="00834B27">
        <w:rPr>
          <w:rFonts w:ascii="Calibri" w:hAnsi="Calibri" w:cs="Calibri"/>
          <w:i/>
          <w:iCs/>
          <w:lang w:val="ro-RO"/>
        </w:rPr>
        <w:t>ț</w:t>
      </w:r>
      <w:r w:rsidRPr="00834B27">
        <w:rPr>
          <w:rFonts w:ascii="Calibri" w:hAnsi="Calibri" w:cs="Calibri"/>
          <w:i/>
          <w:iCs/>
          <w:lang w:val="ro-RO"/>
        </w:rPr>
        <w:t>ă</w:t>
      </w:r>
      <w:r w:rsidR="00952B4D" w:rsidRPr="00834B27">
        <w:rPr>
          <w:rFonts w:ascii="Calibri" w:hAnsi="Calibri" w:cs="Calibri"/>
          <w:i/>
          <w:iCs/>
          <w:lang w:val="ro-RO"/>
        </w:rPr>
        <w:t>);</w:t>
      </w:r>
    </w:p>
    <w:p w14:paraId="6D486E5F" w14:textId="73A2955D" w:rsidR="00421244" w:rsidRPr="00834B27" w:rsidRDefault="00421244" w:rsidP="005030D8">
      <w:pPr>
        <w:pStyle w:val="Listparagraf"/>
        <w:numPr>
          <w:ilvl w:val="0"/>
          <w:numId w:val="1"/>
        </w:numPr>
        <w:spacing w:line="276" w:lineRule="auto"/>
        <w:ind w:left="360"/>
        <w:contextualSpacing w:val="0"/>
        <w:jc w:val="both"/>
        <w:rPr>
          <w:rFonts w:ascii="Calibri" w:hAnsi="Calibri" w:cs="Calibri"/>
          <w:i/>
          <w:iCs/>
          <w:lang w:val="ro-RO"/>
        </w:rPr>
      </w:pPr>
      <w:r w:rsidRPr="00834B27">
        <w:rPr>
          <w:rFonts w:ascii="Calibri" w:hAnsi="Calibri" w:cs="Calibri"/>
          <w:i/>
          <w:iCs/>
          <w:lang w:val="ro-RO"/>
        </w:rPr>
        <w:t>D</w:t>
      </w:r>
      <w:r w:rsidR="00324B71" w:rsidRPr="00834B27">
        <w:rPr>
          <w:rFonts w:ascii="Calibri" w:hAnsi="Calibri" w:cs="Calibri"/>
          <w:i/>
          <w:iCs/>
          <w:lang w:val="ro-RO"/>
        </w:rPr>
        <w:t>e la 1 februarie</w:t>
      </w:r>
      <w:r w:rsidRPr="00834B27">
        <w:rPr>
          <w:rFonts w:ascii="Calibri" w:hAnsi="Calibri" w:cs="Calibri"/>
          <w:i/>
          <w:iCs/>
          <w:lang w:val="ro-RO"/>
        </w:rPr>
        <w:t xml:space="preserve"> 2017</w:t>
      </w:r>
      <w:r w:rsidR="00123C24" w:rsidRPr="00834B27">
        <w:rPr>
          <w:rFonts w:ascii="Calibri" w:hAnsi="Calibri" w:cs="Calibri"/>
          <w:i/>
          <w:iCs/>
          <w:lang w:val="ro-RO"/>
        </w:rPr>
        <w:t xml:space="preserve">, cotele degresive de 3/2/1% au fost </w:t>
      </w:r>
      <w:r w:rsidR="00C56DFC" w:rsidRPr="00834B27">
        <w:rPr>
          <w:rFonts w:ascii="Calibri" w:hAnsi="Calibri" w:cs="Calibri"/>
          <w:i/>
          <w:iCs/>
          <w:lang w:val="ro-RO"/>
        </w:rPr>
        <w:t>înlocuite</w:t>
      </w:r>
      <w:r w:rsidR="00123C24" w:rsidRPr="00834B27">
        <w:rPr>
          <w:rFonts w:ascii="Calibri" w:hAnsi="Calibri" w:cs="Calibri"/>
          <w:i/>
          <w:iCs/>
          <w:lang w:val="ro-RO"/>
        </w:rPr>
        <w:t xml:space="preserve"> de un impozit de 3%</w:t>
      </w:r>
      <w:r w:rsidR="00932865" w:rsidRPr="00834B27">
        <w:rPr>
          <w:rFonts w:ascii="Calibri" w:hAnsi="Calibri" w:cs="Calibri"/>
          <w:i/>
          <w:iCs/>
          <w:lang w:val="ro-RO"/>
        </w:rPr>
        <w:t xml:space="preserve">, datorat </w:t>
      </w:r>
      <w:r w:rsidR="00C56DFC" w:rsidRPr="00834B27">
        <w:rPr>
          <w:rFonts w:ascii="Calibri" w:hAnsi="Calibri" w:cs="Calibri"/>
          <w:i/>
          <w:iCs/>
          <w:lang w:val="ro-RO"/>
        </w:rPr>
        <w:t>însă</w:t>
      </w:r>
      <w:r w:rsidR="00932865" w:rsidRPr="00834B27">
        <w:rPr>
          <w:rFonts w:ascii="Calibri" w:hAnsi="Calibri" w:cs="Calibri"/>
          <w:i/>
          <w:iCs/>
          <w:lang w:val="ro-RO"/>
        </w:rPr>
        <w:t xml:space="preserve"> doar pentru valoarea ce </w:t>
      </w:r>
      <w:r w:rsidR="00C56DFC" w:rsidRPr="00834B27">
        <w:rPr>
          <w:rFonts w:ascii="Calibri" w:hAnsi="Calibri" w:cs="Calibri"/>
          <w:i/>
          <w:iCs/>
          <w:lang w:val="ro-RO"/>
        </w:rPr>
        <w:t>depășea</w:t>
      </w:r>
      <w:r w:rsidR="00932865" w:rsidRPr="00834B27">
        <w:rPr>
          <w:rFonts w:ascii="Calibri" w:hAnsi="Calibri" w:cs="Calibri"/>
          <w:i/>
          <w:iCs/>
          <w:lang w:val="ro-RO"/>
        </w:rPr>
        <w:t xml:space="preserve"> 450.000 lei/transfer, </w:t>
      </w:r>
      <w:r w:rsidR="00C56DFC" w:rsidRPr="00834B27">
        <w:rPr>
          <w:rFonts w:ascii="Calibri" w:hAnsi="Calibri" w:cs="Calibri"/>
          <w:i/>
          <w:iCs/>
          <w:lang w:val="ro-RO"/>
        </w:rPr>
        <w:t>făcând</w:t>
      </w:r>
      <w:r w:rsidR="00932865" w:rsidRPr="00834B27">
        <w:rPr>
          <w:rFonts w:ascii="Calibri" w:hAnsi="Calibri" w:cs="Calibri"/>
          <w:i/>
          <w:iCs/>
          <w:lang w:val="ro-RO"/>
        </w:rPr>
        <w:t xml:space="preserve"> astfel ca</w:t>
      </w:r>
      <w:r w:rsidR="00C56DFC" w:rsidRPr="00834B27">
        <w:rPr>
          <w:rFonts w:ascii="Calibri" w:hAnsi="Calibri" w:cs="Calibri"/>
          <w:i/>
          <w:iCs/>
          <w:lang w:val="ro-RO"/>
        </w:rPr>
        <w:t>,</w:t>
      </w:r>
      <w:r w:rsidR="00932865" w:rsidRPr="00834B27">
        <w:rPr>
          <w:rFonts w:ascii="Calibri" w:hAnsi="Calibri" w:cs="Calibri"/>
          <w:i/>
          <w:iCs/>
          <w:lang w:val="ro-RO"/>
        </w:rPr>
        <w:t xml:space="preserve"> pentru imensa majoritate a </w:t>
      </w:r>
      <w:r w:rsidR="00C56DFC" w:rsidRPr="00834B27">
        <w:rPr>
          <w:rFonts w:ascii="Calibri" w:hAnsi="Calibri" w:cs="Calibri"/>
          <w:i/>
          <w:iCs/>
          <w:lang w:val="ro-RO"/>
        </w:rPr>
        <w:t>vânzărilor</w:t>
      </w:r>
      <w:r w:rsidR="00932865" w:rsidRPr="00834B27">
        <w:rPr>
          <w:rFonts w:ascii="Calibri" w:hAnsi="Calibri" w:cs="Calibri"/>
          <w:i/>
          <w:iCs/>
          <w:lang w:val="ro-RO"/>
        </w:rPr>
        <w:t xml:space="preserve">, impozitul </w:t>
      </w:r>
      <w:r w:rsidR="00C56DFC" w:rsidRPr="00834B27">
        <w:rPr>
          <w:rFonts w:ascii="Calibri" w:hAnsi="Calibri" w:cs="Calibri"/>
          <w:i/>
          <w:iCs/>
          <w:lang w:val="ro-RO"/>
        </w:rPr>
        <w:t>re</w:t>
      </w:r>
      <w:r w:rsidR="00D77C4B" w:rsidRPr="00834B27">
        <w:rPr>
          <w:rFonts w:ascii="Calibri" w:hAnsi="Calibri" w:cs="Calibri"/>
          <w:i/>
          <w:iCs/>
          <w:lang w:val="ro-RO"/>
        </w:rPr>
        <w:t>ț</w:t>
      </w:r>
      <w:r w:rsidR="00C56DFC" w:rsidRPr="00834B27">
        <w:rPr>
          <w:rFonts w:ascii="Calibri" w:hAnsi="Calibri" w:cs="Calibri"/>
          <w:i/>
          <w:iCs/>
          <w:lang w:val="ro-RO"/>
        </w:rPr>
        <w:t>inut</w:t>
      </w:r>
      <w:r w:rsidR="00932865" w:rsidRPr="00834B27">
        <w:rPr>
          <w:rFonts w:ascii="Calibri" w:hAnsi="Calibri" w:cs="Calibri"/>
          <w:i/>
          <w:iCs/>
          <w:lang w:val="ro-RO"/>
        </w:rPr>
        <w:t xml:space="preserve"> de notari s</w:t>
      </w:r>
      <w:r w:rsidR="00C56DFC" w:rsidRPr="00834B27">
        <w:rPr>
          <w:rFonts w:ascii="Calibri" w:hAnsi="Calibri" w:cs="Calibri"/>
          <w:i/>
          <w:iCs/>
          <w:lang w:val="ro-RO"/>
        </w:rPr>
        <w:t>ă</w:t>
      </w:r>
      <w:r w:rsidR="00932865" w:rsidRPr="00834B27">
        <w:rPr>
          <w:rFonts w:ascii="Calibri" w:hAnsi="Calibri" w:cs="Calibri"/>
          <w:i/>
          <w:iCs/>
          <w:lang w:val="ro-RO"/>
        </w:rPr>
        <w:t xml:space="preserve"> fie zero;</w:t>
      </w:r>
    </w:p>
    <w:p w14:paraId="64E98523" w14:textId="41369B6D" w:rsidR="00932865" w:rsidRPr="00834B27" w:rsidRDefault="00C56DFC" w:rsidP="005030D8">
      <w:pPr>
        <w:pStyle w:val="Listparagraf"/>
        <w:numPr>
          <w:ilvl w:val="0"/>
          <w:numId w:val="1"/>
        </w:numPr>
        <w:spacing w:line="276" w:lineRule="auto"/>
        <w:ind w:left="360"/>
        <w:contextualSpacing w:val="0"/>
        <w:jc w:val="both"/>
        <w:rPr>
          <w:rFonts w:ascii="Calibri" w:hAnsi="Calibri" w:cs="Calibri"/>
          <w:i/>
          <w:iCs/>
          <w:lang w:val="ro-RO"/>
        </w:rPr>
      </w:pPr>
      <w:r w:rsidRPr="00834B27">
        <w:rPr>
          <w:rFonts w:ascii="Calibri" w:hAnsi="Calibri" w:cs="Calibri"/>
          <w:i/>
          <w:iCs/>
          <w:lang w:val="ro-RO"/>
        </w:rPr>
        <w:t>Începând</w:t>
      </w:r>
      <w:r w:rsidR="009260DD" w:rsidRPr="00834B27">
        <w:rPr>
          <w:rFonts w:ascii="Calibri" w:hAnsi="Calibri" w:cs="Calibri"/>
          <w:i/>
          <w:iCs/>
          <w:lang w:val="ro-RO"/>
        </w:rPr>
        <w:t xml:space="preserve"> </w:t>
      </w:r>
      <w:r w:rsidR="003977A7" w:rsidRPr="00834B27">
        <w:rPr>
          <w:rFonts w:ascii="Calibri" w:hAnsi="Calibri" w:cs="Calibri"/>
          <w:i/>
          <w:iCs/>
          <w:lang w:val="ro-RO"/>
        </w:rPr>
        <w:t xml:space="preserve">cu </w:t>
      </w:r>
      <w:r w:rsidR="00571E62" w:rsidRPr="00834B27">
        <w:rPr>
          <w:rFonts w:ascii="Calibri" w:hAnsi="Calibri" w:cs="Calibri"/>
          <w:i/>
          <w:iCs/>
          <w:lang w:val="ro-RO"/>
        </w:rPr>
        <w:t xml:space="preserve">18 </w:t>
      </w:r>
      <w:r w:rsidR="003977A7" w:rsidRPr="00834B27">
        <w:rPr>
          <w:rFonts w:ascii="Calibri" w:hAnsi="Calibri" w:cs="Calibri"/>
          <w:i/>
          <w:iCs/>
          <w:lang w:val="ro-RO"/>
        </w:rPr>
        <w:t>iulie 2022</w:t>
      </w:r>
      <w:r w:rsidR="00571E62" w:rsidRPr="00834B27">
        <w:rPr>
          <w:rFonts w:ascii="Calibri" w:hAnsi="Calibri" w:cs="Calibri"/>
          <w:i/>
          <w:iCs/>
          <w:lang w:val="ro-RO"/>
        </w:rPr>
        <w:t xml:space="preserve">, s-a revenit la cotele de 3%/1% </w:t>
      </w:r>
      <w:r w:rsidR="00E66A6B" w:rsidRPr="00834B27">
        <w:rPr>
          <w:rFonts w:ascii="Calibri" w:hAnsi="Calibri" w:cs="Calibri"/>
          <w:i/>
          <w:iCs/>
          <w:lang w:val="ro-RO"/>
        </w:rPr>
        <w:t xml:space="preserve">din venit, </w:t>
      </w:r>
      <w:r w:rsidRPr="00834B27">
        <w:rPr>
          <w:rFonts w:ascii="Calibri" w:hAnsi="Calibri" w:cs="Calibri"/>
          <w:i/>
          <w:iCs/>
          <w:lang w:val="ro-RO"/>
        </w:rPr>
        <w:t>î</w:t>
      </w:r>
      <w:r w:rsidR="00E66A6B" w:rsidRPr="00834B27">
        <w:rPr>
          <w:rFonts w:ascii="Calibri" w:hAnsi="Calibri" w:cs="Calibri"/>
          <w:i/>
          <w:iCs/>
          <w:lang w:val="ro-RO"/>
        </w:rPr>
        <w:t xml:space="preserve">n </w:t>
      </w:r>
      <w:r w:rsidRPr="00834B27">
        <w:rPr>
          <w:rFonts w:ascii="Calibri" w:hAnsi="Calibri" w:cs="Calibri"/>
          <w:i/>
          <w:iCs/>
          <w:lang w:val="ro-RO"/>
        </w:rPr>
        <w:t>func</w:t>
      </w:r>
      <w:r w:rsidR="00D77C4B" w:rsidRPr="00834B27">
        <w:rPr>
          <w:rFonts w:ascii="Calibri" w:hAnsi="Calibri" w:cs="Calibri"/>
          <w:i/>
          <w:iCs/>
          <w:lang w:val="ro-RO"/>
        </w:rPr>
        <w:t>ț</w:t>
      </w:r>
      <w:r w:rsidRPr="00834B27">
        <w:rPr>
          <w:rFonts w:ascii="Calibri" w:hAnsi="Calibri" w:cs="Calibri"/>
          <w:i/>
          <w:iCs/>
          <w:lang w:val="ro-RO"/>
        </w:rPr>
        <w:t>ie</w:t>
      </w:r>
      <w:r w:rsidR="00E66A6B" w:rsidRPr="00834B27">
        <w:rPr>
          <w:rFonts w:ascii="Calibri" w:hAnsi="Calibri" w:cs="Calibri"/>
          <w:i/>
          <w:iCs/>
          <w:lang w:val="ro-RO"/>
        </w:rPr>
        <w:t xml:space="preserve"> de perioada de </w:t>
      </w:r>
      <w:r w:rsidRPr="00834B27">
        <w:rPr>
          <w:rFonts w:ascii="Calibri" w:hAnsi="Calibri" w:cs="Calibri"/>
          <w:i/>
          <w:iCs/>
          <w:lang w:val="ro-RO"/>
        </w:rPr>
        <w:t>de</w:t>
      </w:r>
      <w:r w:rsidR="00D77C4B" w:rsidRPr="00834B27">
        <w:rPr>
          <w:rFonts w:ascii="Calibri" w:hAnsi="Calibri" w:cs="Calibri"/>
          <w:i/>
          <w:iCs/>
          <w:lang w:val="ro-RO"/>
        </w:rPr>
        <w:t>ț</w:t>
      </w:r>
      <w:r w:rsidRPr="00834B27">
        <w:rPr>
          <w:rFonts w:ascii="Calibri" w:hAnsi="Calibri" w:cs="Calibri"/>
          <w:i/>
          <w:iCs/>
          <w:lang w:val="ro-RO"/>
        </w:rPr>
        <w:t>inere</w:t>
      </w:r>
      <w:r w:rsidR="00E66A6B" w:rsidRPr="00834B27">
        <w:rPr>
          <w:rFonts w:ascii="Calibri" w:hAnsi="Calibri" w:cs="Calibri"/>
          <w:i/>
          <w:iCs/>
          <w:lang w:val="ro-RO"/>
        </w:rPr>
        <w:t xml:space="preserve"> (mai </w:t>
      </w:r>
      <w:r w:rsidRPr="00834B27">
        <w:rPr>
          <w:rFonts w:ascii="Calibri" w:hAnsi="Calibri" w:cs="Calibri"/>
          <w:i/>
          <w:iCs/>
          <w:lang w:val="ro-RO"/>
        </w:rPr>
        <w:t>pu</w:t>
      </w:r>
      <w:r w:rsidR="00D77C4B" w:rsidRPr="00834B27">
        <w:rPr>
          <w:rFonts w:ascii="Calibri" w:hAnsi="Calibri" w:cs="Calibri"/>
          <w:i/>
          <w:iCs/>
          <w:lang w:val="ro-RO"/>
        </w:rPr>
        <w:t>ț</w:t>
      </w:r>
      <w:r w:rsidRPr="00834B27">
        <w:rPr>
          <w:rFonts w:ascii="Calibri" w:hAnsi="Calibri" w:cs="Calibri"/>
          <w:i/>
          <w:iCs/>
          <w:lang w:val="ro-RO"/>
        </w:rPr>
        <w:t>in</w:t>
      </w:r>
      <w:r w:rsidR="00E66A6B" w:rsidRPr="00834B27">
        <w:rPr>
          <w:rFonts w:ascii="Calibri" w:hAnsi="Calibri" w:cs="Calibri"/>
          <w:i/>
          <w:iCs/>
          <w:lang w:val="ro-RO"/>
        </w:rPr>
        <w:t xml:space="preserve"> de 3 ani/cel </w:t>
      </w:r>
      <w:r w:rsidRPr="00834B27">
        <w:rPr>
          <w:rFonts w:ascii="Calibri" w:hAnsi="Calibri" w:cs="Calibri"/>
          <w:i/>
          <w:iCs/>
          <w:lang w:val="ro-RO"/>
        </w:rPr>
        <w:t>pu</w:t>
      </w:r>
      <w:r w:rsidR="00D77C4B" w:rsidRPr="00834B27">
        <w:rPr>
          <w:rFonts w:ascii="Calibri" w:hAnsi="Calibri" w:cs="Calibri"/>
          <w:i/>
          <w:iCs/>
          <w:lang w:val="ro-RO"/>
        </w:rPr>
        <w:t>ț</w:t>
      </w:r>
      <w:r w:rsidRPr="00834B27">
        <w:rPr>
          <w:rFonts w:ascii="Calibri" w:hAnsi="Calibri" w:cs="Calibri"/>
          <w:i/>
          <w:iCs/>
          <w:lang w:val="ro-RO"/>
        </w:rPr>
        <w:t>in</w:t>
      </w:r>
      <w:r w:rsidR="00E66A6B" w:rsidRPr="00834B27">
        <w:rPr>
          <w:rFonts w:ascii="Calibri" w:hAnsi="Calibri" w:cs="Calibri"/>
          <w:i/>
          <w:iCs/>
          <w:lang w:val="ro-RO"/>
        </w:rPr>
        <w:t xml:space="preserve"> </w:t>
      </w:r>
      <w:r w:rsidR="00125228" w:rsidRPr="00834B27">
        <w:rPr>
          <w:rFonts w:ascii="Calibri" w:hAnsi="Calibri" w:cs="Calibri"/>
          <w:i/>
          <w:iCs/>
          <w:lang w:val="ro-RO"/>
        </w:rPr>
        <w:t>3 ani)</w:t>
      </w:r>
      <w:r w:rsidR="00777E0E" w:rsidRPr="00834B27">
        <w:rPr>
          <w:rFonts w:ascii="Calibri" w:hAnsi="Calibri" w:cs="Calibri"/>
          <w:i/>
          <w:iCs/>
          <w:lang w:val="ro-RO"/>
        </w:rPr>
        <w:t xml:space="preserve">, </w:t>
      </w:r>
      <w:r w:rsidRPr="00834B27">
        <w:rPr>
          <w:rFonts w:ascii="Calibri" w:hAnsi="Calibri" w:cs="Calibri"/>
          <w:i/>
          <w:iCs/>
          <w:lang w:val="ro-RO"/>
        </w:rPr>
        <w:t>fără</w:t>
      </w:r>
      <w:r w:rsidR="00777E0E" w:rsidRPr="00834B27">
        <w:rPr>
          <w:rFonts w:ascii="Calibri" w:hAnsi="Calibri" w:cs="Calibri"/>
          <w:i/>
          <w:iCs/>
          <w:lang w:val="ro-RO"/>
        </w:rPr>
        <w:t xml:space="preserve"> un prag minim.</w:t>
      </w:r>
    </w:p>
    <w:p w14:paraId="0742B187" w14:textId="0D9EC65C" w:rsidR="00777E0E" w:rsidRPr="00834B27" w:rsidRDefault="00441837" w:rsidP="00B91E74">
      <w:pPr>
        <w:spacing w:line="276" w:lineRule="auto"/>
        <w:jc w:val="both"/>
        <w:rPr>
          <w:rFonts w:ascii="Calibri" w:hAnsi="Calibri" w:cs="Calibri"/>
          <w:i/>
          <w:iCs/>
          <w:lang w:val="ro-RO"/>
        </w:rPr>
      </w:pPr>
      <w:r w:rsidRPr="00834B27">
        <w:rPr>
          <w:rFonts w:ascii="Calibri" w:hAnsi="Calibri" w:cs="Calibri"/>
          <w:i/>
          <w:iCs/>
          <w:lang w:val="ro-RO"/>
        </w:rPr>
        <w:lastRenderedPageBreak/>
        <w:t>În 21 de ani (2005–2026), regimul fiscal al transferului de bunuri imobile s-a modificat de cel puțin 8 ori, oscilând între neimpozitare, impozit pe câștig, impozit pe venit degresiv, impozit doar peste 450.000 lei, și din nou impozit pe venit diferențiat în funcție de perioada de deținere.</w:t>
      </w:r>
    </w:p>
    <w:p w14:paraId="78B5E56C" w14:textId="77777777" w:rsidR="00441837" w:rsidRPr="00834B27" w:rsidRDefault="00441837" w:rsidP="00B91E74">
      <w:pPr>
        <w:spacing w:line="276" w:lineRule="auto"/>
        <w:jc w:val="both"/>
        <w:rPr>
          <w:rFonts w:ascii="Calibri" w:hAnsi="Calibri" w:cs="Calibri"/>
          <w:i/>
          <w:iCs/>
          <w:lang w:val="ro-RO"/>
        </w:rPr>
      </w:pPr>
    </w:p>
    <w:p w14:paraId="298C1B1E" w14:textId="60365F76" w:rsidR="00777E0E" w:rsidRPr="00834B27" w:rsidRDefault="00777E0E" w:rsidP="00B91E74">
      <w:pPr>
        <w:pStyle w:val="Listparagraf"/>
        <w:numPr>
          <w:ilvl w:val="2"/>
          <w:numId w:val="29"/>
        </w:numPr>
        <w:spacing w:line="276" w:lineRule="auto"/>
        <w:contextualSpacing w:val="0"/>
        <w:jc w:val="both"/>
        <w:rPr>
          <w:rFonts w:ascii="Calibri" w:hAnsi="Calibri" w:cs="Calibri"/>
          <w:b/>
          <w:bCs/>
          <w:lang w:val="ro-RO"/>
        </w:rPr>
      </w:pPr>
      <w:r w:rsidRPr="00834B27">
        <w:rPr>
          <w:rFonts w:ascii="Calibri" w:hAnsi="Calibri" w:cs="Calibri"/>
          <w:b/>
          <w:bCs/>
          <w:lang w:val="ro-RO"/>
        </w:rPr>
        <w:t xml:space="preserve">CAS </w:t>
      </w:r>
    </w:p>
    <w:p w14:paraId="7EF92244" w14:textId="3912B69C" w:rsidR="00777E0E" w:rsidRPr="00834B27" w:rsidRDefault="00777E0E" w:rsidP="00B91E74">
      <w:pPr>
        <w:spacing w:line="276" w:lineRule="auto"/>
        <w:jc w:val="both"/>
        <w:rPr>
          <w:rFonts w:ascii="Calibri" w:hAnsi="Calibri" w:cs="Calibri"/>
          <w:lang w:val="ro-RO"/>
        </w:rPr>
      </w:pPr>
      <w:r w:rsidRPr="00834B27">
        <w:rPr>
          <w:rFonts w:ascii="Calibri" w:hAnsi="Calibri" w:cs="Calibri"/>
          <w:lang w:val="ro-RO"/>
        </w:rPr>
        <w:t xml:space="preserve">Nu se </w:t>
      </w:r>
      <w:r w:rsidR="00C56DFC" w:rsidRPr="00834B27">
        <w:rPr>
          <w:rFonts w:ascii="Calibri" w:hAnsi="Calibri" w:cs="Calibri"/>
          <w:lang w:val="ro-RO"/>
        </w:rPr>
        <w:t>datorează</w:t>
      </w:r>
      <w:r w:rsidRPr="00834B27">
        <w:rPr>
          <w:rFonts w:ascii="Calibri" w:hAnsi="Calibri" w:cs="Calibri"/>
          <w:lang w:val="ro-RO"/>
        </w:rPr>
        <w:t xml:space="preserve"> CAS.</w:t>
      </w:r>
    </w:p>
    <w:p w14:paraId="2ECA9D2F" w14:textId="77777777" w:rsidR="005030D8" w:rsidRPr="00834B27" w:rsidRDefault="005030D8" w:rsidP="00B91E74">
      <w:pPr>
        <w:spacing w:line="276" w:lineRule="auto"/>
        <w:jc w:val="both"/>
        <w:rPr>
          <w:rFonts w:ascii="Calibri" w:hAnsi="Calibri" w:cs="Calibri"/>
          <w:lang w:val="ro-RO"/>
        </w:rPr>
      </w:pPr>
    </w:p>
    <w:p w14:paraId="36A478C6" w14:textId="38179F14" w:rsidR="00777E0E" w:rsidRPr="00834B27" w:rsidRDefault="00777E0E" w:rsidP="00B91E74">
      <w:pPr>
        <w:pStyle w:val="Listparagraf"/>
        <w:numPr>
          <w:ilvl w:val="2"/>
          <w:numId w:val="29"/>
        </w:numPr>
        <w:spacing w:line="276" w:lineRule="auto"/>
        <w:contextualSpacing w:val="0"/>
        <w:jc w:val="both"/>
        <w:rPr>
          <w:rFonts w:ascii="Calibri" w:hAnsi="Calibri" w:cs="Calibri"/>
          <w:b/>
          <w:bCs/>
          <w:lang w:val="ro-RO"/>
        </w:rPr>
      </w:pPr>
      <w:r w:rsidRPr="00834B27">
        <w:rPr>
          <w:rFonts w:ascii="Calibri" w:hAnsi="Calibri" w:cs="Calibri"/>
          <w:b/>
          <w:bCs/>
          <w:lang w:val="ro-RO"/>
        </w:rPr>
        <w:t>CASS</w:t>
      </w:r>
    </w:p>
    <w:p w14:paraId="5EBA1753" w14:textId="42BDA236" w:rsidR="00777E0E" w:rsidRPr="00834B27" w:rsidRDefault="00777E0E" w:rsidP="00B91E74">
      <w:pPr>
        <w:spacing w:line="276" w:lineRule="auto"/>
        <w:jc w:val="both"/>
        <w:rPr>
          <w:rFonts w:ascii="Calibri" w:hAnsi="Calibri" w:cs="Calibri"/>
          <w:lang w:val="ro-RO"/>
        </w:rPr>
      </w:pPr>
      <w:r w:rsidRPr="00834B27">
        <w:rPr>
          <w:rFonts w:ascii="Calibri" w:hAnsi="Calibri" w:cs="Calibri"/>
          <w:lang w:val="ro-RO"/>
        </w:rPr>
        <w:t xml:space="preserve">Nu se </w:t>
      </w:r>
      <w:r w:rsidR="00C56DFC" w:rsidRPr="00834B27">
        <w:rPr>
          <w:rFonts w:ascii="Calibri" w:hAnsi="Calibri" w:cs="Calibri"/>
          <w:lang w:val="ro-RO"/>
        </w:rPr>
        <w:t>datorează</w:t>
      </w:r>
      <w:r w:rsidRPr="00834B27">
        <w:rPr>
          <w:rFonts w:ascii="Calibri" w:hAnsi="Calibri" w:cs="Calibri"/>
          <w:lang w:val="ro-RO"/>
        </w:rPr>
        <w:t xml:space="preserve"> CASS.</w:t>
      </w:r>
    </w:p>
    <w:p w14:paraId="51EB5213" w14:textId="77777777" w:rsidR="00A64ADE" w:rsidRPr="00834B27" w:rsidRDefault="00A64ADE" w:rsidP="00B91E74">
      <w:pPr>
        <w:spacing w:line="276" w:lineRule="auto"/>
        <w:jc w:val="both"/>
        <w:rPr>
          <w:rFonts w:ascii="Calibri" w:hAnsi="Calibri" w:cs="Calibri"/>
          <w:lang w:val="ro-RO"/>
        </w:rPr>
      </w:pPr>
    </w:p>
    <w:p w14:paraId="011C40AE" w14:textId="3D9555CB" w:rsidR="00FE15AD" w:rsidRPr="00834B27" w:rsidRDefault="00A64ADE" w:rsidP="009F2FDA">
      <w:pPr>
        <w:pStyle w:val="Listparagraf"/>
        <w:keepNext/>
        <w:numPr>
          <w:ilvl w:val="1"/>
          <w:numId w:val="5"/>
        </w:numPr>
        <w:spacing w:line="276" w:lineRule="auto"/>
        <w:ind w:left="720" w:hanging="720"/>
        <w:contextualSpacing w:val="0"/>
        <w:jc w:val="both"/>
        <w:outlineLvl w:val="1"/>
        <w:rPr>
          <w:rFonts w:ascii="Calibri" w:hAnsi="Calibri" w:cs="Calibri"/>
          <w:b/>
          <w:bCs/>
          <w:lang w:val="ro-RO"/>
        </w:rPr>
      </w:pPr>
      <w:bookmarkStart w:id="11" w:name="_Toc223643880"/>
      <w:r w:rsidRPr="00834B27">
        <w:rPr>
          <w:rFonts w:ascii="Calibri" w:hAnsi="Calibri" w:cs="Calibri"/>
          <w:b/>
          <w:bCs/>
          <w:lang w:val="ro-RO"/>
        </w:rPr>
        <w:t>Venituri din alte surse</w:t>
      </w:r>
      <w:bookmarkEnd w:id="11"/>
    </w:p>
    <w:p w14:paraId="1CF77007" w14:textId="318DE8B7" w:rsidR="00A64ADE" w:rsidRPr="00834B27" w:rsidRDefault="00FF5927" w:rsidP="005030D8">
      <w:pPr>
        <w:pStyle w:val="Listparagraf"/>
        <w:keepNext/>
        <w:numPr>
          <w:ilvl w:val="2"/>
          <w:numId w:val="30"/>
        </w:numPr>
        <w:spacing w:line="276" w:lineRule="auto"/>
        <w:contextualSpacing w:val="0"/>
        <w:jc w:val="both"/>
        <w:rPr>
          <w:rFonts w:ascii="Calibri" w:hAnsi="Calibri" w:cs="Calibri"/>
          <w:b/>
          <w:bCs/>
          <w:lang w:val="ro-RO"/>
        </w:rPr>
      </w:pPr>
      <w:r w:rsidRPr="00834B27">
        <w:rPr>
          <w:rFonts w:ascii="Calibri" w:hAnsi="Calibri" w:cs="Calibri"/>
          <w:b/>
          <w:bCs/>
          <w:lang w:val="ro-RO"/>
        </w:rPr>
        <w:t>IV</w:t>
      </w:r>
    </w:p>
    <w:p w14:paraId="37846C6D" w14:textId="7A5BF026" w:rsidR="0091106C" w:rsidRPr="00834B27" w:rsidRDefault="0091106C" w:rsidP="005030D8">
      <w:pPr>
        <w:keepNext/>
        <w:spacing w:line="276" w:lineRule="auto"/>
        <w:jc w:val="both"/>
        <w:rPr>
          <w:rFonts w:ascii="Calibri" w:hAnsi="Calibri" w:cs="Calibri"/>
          <w:lang w:val="ro-RO"/>
        </w:rPr>
      </w:pPr>
      <w:r w:rsidRPr="00834B27">
        <w:rPr>
          <w:rFonts w:ascii="Calibri" w:hAnsi="Calibri" w:cs="Calibri"/>
          <w:b/>
          <w:bCs/>
          <w:u w:val="single"/>
          <w:lang w:val="ro-RO"/>
        </w:rPr>
        <w:t>Cota de IV:</w:t>
      </w:r>
      <w:r w:rsidRPr="00834B27">
        <w:rPr>
          <w:rFonts w:ascii="Calibri" w:hAnsi="Calibri" w:cs="Calibri"/>
          <w:lang w:val="ro-RO"/>
        </w:rPr>
        <w:t xml:space="preserve"> 10%. Pentru </w:t>
      </w:r>
      <w:r w:rsidR="00E469EB" w:rsidRPr="00834B27">
        <w:rPr>
          <w:rFonts w:ascii="Calibri" w:hAnsi="Calibri" w:cs="Calibri"/>
          <w:lang w:val="ro-RO"/>
        </w:rPr>
        <w:t>câștigurile</w:t>
      </w:r>
      <w:r w:rsidRPr="00834B27">
        <w:rPr>
          <w:rFonts w:ascii="Calibri" w:hAnsi="Calibri" w:cs="Calibri"/>
          <w:lang w:val="ro-RO"/>
        </w:rPr>
        <w:t xml:space="preserve"> din </w:t>
      </w:r>
      <w:r w:rsidR="00E469EB" w:rsidRPr="00834B27">
        <w:rPr>
          <w:rFonts w:ascii="Calibri" w:hAnsi="Calibri" w:cs="Calibri"/>
          <w:lang w:val="ro-RO"/>
        </w:rPr>
        <w:t>criptomonede</w:t>
      </w:r>
      <w:r w:rsidR="00026039" w:rsidRPr="00834B27">
        <w:rPr>
          <w:rFonts w:ascii="Calibri" w:hAnsi="Calibri" w:cs="Calibri"/>
          <w:lang w:val="ro-RO"/>
        </w:rPr>
        <w:t xml:space="preserve"> </w:t>
      </w:r>
      <w:r w:rsidR="006E6D4D" w:rsidRPr="00834B27">
        <w:rPr>
          <w:rFonts w:ascii="Calibri" w:hAnsi="Calibri" w:cs="Calibri"/>
          <w:lang w:val="ro-RO"/>
        </w:rPr>
        <w:t>și pentru cheltuielile făcute de persoana juridică</w:t>
      </w:r>
      <w:r w:rsidR="00977828" w:rsidRPr="00834B27">
        <w:rPr>
          <w:rFonts w:ascii="Calibri" w:hAnsi="Calibri" w:cs="Calibri"/>
          <w:lang w:val="ro-RO"/>
        </w:rPr>
        <w:t xml:space="preserve"> în favoarea asociaților/acționarilor</w:t>
      </w:r>
      <w:r w:rsidRPr="00834B27">
        <w:rPr>
          <w:rFonts w:ascii="Calibri" w:hAnsi="Calibri" w:cs="Calibri"/>
          <w:lang w:val="ro-RO"/>
        </w:rPr>
        <w:t xml:space="preserve">, </w:t>
      </w:r>
      <w:r w:rsidR="006A1B8B" w:rsidRPr="00834B27">
        <w:rPr>
          <w:rFonts w:ascii="Calibri" w:hAnsi="Calibri" w:cs="Calibri"/>
          <w:lang w:val="ro-RO"/>
        </w:rPr>
        <w:t xml:space="preserve">cota de IV </w:t>
      </w:r>
      <w:r w:rsidR="00E32A7C" w:rsidRPr="00834B27">
        <w:rPr>
          <w:rFonts w:ascii="Calibri" w:hAnsi="Calibri" w:cs="Calibri"/>
          <w:lang w:val="ro-RO"/>
        </w:rPr>
        <w:t xml:space="preserve">este </w:t>
      </w:r>
      <w:r w:rsidR="00285F1A" w:rsidRPr="00834B27">
        <w:rPr>
          <w:rFonts w:ascii="Calibri" w:hAnsi="Calibri" w:cs="Calibri"/>
          <w:lang w:val="ro-RO"/>
        </w:rPr>
        <w:t>de</w:t>
      </w:r>
      <w:r w:rsidR="006A1B8B" w:rsidRPr="00834B27">
        <w:rPr>
          <w:rFonts w:ascii="Calibri" w:hAnsi="Calibri" w:cs="Calibri"/>
          <w:lang w:val="ro-RO"/>
        </w:rPr>
        <w:t xml:space="preserve"> 16%, din 20</w:t>
      </w:r>
      <w:r w:rsidR="00D849A8" w:rsidRPr="00834B27">
        <w:rPr>
          <w:rFonts w:ascii="Calibri" w:hAnsi="Calibri" w:cs="Calibri"/>
          <w:lang w:val="ro-RO"/>
        </w:rPr>
        <w:t>26</w:t>
      </w:r>
      <w:r w:rsidR="006A1B8B" w:rsidRPr="00834B27">
        <w:rPr>
          <w:rFonts w:ascii="Calibri" w:hAnsi="Calibri" w:cs="Calibri"/>
          <w:lang w:val="ro-RO"/>
        </w:rPr>
        <w:t>;</w:t>
      </w:r>
    </w:p>
    <w:p w14:paraId="6E6C75FD" w14:textId="09138CD7" w:rsidR="006A1B8B" w:rsidRPr="00834B27" w:rsidRDefault="006A1B8B" w:rsidP="005030D8">
      <w:pPr>
        <w:keepNext/>
        <w:spacing w:line="276" w:lineRule="auto"/>
        <w:jc w:val="both"/>
        <w:rPr>
          <w:rFonts w:ascii="Calibri" w:hAnsi="Calibri" w:cs="Calibri"/>
          <w:lang w:val="ro-RO"/>
        </w:rPr>
      </w:pPr>
      <w:r w:rsidRPr="00834B27">
        <w:rPr>
          <w:rFonts w:ascii="Calibri" w:hAnsi="Calibri" w:cs="Calibri"/>
          <w:b/>
          <w:bCs/>
          <w:u w:val="single"/>
          <w:lang w:val="ro-RO"/>
        </w:rPr>
        <w:t>Baza de calcul:</w:t>
      </w:r>
      <w:r w:rsidRPr="00834B27">
        <w:rPr>
          <w:rFonts w:ascii="Calibri" w:hAnsi="Calibri" w:cs="Calibri"/>
          <w:lang w:val="ro-RO"/>
        </w:rPr>
        <w:t xml:space="preserve"> </w:t>
      </w:r>
      <w:r w:rsidR="00341EE0" w:rsidRPr="00834B27">
        <w:rPr>
          <w:rFonts w:ascii="Calibri" w:hAnsi="Calibri" w:cs="Calibri"/>
          <w:lang w:val="ro-RO"/>
        </w:rPr>
        <w:t xml:space="preserve">venitul brut, </w:t>
      </w:r>
      <w:r w:rsidR="00E469EB" w:rsidRPr="00834B27">
        <w:rPr>
          <w:rFonts w:ascii="Calibri" w:hAnsi="Calibri" w:cs="Calibri"/>
          <w:lang w:val="ro-RO"/>
        </w:rPr>
        <w:t>î</w:t>
      </w:r>
      <w:r w:rsidR="00341EE0" w:rsidRPr="00834B27">
        <w:rPr>
          <w:rFonts w:ascii="Calibri" w:hAnsi="Calibri" w:cs="Calibri"/>
          <w:lang w:val="ro-RO"/>
        </w:rPr>
        <w:t xml:space="preserve">n cazul veniturilor </w:t>
      </w:r>
      <w:r w:rsidR="00E469EB" w:rsidRPr="00834B27">
        <w:rPr>
          <w:rFonts w:ascii="Calibri" w:hAnsi="Calibri" w:cs="Calibri"/>
          <w:lang w:val="ro-RO"/>
        </w:rPr>
        <w:t>men</w:t>
      </w:r>
      <w:r w:rsidR="00D77C4B" w:rsidRPr="00834B27">
        <w:rPr>
          <w:rFonts w:ascii="Calibri" w:hAnsi="Calibri" w:cs="Calibri"/>
          <w:lang w:val="ro-RO"/>
        </w:rPr>
        <w:t>ț</w:t>
      </w:r>
      <w:r w:rsidR="00E469EB" w:rsidRPr="00834B27">
        <w:rPr>
          <w:rFonts w:ascii="Calibri" w:hAnsi="Calibri" w:cs="Calibri"/>
          <w:lang w:val="ro-RO"/>
        </w:rPr>
        <w:t>ionate</w:t>
      </w:r>
      <w:r w:rsidR="00341EE0" w:rsidRPr="00834B27">
        <w:rPr>
          <w:rFonts w:ascii="Calibri" w:hAnsi="Calibri" w:cs="Calibri"/>
          <w:lang w:val="ro-RO"/>
        </w:rPr>
        <w:t xml:space="preserve"> la art. </w:t>
      </w:r>
      <w:r w:rsidR="000060EF" w:rsidRPr="00834B27">
        <w:rPr>
          <w:rFonts w:ascii="Calibri" w:hAnsi="Calibri" w:cs="Calibri"/>
          <w:lang w:val="ro-RO"/>
        </w:rPr>
        <w:t xml:space="preserve">114 din CF, cu </w:t>
      </w:r>
      <w:r w:rsidR="00E469EB" w:rsidRPr="00834B27">
        <w:rPr>
          <w:rFonts w:ascii="Calibri" w:hAnsi="Calibri" w:cs="Calibri"/>
          <w:lang w:val="ro-RO"/>
        </w:rPr>
        <w:t>excep</w:t>
      </w:r>
      <w:r w:rsidR="00D77C4B" w:rsidRPr="00834B27">
        <w:rPr>
          <w:rFonts w:ascii="Calibri" w:hAnsi="Calibri" w:cs="Calibri"/>
          <w:lang w:val="ro-RO"/>
        </w:rPr>
        <w:t>ț</w:t>
      </w:r>
      <w:r w:rsidR="00E469EB" w:rsidRPr="00834B27">
        <w:rPr>
          <w:rFonts w:ascii="Calibri" w:hAnsi="Calibri" w:cs="Calibri"/>
          <w:lang w:val="ro-RO"/>
        </w:rPr>
        <w:t>ia</w:t>
      </w:r>
      <w:r w:rsidR="000060EF" w:rsidRPr="00834B27">
        <w:rPr>
          <w:rFonts w:ascii="Calibri" w:hAnsi="Calibri" w:cs="Calibri"/>
          <w:lang w:val="ro-RO"/>
        </w:rPr>
        <w:t xml:space="preserve"> </w:t>
      </w:r>
      <w:r w:rsidR="00E469EB" w:rsidRPr="00834B27">
        <w:rPr>
          <w:rFonts w:ascii="Calibri" w:hAnsi="Calibri" w:cs="Calibri"/>
          <w:lang w:val="ro-RO"/>
        </w:rPr>
        <w:t>câștigurilor</w:t>
      </w:r>
      <w:r w:rsidR="000060EF" w:rsidRPr="00834B27">
        <w:rPr>
          <w:rFonts w:ascii="Calibri" w:hAnsi="Calibri" w:cs="Calibri"/>
          <w:lang w:val="ro-RO"/>
        </w:rPr>
        <w:t xml:space="preserve"> din transferul de moned</w:t>
      </w:r>
      <w:r w:rsidR="00E469EB" w:rsidRPr="00834B27">
        <w:rPr>
          <w:rFonts w:ascii="Calibri" w:hAnsi="Calibri" w:cs="Calibri"/>
          <w:lang w:val="ro-RO"/>
        </w:rPr>
        <w:t>ă</w:t>
      </w:r>
      <w:r w:rsidR="000060EF" w:rsidRPr="00834B27">
        <w:rPr>
          <w:rFonts w:ascii="Calibri" w:hAnsi="Calibri" w:cs="Calibri"/>
          <w:lang w:val="ro-RO"/>
        </w:rPr>
        <w:t xml:space="preserve"> virtual</w:t>
      </w:r>
      <w:r w:rsidR="00E469EB" w:rsidRPr="00834B27">
        <w:rPr>
          <w:rFonts w:ascii="Calibri" w:hAnsi="Calibri" w:cs="Calibri"/>
          <w:lang w:val="ro-RO"/>
        </w:rPr>
        <w:t>ă</w:t>
      </w:r>
      <w:r w:rsidR="000060EF" w:rsidRPr="00834B27">
        <w:rPr>
          <w:rFonts w:ascii="Calibri" w:hAnsi="Calibri" w:cs="Calibri"/>
          <w:lang w:val="ro-RO"/>
        </w:rPr>
        <w:t xml:space="preserve"> (criptomonede)</w:t>
      </w:r>
      <w:r w:rsidR="008424F5" w:rsidRPr="00834B27">
        <w:rPr>
          <w:rFonts w:ascii="Calibri" w:hAnsi="Calibri" w:cs="Calibri"/>
          <w:lang w:val="ro-RO"/>
        </w:rPr>
        <w:t xml:space="preserve"> și a veniturilor din cesionarea creanțelor</w:t>
      </w:r>
      <w:r w:rsidR="00DE7AA5" w:rsidRPr="00834B27">
        <w:rPr>
          <w:rFonts w:ascii="Calibri" w:hAnsi="Calibri" w:cs="Calibri"/>
          <w:lang w:val="ro-RO"/>
        </w:rPr>
        <w:t xml:space="preserve">, unde venitul impozabil este determinat ca </w:t>
      </w:r>
      <w:r w:rsidR="00E469EB" w:rsidRPr="00834B27">
        <w:rPr>
          <w:rFonts w:ascii="Calibri" w:hAnsi="Calibri" w:cs="Calibri"/>
          <w:lang w:val="ro-RO"/>
        </w:rPr>
        <w:t>diferen</w:t>
      </w:r>
      <w:r w:rsidR="00D77C4B" w:rsidRPr="00834B27">
        <w:rPr>
          <w:rFonts w:ascii="Calibri" w:hAnsi="Calibri" w:cs="Calibri"/>
          <w:lang w:val="ro-RO"/>
        </w:rPr>
        <w:t>ț</w:t>
      </w:r>
      <w:r w:rsidR="00E469EB" w:rsidRPr="00834B27">
        <w:rPr>
          <w:rFonts w:ascii="Calibri" w:hAnsi="Calibri" w:cs="Calibri"/>
          <w:lang w:val="ro-RO"/>
        </w:rPr>
        <w:t>ă</w:t>
      </w:r>
      <w:r w:rsidR="00DE7AA5" w:rsidRPr="00834B27">
        <w:rPr>
          <w:rFonts w:ascii="Calibri" w:hAnsi="Calibri" w:cs="Calibri"/>
          <w:lang w:val="ro-RO"/>
        </w:rPr>
        <w:t xml:space="preserve"> </w:t>
      </w:r>
      <w:r w:rsidR="00E469EB" w:rsidRPr="00834B27">
        <w:rPr>
          <w:rFonts w:ascii="Calibri" w:hAnsi="Calibri" w:cs="Calibri"/>
          <w:lang w:val="ro-RO"/>
        </w:rPr>
        <w:t>î</w:t>
      </w:r>
      <w:r w:rsidR="00DE7AA5" w:rsidRPr="00834B27">
        <w:rPr>
          <w:rFonts w:ascii="Calibri" w:hAnsi="Calibri" w:cs="Calibri"/>
          <w:lang w:val="ro-RO"/>
        </w:rPr>
        <w:t xml:space="preserve">ntre </w:t>
      </w:r>
      <w:r w:rsidR="00E469EB" w:rsidRPr="00834B27">
        <w:rPr>
          <w:rFonts w:ascii="Calibri" w:hAnsi="Calibri" w:cs="Calibri"/>
          <w:lang w:val="ro-RO"/>
        </w:rPr>
        <w:t>pre</w:t>
      </w:r>
      <w:r w:rsidR="00D77C4B" w:rsidRPr="00834B27">
        <w:rPr>
          <w:rFonts w:ascii="Calibri" w:hAnsi="Calibri" w:cs="Calibri"/>
          <w:lang w:val="ro-RO"/>
        </w:rPr>
        <w:t>ț</w:t>
      </w:r>
      <w:r w:rsidR="00E469EB" w:rsidRPr="00834B27">
        <w:rPr>
          <w:rFonts w:ascii="Calibri" w:hAnsi="Calibri" w:cs="Calibri"/>
          <w:lang w:val="ro-RO"/>
        </w:rPr>
        <w:t>ul</w:t>
      </w:r>
      <w:r w:rsidR="00DE7AA5" w:rsidRPr="00834B27">
        <w:rPr>
          <w:rFonts w:ascii="Calibri" w:hAnsi="Calibri" w:cs="Calibri"/>
          <w:lang w:val="ro-RO"/>
        </w:rPr>
        <w:t xml:space="preserve"> de </w:t>
      </w:r>
      <w:r w:rsidR="00E469EB" w:rsidRPr="00834B27">
        <w:rPr>
          <w:rFonts w:ascii="Calibri" w:hAnsi="Calibri" w:cs="Calibri"/>
          <w:lang w:val="ro-RO"/>
        </w:rPr>
        <w:t>achizi</w:t>
      </w:r>
      <w:r w:rsidR="00D77C4B" w:rsidRPr="00834B27">
        <w:rPr>
          <w:rFonts w:ascii="Calibri" w:hAnsi="Calibri" w:cs="Calibri"/>
          <w:lang w:val="ro-RO"/>
        </w:rPr>
        <w:t>ț</w:t>
      </w:r>
      <w:r w:rsidR="00E469EB" w:rsidRPr="00834B27">
        <w:rPr>
          <w:rFonts w:ascii="Calibri" w:hAnsi="Calibri" w:cs="Calibri"/>
          <w:lang w:val="ro-RO"/>
        </w:rPr>
        <w:t>ie</w:t>
      </w:r>
      <w:r w:rsidR="00DE7AA5" w:rsidRPr="00834B27">
        <w:rPr>
          <w:rFonts w:ascii="Calibri" w:hAnsi="Calibri" w:cs="Calibri"/>
          <w:lang w:val="ro-RO"/>
        </w:rPr>
        <w:t xml:space="preserve"> </w:t>
      </w:r>
      <w:r w:rsidR="00E469EB" w:rsidRPr="00834B27">
        <w:rPr>
          <w:rFonts w:ascii="Calibri" w:hAnsi="Calibri" w:cs="Calibri"/>
          <w:lang w:val="ro-RO"/>
        </w:rPr>
        <w:t>ș</w:t>
      </w:r>
      <w:r w:rsidR="00DE7AA5" w:rsidRPr="00834B27">
        <w:rPr>
          <w:rFonts w:ascii="Calibri" w:hAnsi="Calibri" w:cs="Calibri"/>
          <w:lang w:val="ro-RO"/>
        </w:rPr>
        <w:t xml:space="preserve">i </w:t>
      </w:r>
      <w:r w:rsidR="00E469EB" w:rsidRPr="00834B27">
        <w:rPr>
          <w:rFonts w:ascii="Calibri" w:hAnsi="Calibri" w:cs="Calibri"/>
          <w:lang w:val="ro-RO"/>
        </w:rPr>
        <w:t>pre</w:t>
      </w:r>
      <w:r w:rsidR="00D77C4B" w:rsidRPr="00834B27">
        <w:rPr>
          <w:rFonts w:ascii="Calibri" w:hAnsi="Calibri" w:cs="Calibri"/>
          <w:lang w:val="ro-RO"/>
        </w:rPr>
        <w:t>ț</w:t>
      </w:r>
      <w:r w:rsidR="00E469EB" w:rsidRPr="00834B27">
        <w:rPr>
          <w:rFonts w:ascii="Calibri" w:hAnsi="Calibri" w:cs="Calibri"/>
          <w:lang w:val="ro-RO"/>
        </w:rPr>
        <w:t>ul</w:t>
      </w:r>
      <w:r w:rsidR="00DE7AA5" w:rsidRPr="00834B27">
        <w:rPr>
          <w:rFonts w:ascii="Calibri" w:hAnsi="Calibri" w:cs="Calibri"/>
          <w:lang w:val="ro-RO"/>
        </w:rPr>
        <w:t xml:space="preserve"> de </w:t>
      </w:r>
      <w:r w:rsidR="00E469EB" w:rsidRPr="00834B27">
        <w:rPr>
          <w:rFonts w:ascii="Calibri" w:hAnsi="Calibri" w:cs="Calibri"/>
          <w:lang w:val="ro-RO"/>
        </w:rPr>
        <w:t>vânzare</w:t>
      </w:r>
      <w:r w:rsidR="00DE7AA5" w:rsidRPr="00834B27">
        <w:rPr>
          <w:rFonts w:ascii="Calibri" w:hAnsi="Calibri" w:cs="Calibri"/>
          <w:lang w:val="ro-RO"/>
        </w:rPr>
        <w:t>;</w:t>
      </w:r>
    </w:p>
    <w:p w14:paraId="64BB3287" w14:textId="748E0C6A" w:rsidR="00DE7AA5" w:rsidRPr="00834B27" w:rsidRDefault="00306FFA" w:rsidP="00B91E74">
      <w:pPr>
        <w:spacing w:line="276" w:lineRule="auto"/>
        <w:jc w:val="both"/>
        <w:rPr>
          <w:rFonts w:ascii="Calibri" w:hAnsi="Calibri" w:cs="Calibri"/>
          <w:lang w:val="ro-RO"/>
        </w:rPr>
      </w:pPr>
      <w:r w:rsidRPr="00834B27">
        <w:rPr>
          <w:rFonts w:ascii="Calibri" w:hAnsi="Calibri" w:cs="Calibri"/>
          <w:b/>
          <w:bCs/>
          <w:u w:val="single"/>
          <w:lang w:val="ro-RO"/>
        </w:rPr>
        <w:t>Plata:</w:t>
      </w:r>
      <w:r w:rsidRPr="00834B27">
        <w:rPr>
          <w:rFonts w:ascii="Calibri" w:hAnsi="Calibri" w:cs="Calibri"/>
          <w:lang w:val="ro-RO"/>
        </w:rPr>
        <w:t xml:space="preserve"> fie prin </w:t>
      </w:r>
      <w:r w:rsidR="00E469EB" w:rsidRPr="00834B27">
        <w:rPr>
          <w:rFonts w:ascii="Calibri" w:hAnsi="Calibri" w:cs="Calibri"/>
          <w:lang w:val="ro-RO"/>
        </w:rPr>
        <w:t>re</w:t>
      </w:r>
      <w:r w:rsidR="00D77C4B" w:rsidRPr="00834B27">
        <w:rPr>
          <w:rFonts w:ascii="Calibri" w:hAnsi="Calibri" w:cs="Calibri"/>
          <w:lang w:val="ro-RO"/>
        </w:rPr>
        <w:t>ț</w:t>
      </w:r>
      <w:r w:rsidR="00E469EB" w:rsidRPr="00834B27">
        <w:rPr>
          <w:rFonts w:ascii="Calibri" w:hAnsi="Calibri" w:cs="Calibri"/>
          <w:lang w:val="ro-RO"/>
        </w:rPr>
        <w:t>inere</w:t>
      </w:r>
      <w:r w:rsidRPr="00834B27">
        <w:rPr>
          <w:rFonts w:ascii="Calibri" w:hAnsi="Calibri" w:cs="Calibri"/>
          <w:lang w:val="ro-RO"/>
        </w:rPr>
        <w:t xml:space="preserve"> la surs</w:t>
      </w:r>
      <w:r w:rsidR="005C0924" w:rsidRPr="00834B27">
        <w:rPr>
          <w:rFonts w:ascii="Calibri" w:hAnsi="Calibri" w:cs="Calibri"/>
          <w:lang w:val="ro-RO"/>
        </w:rPr>
        <w:t>ă</w:t>
      </w:r>
      <w:r w:rsidRPr="00834B27">
        <w:rPr>
          <w:rFonts w:ascii="Calibri" w:hAnsi="Calibri" w:cs="Calibri"/>
          <w:lang w:val="ro-RO"/>
        </w:rPr>
        <w:t xml:space="preserve"> de </w:t>
      </w:r>
      <w:r w:rsidR="00E469EB" w:rsidRPr="00834B27">
        <w:rPr>
          <w:rFonts w:ascii="Calibri" w:hAnsi="Calibri" w:cs="Calibri"/>
          <w:lang w:val="ro-RO"/>
        </w:rPr>
        <w:t>către</w:t>
      </w:r>
      <w:r w:rsidRPr="00834B27">
        <w:rPr>
          <w:rFonts w:ascii="Calibri" w:hAnsi="Calibri" w:cs="Calibri"/>
          <w:lang w:val="ro-RO"/>
        </w:rPr>
        <w:t xml:space="preserve"> </w:t>
      </w:r>
      <w:r w:rsidR="00E469EB" w:rsidRPr="00834B27">
        <w:rPr>
          <w:rFonts w:ascii="Calibri" w:hAnsi="Calibri" w:cs="Calibri"/>
          <w:lang w:val="ro-RO"/>
        </w:rPr>
        <w:t>plătitor</w:t>
      </w:r>
      <w:r w:rsidRPr="00834B27">
        <w:rPr>
          <w:rFonts w:ascii="Calibri" w:hAnsi="Calibri" w:cs="Calibri"/>
          <w:lang w:val="ro-RO"/>
        </w:rPr>
        <w:t xml:space="preserve"> </w:t>
      </w:r>
      <w:r w:rsidR="00E469EB" w:rsidRPr="00834B27">
        <w:rPr>
          <w:rFonts w:ascii="Calibri" w:hAnsi="Calibri" w:cs="Calibri"/>
          <w:lang w:val="ro-RO"/>
        </w:rPr>
        <w:t>ș</w:t>
      </w:r>
      <w:r w:rsidRPr="00834B27">
        <w:rPr>
          <w:rFonts w:ascii="Calibri" w:hAnsi="Calibri" w:cs="Calibri"/>
          <w:lang w:val="ro-RO"/>
        </w:rPr>
        <w:t>i plata la buget p</w:t>
      </w:r>
      <w:r w:rsidR="00E469EB" w:rsidRPr="00834B27">
        <w:rPr>
          <w:rFonts w:ascii="Calibri" w:hAnsi="Calibri" w:cs="Calibri"/>
          <w:lang w:val="ro-RO"/>
        </w:rPr>
        <w:t>â</w:t>
      </w:r>
      <w:r w:rsidRPr="00834B27">
        <w:rPr>
          <w:rFonts w:ascii="Calibri" w:hAnsi="Calibri" w:cs="Calibri"/>
          <w:lang w:val="ro-RO"/>
        </w:rPr>
        <w:t>n</w:t>
      </w:r>
      <w:r w:rsidR="00E469EB" w:rsidRPr="00834B27">
        <w:rPr>
          <w:rFonts w:ascii="Calibri" w:hAnsi="Calibri" w:cs="Calibri"/>
          <w:lang w:val="ro-RO"/>
        </w:rPr>
        <w:t>ă</w:t>
      </w:r>
      <w:r w:rsidRPr="00834B27">
        <w:rPr>
          <w:rFonts w:ascii="Calibri" w:hAnsi="Calibri" w:cs="Calibri"/>
          <w:lang w:val="ro-RO"/>
        </w:rPr>
        <w:t xml:space="preserve"> cel mai </w:t>
      </w:r>
      <w:r w:rsidR="00E469EB" w:rsidRPr="00834B27">
        <w:rPr>
          <w:rFonts w:ascii="Calibri" w:hAnsi="Calibri" w:cs="Calibri"/>
          <w:lang w:val="ro-RO"/>
        </w:rPr>
        <w:t>târziu</w:t>
      </w:r>
      <w:r w:rsidRPr="00834B27">
        <w:rPr>
          <w:rFonts w:ascii="Calibri" w:hAnsi="Calibri" w:cs="Calibri"/>
          <w:lang w:val="ro-RO"/>
        </w:rPr>
        <w:t xml:space="preserve"> </w:t>
      </w:r>
      <w:r w:rsidR="005C0924" w:rsidRPr="00834B27">
        <w:rPr>
          <w:rFonts w:ascii="Calibri" w:hAnsi="Calibri" w:cs="Calibri"/>
          <w:lang w:val="ro-RO"/>
        </w:rPr>
        <w:t xml:space="preserve">pe data de </w:t>
      </w:r>
      <w:r w:rsidRPr="00834B27">
        <w:rPr>
          <w:rFonts w:ascii="Calibri" w:hAnsi="Calibri" w:cs="Calibri"/>
          <w:lang w:val="ro-RO"/>
        </w:rPr>
        <w:t xml:space="preserve">25 a lunii </w:t>
      </w:r>
      <w:r w:rsidR="00E469EB" w:rsidRPr="00834B27">
        <w:rPr>
          <w:rFonts w:ascii="Calibri" w:hAnsi="Calibri" w:cs="Calibri"/>
          <w:lang w:val="ro-RO"/>
        </w:rPr>
        <w:t>următoare</w:t>
      </w:r>
      <w:r w:rsidRPr="00834B27">
        <w:rPr>
          <w:rFonts w:ascii="Calibri" w:hAnsi="Calibri" w:cs="Calibri"/>
          <w:lang w:val="ro-RO"/>
        </w:rPr>
        <w:t xml:space="preserve"> </w:t>
      </w:r>
      <w:r w:rsidR="00E469EB" w:rsidRPr="00834B27">
        <w:rPr>
          <w:rFonts w:ascii="Calibri" w:hAnsi="Calibri" w:cs="Calibri"/>
          <w:lang w:val="ro-RO"/>
        </w:rPr>
        <w:t>re</w:t>
      </w:r>
      <w:r w:rsidR="00D77C4B" w:rsidRPr="00834B27">
        <w:rPr>
          <w:rFonts w:ascii="Calibri" w:hAnsi="Calibri" w:cs="Calibri"/>
          <w:lang w:val="ro-RO"/>
        </w:rPr>
        <w:t>ț</w:t>
      </w:r>
      <w:r w:rsidR="00E469EB" w:rsidRPr="00834B27">
        <w:rPr>
          <w:rFonts w:ascii="Calibri" w:hAnsi="Calibri" w:cs="Calibri"/>
          <w:lang w:val="ro-RO"/>
        </w:rPr>
        <w:t>inerii</w:t>
      </w:r>
      <w:r w:rsidR="001962ED" w:rsidRPr="00834B27">
        <w:rPr>
          <w:rFonts w:ascii="Calibri" w:hAnsi="Calibri" w:cs="Calibri"/>
          <w:lang w:val="ro-RO"/>
        </w:rPr>
        <w:t>, fie (</w:t>
      </w:r>
      <w:r w:rsidR="00E469EB" w:rsidRPr="00834B27">
        <w:rPr>
          <w:rFonts w:ascii="Calibri" w:hAnsi="Calibri" w:cs="Calibri"/>
          <w:lang w:val="ro-RO"/>
        </w:rPr>
        <w:t>î</w:t>
      </w:r>
      <w:r w:rsidR="001962ED" w:rsidRPr="00834B27">
        <w:rPr>
          <w:rFonts w:ascii="Calibri" w:hAnsi="Calibri" w:cs="Calibri"/>
          <w:lang w:val="ro-RO"/>
        </w:rPr>
        <w:t xml:space="preserve">n cazul </w:t>
      </w:r>
      <w:r w:rsidR="00E469EB" w:rsidRPr="00834B27">
        <w:rPr>
          <w:rFonts w:ascii="Calibri" w:hAnsi="Calibri" w:cs="Calibri"/>
          <w:lang w:val="ro-RO"/>
        </w:rPr>
        <w:t>câștigurilor</w:t>
      </w:r>
      <w:r w:rsidR="001962ED" w:rsidRPr="00834B27">
        <w:rPr>
          <w:rFonts w:ascii="Calibri" w:hAnsi="Calibri" w:cs="Calibri"/>
          <w:lang w:val="ro-RO"/>
        </w:rPr>
        <w:t xml:space="preserve"> din criptomonede) de </w:t>
      </w:r>
      <w:r w:rsidR="00E469EB" w:rsidRPr="00834B27">
        <w:rPr>
          <w:rFonts w:ascii="Calibri" w:hAnsi="Calibri" w:cs="Calibri"/>
          <w:lang w:val="ro-RO"/>
        </w:rPr>
        <w:t>către</w:t>
      </w:r>
      <w:r w:rsidR="001962ED" w:rsidRPr="00834B27">
        <w:rPr>
          <w:rFonts w:ascii="Calibri" w:hAnsi="Calibri" w:cs="Calibri"/>
          <w:lang w:val="ro-RO"/>
        </w:rPr>
        <w:t xml:space="preserve"> contribuabil, cel mai </w:t>
      </w:r>
      <w:r w:rsidR="00E469EB" w:rsidRPr="00834B27">
        <w:rPr>
          <w:rFonts w:ascii="Calibri" w:hAnsi="Calibri" w:cs="Calibri"/>
          <w:lang w:val="ro-RO"/>
        </w:rPr>
        <w:t>târziu</w:t>
      </w:r>
      <w:r w:rsidR="001962ED" w:rsidRPr="00834B27">
        <w:rPr>
          <w:rFonts w:ascii="Calibri" w:hAnsi="Calibri" w:cs="Calibri"/>
          <w:lang w:val="ro-RO"/>
        </w:rPr>
        <w:t xml:space="preserve"> la data depunerii D</w:t>
      </w:r>
      <w:r w:rsidR="0000373D" w:rsidRPr="00834B27">
        <w:rPr>
          <w:rFonts w:ascii="Calibri" w:hAnsi="Calibri" w:cs="Calibri"/>
          <w:lang w:val="ro-RO"/>
        </w:rPr>
        <w:t>212.</w:t>
      </w:r>
    </w:p>
    <w:p w14:paraId="72AF9DA1" w14:textId="77777777" w:rsidR="00E469EB" w:rsidRPr="00834B27" w:rsidRDefault="00E469EB" w:rsidP="00B91E74">
      <w:pPr>
        <w:spacing w:line="276" w:lineRule="auto"/>
        <w:jc w:val="both"/>
        <w:rPr>
          <w:rFonts w:ascii="Calibri" w:hAnsi="Calibri" w:cs="Calibri"/>
          <w:lang w:val="ro-RO"/>
        </w:rPr>
      </w:pPr>
    </w:p>
    <w:p w14:paraId="786220B7" w14:textId="5A343801" w:rsidR="0000373D" w:rsidRPr="00834B27" w:rsidRDefault="0000373D" w:rsidP="00B91E74">
      <w:pPr>
        <w:spacing w:line="276" w:lineRule="auto"/>
        <w:jc w:val="both"/>
        <w:rPr>
          <w:rFonts w:ascii="Calibri" w:hAnsi="Calibri" w:cs="Calibri"/>
          <w:b/>
          <w:bCs/>
          <w:i/>
          <w:iCs/>
          <w:lang w:val="ro-RO"/>
        </w:rPr>
      </w:pPr>
      <w:r w:rsidRPr="00834B27">
        <w:rPr>
          <w:rFonts w:ascii="Calibri" w:hAnsi="Calibri" w:cs="Calibri"/>
          <w:b/>
          <w:bCs/>
          <w:i/>
          <w:iCs/>
          <w:lang w:val="ro-RO"/>
        </w:rPr>
        <w:t>Scurt istoric</w:t>
      </w:r>
    </w:p>
    <w:p w14:paraId="08B1EBB3" w14:textId="13F27E28" w:rsidR="0000373D" w:rsidRPr="00834B27" w:rsidRDefault="00095E83" w:rsidP="00B91E74">
      <w:pPr>
        <w:spacing w:line="276" w:lineRule="auto"/>
        <w:jc w:val="both"/>
        <w:rPr>
          <w:rFonts w:ascii="Calibri" w:hAnsi="Calibri" w:cs="Calibri"/>
          <w:i/>
          <w:iCs/>
          <w:lang w:val="ro-RO"/>
        </w:rPr>
      </w:pPr>
      <w:r w:rsidRPr="00834B27">
        <w:rPr>
          <w:rFonts w:ascii="Calibri" w:hAnsi="Calibri" w:cs="Calibri"/>
          <w:i/>
          <w:iCs/>
          <w:lang w:val="ro-RO"/>
        </w:rPr>
        <w:t xml:space="preserve">Cheltuielile </w:t>
      </w:r>
      <w:r w:rsidR="00E469EB" w:rsidRPr="00834B27">
        <w:rPr>
          <w:rFonts w:ascii="Calibri" w:hAnsi="Calibri" w:cs="Calibri"/>
          <w:i/>
          <w:iCs/>
          <w:lang w:val="ro-RO"/>
        </w:rPr>
        <w:t>făcute</w:t>
      </w:r>
      <w:r w:rsidRPr="00834B27">
        <w:rPr>
          <w:rFonts w:ascii="Calibri" w:hAnsi="Calibri" w:cs="Calibri"/>
          <w:i/>
          <w:iCs/>
          <w:lang w:val="ro-RO"/>
        </w:rPr>
        <w:t xml:space="preserve"> de compani</w:t>
      </w:r>
      <w:r w:rsidR="00D3202F" w:rsidRPr="00834B27">
        <w:rPr>
          <w:rFonts w:ascii="Calibri" w:hAnsi="Calibri" w:cs="Calibri"/>
          <w:i/>
          <w:iCs/>
          <w:lang w:val="ro-RO"/>
        </w:rPr>
        <w:t>e</w:t>
      </w:r>
      <w:r w:rsidRPr="00834B27">
        <w:rPr>
          <w:rFonts w:ascii="Calibri" w:hAnsi="Calibri" w:cs="Calibri"/>
          <w:i/>
          <w:iCs/>
          <w:lang w:val="ro-RO"/>
        </w:rPr>
        <w:t xml:space="preserve"> </w:t>
      </w:r>
      <w:r w:rsidR="00E469EB" w:rsidRPr="00834B27">
        <w:rPr>
          <w:rFonts w:ascii="Calibri" w:hAnsi="Calibri" w:cs="Calibri"/>
          <w:i/>
          <w:iCs/>
          <w:lang w:val="ro-RO"/>
        </w:rPr>
        <w:t>î</w:t>
      </w:r>
      <w:r w:rsidRPr="00834B27">
        <w:rPr>
          <w:rFonts w:ascii="Calibri" w:hAnsi="Calibri" w:cs="Calibri"/>
          <w:i/>
          <w:iCs/>
          <w:lang w:val="ro-RO"/>
        </w:rPr>
        <w:t xml:space="preserve">n favoarea </w:t>
      </w:r>
      <w:r w:rsidR="00E469EB" w:rsidRPr="00834B27">
        <w:rPr>
          <w:rFonts w:ascii="Calibri" w:hAnsi="Calibri" w:cs="Calibri"/>
          <w:i/>
          <w:iCs/>
          <w:lang w:val="ro-RO"/>
        </w:rPr>
        <w:t>asocia</w:t>
      </w:r>
      <w:r w:rsidR="00D77C4B" w:rsidRPr="00834B27">
        <w:rPr>
          <w:rFonts w:ascii="Calibri" w:hAnsi="Calibri" w:cs="Calibri"/>
          <w:i/>
          <w:iCs/>
          <w:lang w:val="ro-RO"/>
        </w:rPr>
        <w:t>ț</w:t>
      </w:r>
      <w:r w:rsidR="00E469EB" w:rsidRPr="00834B27">
        <w:rPr>
          <w:rFonts w:ascii="Calibri" w:hAnsi="Calibri" w:cs="Calibri"/>
          <w:i/>
          <w:iCs/>
          <w:lang w:val="ro-RO"/>
        </w:rPr>
        <w:t>ilor</w:t>
      </w:r>
      <w:r w:rsidR="00374520" w:rsidRPr="00834B27">
        <w:rPr>
          <w:rFonts w:ascii="Calibri" w:hAnsi="Calibri" w:cs="Calibri"/>
          <w:i/>
          <w:iCs/>
          <w:lang w:val="ro-RO"/>
        </w:rPr>
        <w:t>/</w:t>
      </w:r>
      <w:r w:rsidR="00E469EB" w:rsidRPr="00834B27">
        <w:rPr>
          <w:rFonts w:ascii="Calibri" w:hAnsi="Calibri" w:cs="Calibri"/>
          <w:i/>
          <w:iCs/>
          <w:lang w:val="ro-RO"/>
        </w:rPr>
        <w:t>ac</w:t>
      </w:r>
      <w:r w:rsidR="00D77C4B" w:rsidRPr="00834B27">
        <w:rPr>
          <w:rFonts w:ascii="Calibri" w:hAnsi="Calibri" w:cs="Calibri"/>
          <w:i/>
          <w:iCs/>
          <w:lang w:val="ro-RO"/>
        </w:rPr>
        <w:t>ț</w:t>
      </w:r>
      <w:r w:rsidR="00E469EB" w:rsidRPr="00834B27">
        <w:rPr>
          <w:rFonts w:ascii="Calibri" w:hAnsi="Calibri" w:cs="Calibri"/>
          <w:i/>
          <w:iCs/>
          <w:lang w:val="ro-RO"/>
        </w:rPr>
        <w:t>ionarilor</w:t>
      </w:r>
      <w:r w:rsidR="00374520" w:rsidRPr="00834B27">
        <w:rPr>
          <w:rFonts w:ascii="Calibri" w:hAnsi="Calibri" w:cs="Calibri"/>
          <w:i/>
          <w:iCs/>
          <w:lang w:val="ro-RO"/>
        </w:rPr>
        <w:t xml:space="preserve">, precum </w:t>
      </w:r>
      <w:r w:rsidR="00E469EB" w:rsidRPr="00834B27">
        <w:rPr>
          <w:rFonts w:ascii="Calibri" w:hAnsi="Calibri" w:cs="Calibri"/>
          <w:i/>
          <w:iCs/>
          <w:lang w:val="ro-RO"/>
        </w:rPr>
        <w:t>ș</w:t>
      </w:r>
      <w:r w:rsidR="00374520" w:rsidRPr="00834B27">
        <w:rPr>
          <w:rFonts w:ascii="Calibri" w:hAnsi="Calibri" w:cs="Calibri"/>
          <w:i/>
          <w:iCs/>
          <w:lang w:val="ro-RO"/>
        </w:rPr>
        <w:t xml:space="preserve">i </w:t>
      </w:r>
      <w:r w:rsidR="00E469EB" w:rsidRPr="00834B27">
        <w:rPr>
          <w:rFonts w:ascii="Calibri" w:hAnsi="Calibri" w:cs="Calibri"/>
          <w:i/>
          <w:iCs/>
          <w:lang w:val="ro-RO"/>
        </w:rPr>
        <w:t>diferen</w:t>
      </w:r>
      <w:r w:rsidR="00D77C4B" w:rsidRPr="00834B27">
        <w:rPr>
          <w:rFonts w:ascii="Calibri" w:hAnsi="Calibri" w:cs="Calibri"/>
          <w:i/>
          <w:iCs/>
          <w:lang w:val="ro-RO"/>
        </w:rPr>
        <w:t>ț</w:t>
      </w:r>
      <w:r w:rsidR="00E469EB" w:rsidRPr="00834B27">
        <w:rPr>
          <w:rFonts w:ascii="Calibri" w:hAnsi="Calibri" w:cs="Calibri"/>
          <w:i/>
          <w:iCs/>
          <w:lang w:val="ro-RO"/>
        </w:rPr>
        <w:t>ele</w:t>
      </w:r>
      <w:r w:rsidR="00374520" w:rsidRPr="00834B27">
        <w:rPr>
          <w:rFonts w:ascii="Calibri" w:hAnsi="Calibri" w:cs="Calibri"/>
          <w:i/>
          <w:iCs/>
          <w:lang w:val="ro-RO"/>
        </w:rPr>
        <w:t xml:space="preserve"> pozitive/negative de </w:t>
      </w:r>
      <w:r w:rsidR="00E469EB" w:rsidRPr="00834B27">
        <w:rPr>
          <w:rFonts w:ascii="Calibri" w:hAnsi="Calibri" w:cs="Calibri"/>
          <w:i/>
          <w:iCs/>
          <w:lang w:val="ro-RO"/>
        </w:rPr>
        <w:t>pre</w:t>
      </w:r>
      <w:r w:rsidR="00D77C4B" w:rsidRPr="00834B27">
        <w:rPr>
          <w:rFonts w:ascii="Calibri" w:hAnsi="Calibri" w:cs="Calibri"/>
          <w:i/>
          <w:iCs/>
          <w:lang w:val="ro-RO"/>
        </w:rPr>
        <w:t>ț</w:t>
      </w:r>
      <w:r w:rsidR="00BA2F59" w:rsidRPr="00834B27">
        <w:rPr>
          <w:rFonts w:ascii="Calibri" w:hAnsi="Calibri" w:cs="Calibri"/>
          <w:i/>
          <w:iCs/>
          <w:lang w:val="ro-RO"/>
        </w:rPr>
        <w:t xml:space="preserve"> pentru </w:t>
      </w:r>
      <w:r w:rsidR="00E469EB" w:rsidRPr="00834B27">
        <w:rPr>
          <w:rFonts w:ascii="Calibri" w:hAnsi="Calibri" w:cs="Calibri"/>
          <w:i/>
          <w:iCs/>
          <w:lang w:val="ro-RO"/>
        </w:rPr>
        <w:t>vânzările</w:t>
      </w:r>
      <w:r w:rsidR="00EE3F0F" w:rsidRPr="00834B27">
        <w:rPr>
          <w:rFonts w:ascii="Calibri" w:hAnsi="Calibri" w:cs="Calibri"/>
          <w:i/>
          <w:iCs/>
          <w:lang w:val="ro-RO"/>
        </w:rPr>
        <w:t>/</w:t>
      </w:r>
      <w:r w:rsidR="00E469EB" w:rsidRPr="00834B27">
        <w:rPr>
          <w:rFonts w:ascii="Calibri" w:hAnsi="Calibri" w:cs="Calibri"/>
          <w:i/>
          <w:iCs/>
          <w:lang w:val="ro-RO"/>
        </w:rPr>
        <w:t>achizi</w:t>
      </w:r>
      <w:r w:rsidR="00D77C4B" w:rsidRPr="00834B27">
        <w:rPr>
          <w:rFonts w:ascii="Calibri" w:hAnsi="Calibri" w:cs="Calibri"/>
          <w:i/>
          <w:iCs/>
          <w:lang w:val="ro-RO"/>
        </w:rPr>
        <w:t>ț</w:t>
      </w:r>
      <w:r w:rsidR="00E469EB" w:rsidRPr="00834B27">
        <w:rPr>
          <w:rFonts w:ascii="Calibri" w:hAnsi="Calibri" w:cs="Calibri"/>
          <w:i/>
          <w:iCs/>
          <w:lang w:val="ro-RO"/>
        </w:rPr>
        <w:t>iile</w:t>
      </w:r>
      <w:r w:rsidR="00EE3F0F" w:rsidRPr="00834B27">
        <w:rPr>
          <w:rFonts w:ascii="Calibri" w:hAnsi="Calibri" w:cs="Calibri"/>
          <w:i/>
          <w:iCs/>
          <w:lang w:val="ro-RO"/>
        </w:rPr>
        <w:t xml:space="preserve"> </w:t>
      </w:r>
      <w:r w:rsidR="00E469EB" w:rsidRPr="00834B27">
        <w:rPr>
          <w:rFonts w:ascii="Calibri" w:hAnsi="Calibri" w:cs="Calibri"/>
          <w:i/>
          <w:iCs/>
          <w:lang w:val="ro-RO"/>
        </w:rPr>
        <w:t>către</w:t>
      </w:r>
      <w:r w:rsidR="0058303F" w:rsidRPr="00834B27">
        <w:rPr>
          <w:rFonts w:ascii="Calibri" w:hAnsi="Calibri" w:cs="Calibri"/>
          <w:i/>
          <w:iCs/>
          <w:lang w:val="ro-RO"/>
        </w:rPr>
        <w:t xml:space="preserve">/de la </w:t>
      </w:r>
      <w:r w:rsidR="00E469EB" w:rsidRPr="00834B27">
        <w:rPr>
          <w:rFonts w:ascii="Calibri" w:hAnsi="Calibri" w:cs="Calibri"/>
          <w:i/>
          <w:iCs/>
          <w:lang w:val="ro-RO"/>
        </w:rPr>
        <w:t>aceștia</w:t>
      </w:r>
      <w:r w:rsidR="0058303F" w:rsidRPr="00834B27">
        <w:rPr>
          <w:rFonts w:ascii="Calibri" w:hAnsi="Calibri" w:cs="Calibri"/>
          <w:i/>
          <w:iCs/>
          <w:lang w:val="ro-RO"/>
        </w:rPr>
        <w:t xml:space="preserve"> au fost p</w:t>
      </w:r>
      <w:r w:rsidR="00E469EB" w:rsidRPr="00834B27">
        <w:rPr>
          <w:rFonts w:ascii="Calibri" w:hAnsi="Calibri" w:cs="Calibri"/>
          <w:i/>
          <w:iCs/>
          <w:lang w:val="ro-RO"/>
        </w:rPr>
        <w:t>â</w:t>
      </w:r>
      <w:r w:rsidR="0058303F" w:rsidRPr="00834B27">
        <w:rPr>
          <w:rFonts w:ascii="Calibri" w:hAnsi="Calibri" w:cs="Calibri"/>
          <w:i/>
          <w:iCs/>
          <w:lang w:val="ro-RO"/>
        </w:rPr>
        <w:t>n</w:t>
      </w:r>
      <w:r w:rsidR="00E469EB" w:rsidRPr="00834B27">
        <w:rPr>
          <w:rFonts w:ascii="Calibri" w:hAnsi="Calibri" w:cs="Calibri"/>
          <w:i/>
          <w:iCs/>
          <w:lang w:val="ro-RO"/>
        </w:rPr>
        <w:t>ă</w:t>
      </w:r>
      <w:r w:rsidR="0058303F" w:rsidRPr="00834B27">
        <w:rPr>
          <w:rFonts w:ascii="Calibri" w:hAnsi="Calibri" w:cs="Calibri"/>
          <w:i/>
          <w:iCs/>
          <w:lang w:val="ro-RO"/>
        </w:rPr>
        <w:t xml:space="preserve"> </w:t>
      </w:r>
      <w:r w:rsidR="00E469EB" w:rsidRPr="00834B27">
        <w:rPr>
          <w:rFonts w:ascii="Calibri" w:hAnsi="Calibri" w:cs="Calibri"/>
          <w:i/>
          <w:iCs/>
          <w:lang w:val="ro-RO"/>
        </w:rPr>
        <w:t>î</w:t>
      </w:r>
      <w:r w:rsidR="0058303F" w:rsidRPr="00834B27">
        <w:rPr>
          <w:rFonts w:ascii="Calibri" w:hAnsi="Calibri" w:cs="Calibri"/>
          <w:i/>
          <w:iCs/>
          <w:lang w:val="ro-RO"/>
        </w:rPr>
        <w:t>n 2016</w:t>
      </w:r>
      <w:r w:rsidR="00435B9B" w:rsidRPr="00834B27">
        <w:rPr>
          <w:rFonts w:ascii="Calibri" w:hAnsi="Calibri" w:cs="Calibri"/>
          <w:i/>
          <w:iCs/>
          <w:lang w:val="ro-RO"/>
        </w:rPr>
        <w:t xml:space="preserve"> asimilate dividendelor</w:t>
      </w:r>
      <w:r w:rsidR="0085590B" w:rsidRPr="00834B27">
        <w:rPr>
          <w:rFonts w:ascii="Calibri" w:hAnsi="Calibri" w:cs="Calibri"/>
          <w:i/>
          <w:iCs/>
          <w:lang w:val="ro-RO"/>
        </w:rPr>
        <w:t xml:space="preserve">, </w:t>
      </w:r>
      <w:r w:rsidR="00632DD2" w:rsidRPr="00834B27">
        <w:rPr>
          <w:rFonts w:ascii="Calibri" w:hAnsi="Calibri" w:cs="Calibri"/>
          <w:i/>
          <w:iCs/>
          <w:lang w:val="ro-RO"/>
        </w:rPr>
        <w:t xml:space="preserve">fiind incluse </w:t>
      </w:r>
      <w:r w:rsidR="00E469EB" w:rsidRPr="00834B27">
        <w:rPr>
          <w:rFonts w:ascii="Calibri" w:hAnsi="Calibri" w:cs="Calibri"/>
          <w:i/>
          <w:iCs/>
          <w:lang w:val="ro-RO"/>
        </w:rPr>
        <w:t>î</w:t>
      </w:r>
      <w:r w:rsidR="00632DD2" w:rsidRPr="00834B27">
        <w:rPr>
          <w:rFonts w:ascii="Calibri" w:hAnsi="Calibri" w:cs="Calibri"/>
          <w:i/>
          <w:iCs/>
          <w:lang w:val="ro-RO"/>
        </w:rPr>
        <w:t>n aceast</w:t>
      </w:r>
      <w:r w:rsidR="00E469EB" w:rsidRPr="00834B27">
        <w:rPr>
          <w:rFonts w:ascii="Calibri" w:hAnsi="Calibri" w:cs="Calibri"/>
          <w:i/>
          <w:iCs/>
          <w:lang w:val="ro-RO"/>
        </w:rPr>
        <w:t>ă</w:t>
      </w:r>
      <w:r w:rsidR="00632DD2" w:rsidRPr="00834B27">
        <w:rPr>
          <w:rFonts w:ascii="Calibri" w:hAnsi="Calibri" w:cs="Calibri"/>
          <w:i/>
          <w:iCs/>
          <w:lang w:val="ro-RO"/>
        </w:rPr>
        <w:t xml:space="preserve"> categorie </w:t>
      </w:r>
      <w:r w:rsidR="00E469EB" w:rsidRPr="00834B27">
        <w:rPr>
          <w:rFonts w:ascii="Calibri" w:hAnsi="Calibri" w:cs="Calibri"/>
          <w:i/>
          <w:iCs/>
          <w:lang w:val="ro-RO"/>
        </w:rPr>
        <w:t>odată</w:t>
      </w:r>
      <w:r w:rsidR="00632DD2" w:rsidRPr="00834B27">
        <w:rPr>
          <w:rFonts w:ascii="Calibri" w:hAnsi="Calibri" w:cs="Calibri"/>
          <w:i/>
          <w:iCs/>
          <w:lang w:val="ro-RO"/>
        </w:rPr>
        <w:t xml:space="preserve"> cu intrarea </w:t>
      </w:r>
      <w:r w:rsidR="00E469EB" w:rsidRPr="00834B27">
        <w:rPr>
          <w:rFonts w:ascii="Calibri" w:hAnsi="Calibri" w:cs="Calibri"/>
          <w:i/>
          <w:iCs/>
          <w:lang w:val="ro-RO"/>
        </w:rPr>
        <w:t>î</w:t>
      </w:r>
      <w:r w:rsidR="00632DD2" w:rsidRPr="00834B27">
        <w:rPr>
          <w:rFonts w:ascii="Calibri" w:hAnsi="Calibri" w:cs="Calibri"/>
          <w:i/>
          <w:iCs/>
          <w:lang w:val="ro-RO"/>
        </w:rPr>
        <w:t>n vigoare a noului CF.</w:t>
      </w:r>
    </w:p>
    <w:p w14:paraId="48381E7E" w14:textId="6BF07C67" w:rsidR="00655557" w:rsidRPr="00834B27" w:rsidRDefault="00655557" w:rsidP="00B91E74">
      <w:pPr>
        <w:spacing w:line="276" w:lineRule="auto"/>
        <w:jc w:val="both"/>
        <w:rPr>
          <w:rFonts w:ascii="Calibri" w:hAnsi="Calibri" w:cs="Calibri"/>
          <w:i/>
          <w:iCs/>
          <w:lang w:val="ro-RO"/>
        </w:rPr>
      </w:pPr>
      <w:r w:rsidRPr="00834B27">
        <w:rPr>
          <w:rFonts w:ascii="Calibri" w:hAnsi="Calibri" w:cs="Calibri"/>
          <w:i/>
          <w:iCs/>
          <w:lang w:val="ro-RO"/>
        </w:rPr>
        <w:t xml:space="preserve">Veniturile </w:t>
      </w:r>
      <w:r w:rsidR="00E469EB" w:rsidRPr="00834B27">
        <w:rPr>
          <w:rFonts w:ascii="Calibri" w:hAnsi="Calibri" w:cs="Calibri"/>
          <w:i/>
          <w:iCs/>
          <w:lang w:val="ro-RO"/>
        </w:rPr>
        <w:t>ob</w:t>
      </w:r>
      <w:r w:rsidR="00D77C4B" w:rsidRPr="00834B27">
        <w:rPr>
          <w:rFonts w:ascii="Calibri" w:hAnsi="Calibri" w:cs="Calibri"/>
          <w:i/>
          <w:iCs/>
          <w:lang w:val="ro-RO"/>
        </w:rPr>
        <w:t>ț</w:t>
      </w:r>
      <w:r w:rsidR="00E469EB" w:rsidRPr="00834B27">
        <w:rPr>
          <w:rFonts w:ascii="Calibri" w:hAnsi="Calibri" w:cs="Calibri"/>
          <w:i/>
          <w:iCs/>
          <w:lang w:val="ro-RO"/>
        </w:rPr>
        <w:t>inute</w:t>
      </w:r>
      <w:r w:rsidRPr="00834B27">
        <w:rPr>
          <w:rFonts w:ascii="Calibri" w:hAnsi="Calibri" w:cs="Calibri"/>
          <w:i/>
          <w:iCs/>
          <w:lang w:val="ro-RO"/>
        </w:rPr>
        <w:t xml:space="preserve"> din predarea fierului vechi la centre de colectare au fost exceptate de la plata impozitului pe venit din 2016 p</w:t>
      </w:r>
      <w:r w:rsidR="00FE15AD" w:rsidRPr="00834B27">
        <w:rPr>
          <w:rFonts w:ascii="Calibri" w:hAnsi="Calibri" w:cs="Calibri"/>
          <w:i/>
          <w:iCs/>
          <w:lang w:val="ro-RO"/>
        </w:rPr>
        <w:t>â</w:t>
      </w:r>
      <w:r w:rsidRPr="00834B27">
        <w:rPr>
          <w:rFonts w:ascii="Calibri" w:hAnsi="Calibri" w:cs="Calibri"/>
          <w:i/>
          <w:iCs/>
          <w:lang w:val="ro-RO"/>
        </w:rPr>
        <w:t>n</w:t>
      </w:r>
      <w:r w:rsidR="00FE15AD" w:rsidRPr="00834B27">
        <w:rPr>
          <w:rFonts w:ascii="Calibri" w:hAnsi="Calibri" w:cs="Calibri"/>
          <w:i/>
          <w:iCs/>
          <w:lang w:val="ro-RO"/>
        </w:rPr>
        <w:t xml:space="preserve">ă </w:t>
      </w:r>
      <w:r w:rsidRPr="00834B27">
        <w:rPr>
          <w:rFonts w:ascii="Calibri" w:hAnsi="Calibri" w:cs="Calibri"/>
          <w:i/>
          <w:iCs/>
          <w:lang w:val="ro-RO"/>
        </w:rPr>
        <w:t xml:space="preserve"> </w:t>
      </w:r>
      <w:r w:rsidR="00FE15AD" w:rsidRPr="00834B27">
        <w:rPr>
          <w:rFonts w:ascii="Calibri" w:hAnsi="Calibri" w:cs="Calibri"/>
          <w:i/>
          <w:iCs/>
          <w:lang w:val="ro-RO"/>
        </w:rPr>
        <w:t>î</w:t>
      </w:r>
      <w:r w:rsidRPr="00834B27">
        <w:rPr>
          <w:rFonts w:ascii="Calibri" w:hAnsi="Calibri" w:cs="Calibri"/>
          <w:i/>
          <w:iCs/>
          <w:lang w:val="ro-RO"/>
        </w:rPr>
        <w:t>n 202</w:t>
      </w:r>
      <w:r w:rsidR="008B62F4" w:rsidRPr="00834B27">
        <w:rPr>
          <w:rFonts w:ascii="Calibri" w:hAnsi="Calibri" w:cs="Calibri"/>
          <w:i/>
          <w:iCs/>
          <w:lang w:val="ro-RO"/>
        </w:rPr>
        <w:t xml:space="preserve">4, </w:t>
      </w:r>
      <w:r w:rsidR="00E469EB" w:rsidRPr="00834B27">
        <w:rPr>
          <w:rFonts w:ascii="Calibri" w:hAnsi="Calibri" w:cs="Calibri"/>
          <w:i/>
          <w:iCs/>
          <w:lang w:val="ro-RO"/>
        </w:rPr>
        <w:t>când</w:t>
      </w:r>
      <w:r w:rsidR="008B62F4" w:rsidRPr="00834B27">
        <w:rPr>
          <w:rFonts w:ascii="Calibri" w:hAnsi="Calibri" w:cs="Calibri"/>
          <w:i/>
          <w:iCs/>
          <w:lang w:val="ro-RO"/>
        </w:rPr>
        <w:t xml:space="preserve"> au fost reintroduse </w:t>
      </w:r>
      <w:r w:rsidR="00E469EB" w:rsidRPr="00834B27">
        <w:rPr>
          <w:rFonts w:ascii="Calibri" w:hAnsi="Calibri" w:cs="Calibri"/>
          <w:i/>
          <w:iCs/>
          <w:lang w:val="ro-RO"/>
        </w:rPr>
        <w:t>î</w:t>
      </w:r>
      <w:r w:rsidR="008B62F4" w:rsidRPr="00834B27">
        <w:rPr>
          <w:rFonts w:ascii="Calibri" w:hAnsi="Calibri" w:cs="Calibri"/>
          <w:i/>
          <w:iCs/>
          <w:lang w:val="ro-RO"/>
        </w:rPr>
        <w:t>n sfera de aplicare a impozitului pe venit.</w:t>
      </w:r>
    </w:p>
    <w:p w14:paraId="00FA1683" w14:textId="1204A646" w:rsidR="008B62F4" w:rsidRPr="00834B27" w:rsidRDefault="00E469EB" w:rsidP="006A3D7F">
      <w:pPr>
        <w:spacing w:line="276" w:lineRule="auto"/>
        <w:jc w:val="both"/>
        <w:rPr>
          <w:rFonts w:ascii="Calibri" w:hAnsi="Calibri" w:cs="Calibri"/>
          <w:i/>
          <w:iCs/>
          <w:lang w:val="ro-RO"/>
        </w:rPr>
      </w:pPr>
      <w:r w:rsidRPr="00834B27">
        <w:rPr>
          <w:rFonts w:ascii="Calibri" w:hAnsi="Calibri" w:cs="Calibri"/>
          <w:i/>
          <w:iCs/>
          <w:lang w:val="ro-RO"/>
        </w:rPr>
        <w:lastRenderedPageBreak/>
        <w:t>Câștigurile</w:t>
      </w:r>
      <w:r w:rsidR="008B62F4" w:rsidRPr="00834B27">
        <w:rPr>
          <w:rFonts w:ascii="Calibri" w:hAnsi="Calibri" w:cs="Calibri"/>
          <w:i/>
          <w:iCs/>
          <w:lang w:val="ro-RO"/>
        </w:rPr>
        <w:t xml:space="preserve"> din </w:t>
      </w:r>
      <w:r w:rsidRPr="00834B27">
        <w:rPr>
          <w:rFonts w:ascii="Calibri" w:hAnsi="Calibri" w:cs="Calibri"/>
          <w:i/>
          <w:iCs/>
          <w:lang w:val="ro-RO"/>
        </w:rPr>
        <w:t>transferul</w:t>
      </w:r>
      <w:r w:rsidR="00691B98" w:rsidRPr="00834B27">
        <w:rPr>
          <w:rFonts w:ascii="Calibri" w:hAnsi="Calibri" w:cs="Calibri"/>
          <w:i/>
          <w:iCs/>
          <w:lang w:val="ro-RO"/>
        </w:rPr>
        <w:t xml:space="preserve"> </w:t>
      </w:r>
      <w:r w:rsidRPr="00834B27">
        <w:rPr>
          <w:rFonts w:ascii="Calibri" w:hAnsi="Calibri" w:cs="Calibri"/>
          <w:i/>
          <w:iCs/>
          <w:lang w:val="ro-RO"/>
        </w:rPr>
        <w:t>d</w:t>
      </w:r>
      <w:r w:rsidR="00691B98" w:rsidRPr="00834B27">
        <w:rPr>
          <w:rFonts w:ascii="Calibri" w:hAnsi="Calibri" w:cs="Calibri"/>
          <w:i/>
          <w:iCs/>
          <w:lang w:val="ro-RO"/>
        </w:rPr>
        <w:t>e moned</w:t>
      </w:r>
      <w:r w:rsidRPr="00834B27">
        <w:rPr>
          <w:rFonts w:ascii="Calibri" w:hAnsi="Calibri" w:cs="Calibri"/>
          <w:i/>
          <w:iCs/>
          <w:lang w:val="ro-RO"/>
        </w:rPr>
        <w:t>ă</w:t>
      </w:r>
      <w:r w:rsidR="00691B98" w:rsidRPr="00834B27">
        <w:rPr>
          <w:rFonts w:ascii="Calibri" w:hAnsi="Calibri" w:cs="Calibri"/>
          <w:i/>
          <w:iCs/>
          <w:lang w:val="ro-RO"/>
        </w:rPr>
        <w:t xml:space="preserve"> virtual</w:t>
      </w:r>
      <w:r w:rsidRPr="00834B27">
        <w:rPr>
          <w:rFonts w:ascii="Calibri" w:hAnsi="Calibri" w:cs="Calibri"/>
          <w:i/>
          <w:iCs/>
          <w:lang w:val="ro-RO"/>
        </w:rPr>
        <w:t>ă</w:t>
      </w:r>
      <w:r w:rsidR="00691B98" w:rsidRPr="00834B27">
        <w:rPr>
          <w:rFonts w:ascii="Calibri" w:hAnsi="Calibri" w:cs="Calibri"/>
          <w:i/>
          <w:iCs/>
          <w:lang w:val="ro-RO"/>
        </w:rPr>
        <w:t xml:space="preserve"> au fost reglementate (defectuos </w:t>
      </w:r>
      <w:r w:rsidRPr="00834B27">
        <w:rPr>
          <w:rFonts w:ascii="Calibri" w:hAnsi="Calibri" w:cs="Calibri"/>
          <w:i/>
          <w:iCs/>
          <w:lang w:val="ro-RO"/>
        </w:rPr>
        <w:t>î</w:t>
      </w:r>
      <w:r w:rsidR="00691B98" w:rsidRPr="00834B27">
        <w:rPr>
          <w:rFonts w:ascii="Calibri" w:hAnsi="Calibri" w:cs="Calibri"/>
          <w:i/>
          <w:iCs/>
          <w:lang w:val="ro-RO"/>
        </w:rPr>
        <w:t xml:space="preserve">n opinia </w:t>
      </w:r>
      <w:r w:rsidRPr="00834B27">
        <w:rPr>
          <w:rFonts w:ascii="Calibri" w:hAnsi="Calibri" w:cs="Calibri"/>
          <w:i/>
          <w:iCs/>
          <w:lang w:val="ro-RO"/>
        </w:rPr>
        <w:t>noastră</w:t>
      </w:r>
      <w:r w:rsidR="00691B98" w:rsidRPr="00834B27">
        <w:rPr>
          <w:rFonts w:ascii="Calibri" w:hAnsi="Calibri" w:cs="Calibri"/>
          <w:i/>
          <w:iCs/>
          <w:lang w:val="ro-RO"/>
        </w:rPr>
        <w:t>) abia din 2019.</w:t>
      </w:r>
      <w:r w:rsidR="00833619" w:rsidRPr="00834B27">
        <w:rPr>
          <w:rFonts w:ascii="Calibri" w:hAnsi="Calibri" w:cs="Calibri"/>
          <w:i/>
          <w:iCs/>
          <w:lang w:val="ro-RO"/>
        </w:rPr>
        <w:t xml:space="preserve"> </w:t>
      </w:r>
      <w:r w:rsidR="00CA0828" w:rsidRPr="00834B27">
        <w:rPr>
          <w:rFonts w:ascii="Calibri" w:hAnsi="Calibri" w:cs="Calibri"/>
          <w:i/>
          <w:iCs/>
          <w:lang w:val="ro-RO"/>
        </w:rPr>
        <w:t>Consider</w:t>
      </w:r>
      <w:r w:rsidR="006A3D7F" w:rsidRPr="00834B27">
        <w:rPr>
          <w:rFonts w:ascii="Calibri" w:hAnsi="Calibri" w:cs="Calibri"/>
          <w:i/>
          <w:iCs/>
          <w:lang w:val="ro-RO"/>
        </w:rPr>
        <w:t>ă</w:t>
      </w:r>
      <w:r w:rsidR="00CA0828" w:rsidRPr="00834B27">
        <w:rPr>
          <w:rFonts w:ascii="Calibri" w:hAnsi="Calibri" w:cs="Calibri"/>
          <w:i/>
          <w:iCs/>
          <w:lang w:val="ro-RO"/>
        </w:rPr>
        <w:t>m c</w:t>
      </w:r>
      <w:r w:rsidR="006A3D7F" w:rsidRPr="00834B27">
        <w:rPr>
          <w:rFonts w:ascii="Calibri" w:hAnsi="Calibri" w:cs="Calibri"/>
          <w:i/>
          <w:iCs/>
          <w:lang w:val="ro-RO"/>
        </w:rPr>
        <w:t>ă</w:t>
      </w:r>
      <w:r w:rsidR="00CA0828" w:rsidRPr="00834B27">
        <w:rPr>
          <w:rFonts w:ascii="Calibri" w:hAnsi="Calibri" w:cs="Calibri"/>
          <w:i/>
          <w:iCs/>
          <w:lang w:val="ro-RO"/>
        </w:rPr>
        <w:t xml:space="preserve"> actuala </w:t>
      </w:r>
      <w:r w:rsidR="00E05659" w:rsidRPr="00834B27">
        <w:rPr>
          <w:rFonts w:ascii="Calibri" w:hAnsi="Calibri" w:cs="Calibri"/>
          <w:i/>
          <w:iCs/>
          <w:lang w:val="ro-RO"/>
        </w:rPr>
        <w:t xml:space="preserve">reglementare (impozitarea cu 16% a </w:t>
      </w:r>
      <w:r w:rsidR="006A3D7F" w:rsidRPr="00834B27">
        <w:rPr>
          <w:rFonts w:ascii="Calibri" w:hAnsi="Calibri" w:cs="Calibri"/>
          <w:i/>
          <w:iCs/>
          <w:lang w:val="ro-RO"/>
        </w:rPr>
        <w:t>câștigurilor</w:t>
      </w:r>
      <w:r w:rsidR="00E05659" w:rsidRPr="00834B27">
        <w:rPr>
          <w:rFonts w:ascii="Calibri" w:hAnsi="Calibri" w:cs="Calibri"/>
          <w:i/>
          <w:iCs/>
          <w:lang w:val="ro-RO"/>
        </w:rPr>
        <w:t xml:space="preserve"> din transferul de</w:t>
      </w:r>
      <w:r w:rsidR="003226F0" w:rsidRPr="00834B27">
        <w:rPr>
          <w:rFonts w:ascii="Calibri" w:hAnsi="Calibri" w:cs="Calibri"/>
          <w:i/>
          <w:iCs/>
          <w:lang w:val="ro-RO"/>
        </w:rPr>
        <w:t xml:space="preserve"> moned</w:t>
      </w:r>
      <w:r w:rsidR="006A3D7F" w:rsidRPr="00834B27">
        <w:rPr>
          <w:rFonts w:ascii="Calibri" w:hAnsi="Calibri" w:cs="Calibri"/>
          <w:i/>
          <w:iCs/>
          <w:lang w:val="ro-RO"/>
        </w:rPr>
        <w:t>ă</w:t>
      </w:r>
      <w:r w:rsidR="003226F0" w:rsidRPr="00834B27">
        <w:rPr>
          <w:rFonts w:ascii="Calibri" w:hAnsi="Calibri" w:cs="Calibri"/>
          <w:i/>
          <w:iCs/>
          <w:lang w:val="ro-RO"/>
        </w:rPr>
        <w:t xml:space="preserve"> virtual</w:t>
      </w:r>
      <w:r w:rsidR="006A3D7F" w:rsidRPr="00834B27">
        <w:rPr>
          <w:rFonts w:ascii="Calibri" w:hAnsi="Calibri" w:cs="Calibri"/>
          <w:i/>
          <w:iCs/>
          <w:lang w:val="ro-RO"/>
        </w:rPr>
        <w:t>ă</w:t>
      </w:r>
      <w:r w:rsidR="003226F0" w:rsidRPr="00834B27">
        <w:rPr>
          <w:rFonts w:ascii="Calibri" w:hAnsi="Calibri" w:cs="Calibri"/>
          <w:i/>
          <w:iCs/>
          <w:lang w:val="ro-RO"/>
        </w:rPr>
        <w:t>) este defectuoas</w:t>
      </w:r>
      <w:r w:rsidR="006A3D7F" w:rsidRPr="00834B27">
        <w:rPr>
          <w:rFonts w:ascii="Calibri" w:hAnsi="Calibri" w:cs="Calibri"/>
          <w:i/>
          <w:iCs/>
          <w:lang w:val="ro-RO"/>
        </w:rPr>
        <w:t>ă</w:t>
      </w:r>
      <w:r w:rsidR="003226F0" w:rsidRPr="00834B27">
        <w:rPr>
          <w:rFonts w:ascii="Calibri" w:hAnsi="Calibri" w:cs="Calibri"/>
          <w:i/>
          <w:iCs/>
          <w:lang w:val="ro-RO"/>
        </w:rPr>
        <w:t xml:space="preserve"> pentru c</w:t>
      </w:r>
      <w:r w:rsidR="006A3D7F" w:rsidRPr="00834B27">
        <w:rPr>
          <w:rFonts w:ascii="Calibri" w:hAnsi="Calibri" w:cs="Calibri"/>
          <w:i/>
          <w:iCs/>
          <w:lang w:val="ro-RO"/>
        </w:rPr>
        <w:t>ă</w:t>
      </w:r>
      <w:r w:rsidR="003226F0" w:rsidRPr="00834B27">
        <w:rPr>
          <w:rFonts w:ascii="Calibri" w:hAnsi="Calibri" w:cs="Calibri"/>
          <w:i/>
          <w:iCs/>
          <w:lang w:val="ro-RO"/>
        </w:rPr>
        <w:t xml:space="preserve"> nu </w:t>
      </w:r>
      <w:r w:rsidR="00D77C4B" w:rsidRPr="00834B27">
        <w:rPr>
          <w:rFonts w:ascii="Calibri" w:hAnsi="Calibri" w:cs="Calibri"/>
          <w:i/>
          <w:iCs/>
          <w:lang w:val="ro-RO"/>
        </w:rPr>
        <w:t>ț</w:t>
      </w:r>
      <w:r w:rsidR="003226F0" w:rsidRPr="00834B27">
        <w:rPr>
          <w:rFonts w:ascii="Calibri" w:hAnsi="Calibri" w:cs="Calibri"/>
          <w:i/>
          <w:iCs/>
          <w:lang w:val="ro-RO"/>
        </w:rPr>
        <w:t>ine cont de faptul c</w:t>
      </w:r>
      <w:r w:rsidR="006A3D7F" w:rsidRPr="00834B27">
        <w:rPr>
          <w:rFonts w:ascii="Calibri" w:hAnsi="Calibri" w:cs="Calibri"/>
          <w:i/>
          <w:iCs/>
          <w:lang w:val="ro-RO"/>
        </w:rPr>
        <w:t>ă</w:t>
      </w:r>
      <w:r w:rsidR="003226F0" w:rsidRPr="00834B27">
        <w:rPr>
          <w:rFonts w:ascii="Calibri" w:hAnsi="Calibri" w:cs="Calibri"/>
          <w:i/>
          <w:iCs/>
          <w:lang w:val="ro-RO"/>
        </w:rPr>
        <w:t xml:space="preserve"> </w:t>
      </w:r>
      <w:r w:rsidR="006A3D7F" w:rsidRPr="00834B27">
        <w:rPr>
          <w:rFonts w:ascii="Calibri" w:hAnsi="Calibri" w:cs="Calibri"/>
          <w:i/>
          <w:iCs/>
          <w:lang w:val="ro-RO"/>
        </w:rPr>
        <w:t>tranzac</w:t>
      </w:r>
      <w:r w:rsidR="00D77C4B" w:rsidRPr="00834B27">
        <w:rPr>
          <w:rFonts w:ascii="Calibri" w:hAnsi="Calibri" w:cs="Calibri"/>
          <w:i/>
          <w:iCs/>
          <w:lang w:val="ro-RO"/>
        </w:rPr>
        <w:t>ț</w:t>
      </w:r>
      <w:r w:rsidR="006A3D7F" w:rsidRPr="00834B27">
        <w:rPr>
          <w:rFonts w:ascii="Calibri" w:hAnsi="Calibri" w:cs="Calibri"/>
          <w:i/>
          <w:iCs/>
          <w:lang w:val="ro-RO"/>
        </w:rPr>
        <w:t>ionarea</w:t>
      </w:r>
      <w:r w:rsidR="003226F0" w:rsidRPr="00834B27">
        <w:rPr>
          <w:rFonts w:ascii="Calibri" w:hAnsi="Calibri" w:cs="Calibri"/>
          <w:i/>
          <w:iCs/>
          <w:lang w:val="ro-RO"/>
        </w:rPr>
        <w:t xml:space="preserve"> acestui tip de</w:t>
      </w:r>
      <w:r w:rsidR="006445F5" w:rsidRPr="00834B27">
        <w:rPr>
          <w:rFonts w:ascii="Calibri" w:hAnsi="Calibri" w:cs="Calibri"/>
          <w:i/>
          <w:iCs/>
          <w:lang w:val="ro-RO"/>
        </w:rPr>
        <w:t xml:space="preserve"> active se poate face </w:t>
      </w:r>
      <w:r w:rsidR="006A3D7F" w:rsidRPr="00834B27">
        <w:rPr>
          <w:rFonts w:ascii="Calibri" w:hAnsi="Calibri" w:cs="Calibri"/>
          <w:i/>
          <w:iCs/>
          <w:lang w:val="ro-RO"/>
        </w:rPr>
        <w:t>ș</w:t>
      </w:r>
      <w:r w:rsidR="006445F5" w:rsidRPr="00834B27">
        <w:rPr>
          <w:rFonts w:ascii="Calibri" w:hAnsi="Calibri" w:cs="Calibri"/>
          <w:i/>
          <w:iCs/>
          <w:lang w:val="ro-RO"/>
        </w:rPr>
        <w:t xml:space="preserve">i </w:t>
      </w:r>
      <w:r w:rsidR="006A3D7F" w:rsidRPr="00834B27">
        <w:rPr>
          <w:rFonts w:ascii="Calibri" w:hAnsi="Calibri" w:cs="Calibri"/>
          <w:i/>
          <w:iCs/>
          <w:lang w:val="ro-RO"/>
        </w:rPr>
        <w:t>î</w:t>
      </w:r>
      <w:r w:rsidR="006445F5" w:rsidRPr="00834B27">
        <w:rPr>
          <w:rFonts w:ascii="Calibri" w:hAnsi="Calibri" w:cs="Calibri"/>
          <w:i/>
          <w:iCs/>
          <w:lang w:val="ro-RO"/>
        </w:rPr>
        <w:t xml:space="preserve">n pierdere, pierderi de care actuala reglementare nu </w:t>
      </w:r>
      <w:r w:rsidR="00D77C4B" w:rsidRPr="00834B27">
        <w:rPr>
          <w:rFonts w:ascii="Calibri" w:hAnsi="Calibri" w:cs="Calibri"/>
          <w:i/>
          <w:iCs/>
          <w:lang w:val="ro-RO"/>
        </w:rPr>
        <w:t>ț</w:t>
      </w:r>
      <w:r w:rsidR="006445F5" w:rsidRPr="00834B27">
        <w:rPr>
          <w:rFonts w:ascii="Calibri" w:hAnsi="Calibri" w:cs="Calibri"/>
          <w:i/>
          <w:iCs/>
          <w:lang w:val="ro-RO"/>
        </w:rPr>
        <w:t xml:space="preserve">ine cont. </w:t>
      </w:r>
      <w:r w:rsidR="006A3D7F" w:rsidRPr="00834B27">
        <w:rPr>
          <w:rFonts w:ascii="Calibri" w:hAnsi="Calibri" w:cs="Calibri"/>
          <w:i/>
          <w:iCs/>
          <w:lang w:val="ro-RO"/>
        </w:rPr>
        <w:t>Î</w:t>
      </w:r>
      <w:r w:rsidR="006445F5" w:rsidRPr="00834B27">
        <w:rPr>
          <w:rFonts w:ascii="Calibri" w:hAnsi="Calibri" w:cs="Calibri"/>
          <w:i/>
          <w:iCs/>
          <w:lang w:val="ro-RO"/>
        </w:rPr>
        <w:t xml:space="preserve">n </w:t>
      </w:r>
      <w:r w:rsidR="006A3D7F" w:rsidRPr="00834B27">
        <w:rPr>
          <w:rFonts w:ascii="Calibri" w:hAnsi="Calibri" w:cs="Calibri"/>
          <w:i/>
          <w:iCs/>
          <w:lang w:val="ro-RO"/>
        </w:rPr>
        <w:t>consecin</w:t>
      </w:r>
      <w:r w:rsidR="00D77C4B" w:rsidRPr="00834B27">
        <w:rPr>
          <w:rFonts w:ascii="Calibri" w:hAnsi="Calibri" w:cs="Calibri"/>
          <w:i/>
          <w:iCs/>
          <w:lang w:val="ro-RO"/>
        </w:rPr>
        <w:t>ț</w:t>
      </w:r>
      <w:r w:rsidR="006A3D7F" w:rsidRPr="00834B27">
        <w:rPr>
          <w:rFonts w:ascii="Calibri" w:hAnsi="Calibri" w:cs="Calibri"/>
          <w:i/>
          <w:iCs/>
          <w:lang w:val="ro-RO"/>
        </w:rPr>
        <w:t>ă</w:t>
      </w:r>
      <w:r w:rsidR="006445F5" w:rsidRPr="00834B27">
        <w:rPr>
          <w:rFonts w:ascii="Calibri" w:hAnsi="Calibri" w:cs="Calibri"/>
          <w:i/>
          <w:iCs/>
          <w:lang w:val="ro-RO"/>
        </w:rPr>
        <w:t>, consider</w:t>
      </w:r>
      <w:r w:rsidR="006A3D7F" w:rsidRPr="00834B27">
        <w:rPr>
          <w:rFonts w:ascii="Calibri" w:hAnsi="Calibri" w:cs="Calibri"/>
          <w:i/>
          <w:iCs/>
          <w:lang w:val="ro-RO"/>
        </w:rPr>
        <w:t>ă</w:t>
      </w:r>
      <w:r w:rsidR="006445F5" w:rsidRPr="00834B27">
        <w:rPr>
          <w:rFonts w:ascii="Calibri" w:hAnsi="Calibri" w:cs="Calibri"/>
          <w:i/>
          <w:iCs/>
          <w:lang w:val="ro-RO"/>
        </w:rPr>
        <w:t>m c</w:t>
      </w:r>
      <w:r w:rsidR="006A3D7F" w:rsidRPr="00834B27">
        <w:rPr>
          <w:rFonts w:ascii="Calibri" w:hAnsi="Calibri" w:cs="Calibri"/>
          <w:i/>
          <w:iCs/>
          <w:lang w:val="ro-RO"/>
        </w:rPr>
        <w:t>ă</w:t>
      </w:r>
      <w:r w:rsidR="006445F5" w:rsidRPr="00834B27">
        <w:rPr>
          <w:rFonts w:ascii="Calibri" w:hAnsi="Calibri" w:cs="Calibri"/>
          <w:i/>
          <w:iCs/>
          <w:lang w:val="ro-RO"/>
        </w:rPr>
        <w:t xml:space="preserve"> </w:t>
      </w:r>
      <w:r w:rsidR="00C952F1" w:rsidRPr="00834B27">
        <w:rPr>
          <w:rFonts w:ascii="Calibri" w:hAnsi="Calibri" w:cs="Calibri"/>
          <w:i/>
          <w:iCs/>
          <w:lang w:val="ro-RO"/>
        </w:rPr>
        <w:t xml:space="preserve">impozitul de 16% ar trebui calculat pe venitul impozabil anual, iar venitul impozabil ar trebui calculat </w:t>
      </w:r>
      <w:r w:rsidR="00F93FFF" w:rsidRPr="00834B27">
        <w:rPr>
          <w:rFonts w:ascii="Calibri" w:hAnsi="Calibri" w:cs="Calibri"/>
          <w:i/>
          <w:iCs/>
          <w:lang w:val="ro-RO"/>
        </w:rPr>
        <w:t xml:space="preserve">ca </w:t>
      </w:r>
      <w:r w:rsidR="006A3D7F" w:rsidRPr="00834B27">
        <w:rPr>
          <w:rFonts w:ascii="Calibri" w:hAnsi="Calibri" w:cs="Calibri"/>
          <w:i/>
          <w:iCs/>
          <w:lang w:val="ro-RO"/>
        </w:rPr>
        <w:t>diferen</w:t>
      </w:r>
      <w:r w:rsidR="00D77C4B" w:rsidRPr="00834B27">
        <w:rPr>
          <w:rFonts w:ascii="Calibri" w:hAnsi="Calibri" w:cs="Calibri"/>
          <w:i/>
          <w:iCs/>
          <w:lang w:val="ro-RO"/>
        </w:rPr>
        <w:t>ț</w:t>
      </w:r>
      <w:r w:rsidR="006A3D7F" w:rsidRPr="00834B27">
        <w:rPr>
          <w:rFonts w:ascii="Calibri" w:hAnsi="Calibri" w:cs="Calibri"/>
          <w:i/>
          <w:iCs/>
          <w:lang w:val="ro-RO"/>
        </w:rPr>
        <w:t>a</w:t>
      </w:r>
      <w:r w:rsidR="00F93FFF" w:rsidRPr="00834B27">
        <w:rPr>
          <w:rFonts w:ascii="Calibri" w:hAnsi="Calibri" w:cs="Calibri"/>
          <w:i/>
          <w:iCs/>
          <w:lang w:val="ro-RO"/>
        </w:rPr>
        <w:t xml:space="preserve"> </w:t>
      </w:r>
      <w:r w:rsidR="006A3D7F" w:rsidRPr="00834B27">
        <w:rPr>
          <w:rFonts w:ascii="Calibri" w:hAnsi="Calibri" w:cs="Calibri"/>
          <w:i/>
          <w:iCs/>
          <w:lang w:val="ro-RO"/>
        </w:rPr>
        <w:t>di</w:t>
      </w:r>
      <w:r w:rsidR="00F93FFF" w:rsidRPr="00834B27">
        <w:rPr>
          <w:rFonts w:ascii="Calibri" w:hAnsi="Calibri" w:cs="Calibri"/>
          <w:i/>
          <w:iCs/>
          <w:lang w:val="ro-RO"/>
        </w:rPr>
        <w:t xml:space="preserve">ntre </w:t>
      </w:r>
      <w:r w:rsidR="006A3D7F" w:rsidRPr="00834B27">
        <w:rPr>
          <w:rFonts w:ascii="Calibri" w:hAnsi="Calibri" w:cs="Calibri"/>
          <w:i/>
          <w:iCs/>
          <w:lang w:val="ro-RO"/>
        </w:rPr>
        <w:t>câștigurile</w:t>
      </w:r>
      <w:r w:rsidR="00F93FFF" w:rsidRPr="00834B27">
        <w:rPr>
          <w:rFonts w:ascii="Calibri" w:hAnsi="Calibri" w:cs="Calibri"/>
          <w:i/>
          <w:iCs/>
          <w:lang w:val="ro-RO"/>
        </w:rPr>
        <w:t xml:space="preserve"> </w:t>
      </w:r>
      <w:r w:rsidR="006A3D7F" w:rsidRPr="00834B27">
        <w:rPr>
          <w:rFonts w:ascii="Calibri" w:hAnsi="Calibri" w:cs="Calibri"/>
          <w:i/>
          <w:iCs/>
          <w:lang w:val="ro-RO"/>
        </w:rPr>
        <w:t>ș</w:t>
      </w:r>
      <w:r w:rsidR="00F93FFF" w:rsidRPr="00834B27">
        <w:rPr>
          <w:rFonts w:ascii="Calibri" w:hAnsi="Calibri" w:cs="Calibri"/>
          <w:i/>
          <w:iCs/>
          <w:lang w:val="ro-RO"/>
        </w:rPr>
        <w:t xml:space="preserve">i pierderile (calculate ca </w:t>
      </w:r>
      <w:r w:rsidR="006A3D7F" w:rsidRPr="00834B27">
        <w:rPr>
          <w:rFonts w:ascii="Calibri" w:hAnsi="Calibri" w:cs="Calibri"/>
          <w:i/>
          <w:iCs/>
          <w:lang w:val="ro-RO"/>
        </w:rPr>
        <w:t>diferen</w:t>
      </w:r>
      <w:r w:rsidR="00D77C4B" w:rsidRPr="00834B27">
        <w:rPr>
          <w:rFonts w:ascii="Calibri" w:hAnsi="Calibri" w:cs="Calibri"/>
          <w:i/>
          <w:iCs/>
          <w:lang w:val="ro-RO"/>
        </w:rPr>
        <w:t>ț</w:t>
      </w:r>
      <w:r w:rsidR="006A3D7F" w:rsidRPr="00834B27">
        <w:rPr>
          <w:rFonts w:ascii="Calibri" w:hAnsi="Calibri" w:cs="Calibri"/>
          <w:i/>
          <w:iCs/>
          <w:lang w:val="ro-RO"/>
        </w:rPr>
        <w:t>ă</w:t>
      </w:r>
      <w:r w:rsidR="00F93FFF" w:rsidRPr="00834B27">
        <w:rPr>
          <w:rFonts w:ascii="Calibri" w:hAnsi="Calibri" w:cs="Calibri"/>
          <w:i/>
          <w:iCs/>
          <w:lang w:val="ro-RO"/>
        </w:rPr>
        <w:t xml:space="preserve"> pozitiv</w:t>
      </w:r>
      <w:r w:rsidR="006A3D7F" w:rsidRPr="00834B27">
        <w:rPr>
          <w:rFonts w:ascii="Calibri" w:hAnsi="Calibri" w:cs="Calibri"/>
          <w:i/>
          <w:iCs/>
          <w:lang w:val="ro-RO"/>
        </w:rPr>
        <w:t>ă</w:t>
      </w:r>
      <w:r w:rsidR="00F93FFF" w:rsidRPr="00834B27">
        <w:rPr>
          <w:rFonts w:ascii="Calibri" w:hAnsi="Calibri" w:cs="Calibri"/>
          <w:i/>
          <w:iCs/>
          <w:lang w:val="ro-RO"/>
        </w:rPr>
        <w:t xml:space="preserve"> sau negativ</w:t>
      </w:r>
      <w:r w:rsidR="006A3D7F" w:rsidRPr="00834B27">
        <w:rPr>
          <w:rFonts w:ascii="Calibri" w:hAnsi="Calibri" w:cs="Calibri"/>
          <w:i/>
          <w:iCs/>
          <w:lang w:val="ro-RO"/>
        </w:rPr>
        <w:t>ă,</w:t>
      </w:r>
      <w:r w:rsidR="00F93FFF" w:rsidRPr="00834B27">
        <w:rPr>
          <w:rFonts w:ascii="Calibri" w:hAnsi="Calibri" w:cs="Calibri"/>
          <w:i/>
          <w:iCs/>
          <w:lang w:val="ro-RO"/>
        </w:rPr>
        <w:t xml:space="preserve"> </w:t>
      </w:r>
      <w:r w:rsidR="006A3D7F" w:rsidRPr="00834B27">
        <w:rPr>
          <w:rFonts w:ascii="Calibri" w:hAnsi="Calibri" w:cs="Calibri"/>
          <w:i/>
          <w:iCs/>
          <w:lang w:val="ro-RO"/>
        </w:rPr>
        <w:t>î</w:t>
      </w:r>
      <w:r w:rsidR="00F93FFF" w:rsidRPr="00834B27">
        <w:rPr>
          <w:rFonts w:ascii="Calibri" w:hAnsi="Calibri" w:cs="Calibri"/>
          <w:i/>
          <w:iCs/>
          <w:lang w:val="ro-RO"/>
        </w:rPr>
        <w:t xml:space="preserve">ntre </w:t>
      </w:r>
      <w:r w:rsidR="006A3D7F" w:rsidRPr="00834B27">
        <w:rPr>
          <w:rFonts w:ascii="Calibri" w:hAnsi="Calibri" w:cs="Calibri"/>
          <w:i/>
          <w:iCs/>
          <w:lang w:val="ro-RO"/>
        </w:rPr>
        <w:t>pre</w:t>
      </w:r>
      <w:r w:rsidR="00D77C4B" w:rsidRPr="00834B27">
        <w:rPr>
          <w:rFonts w:ascii="Calibri" w:hAnsi="Calibri" w:cs="Calibri"/>
          <w:i/>
          <w:iCs/>
          <w:lang w:val="ro-RO"/>
        </w:rPr>
        <w:t>ț</w:t>
      </w:r>
      <w:r w:rsidR="006A3D7F" w:rsidRPr="00834B27">
        <w:rPr>
          <w:rFonts w:ascii="Calibri" w:hAnsi="Calibri" w:cs="Calibri"/>
          <w:i/>
          <w:iCs/>
          <w:lang w:val="ro-RO"/>
        </w:rPr>
        <w:t>ul</w:t>
      </w:r>
      <w:r w:rsidR="00F93FFF" w:rsidRPr="00834B27">
        <w:rPr>
          <w:rFonts w:ascii="Calibri" w:hAnsi="Calibri" w:cs="Calibri"/>
          <w:i/>
          <w:iCs/>
          <w:lang w:val="ro-RO"/>
        </w:rPr>
        <w:t xml:space="preserve"> de </w:t>
      </w:r>
      <w:r w:rsidR="006A3D7F" w:rsidRPr="00834B27">
        <w:rPr>
          <w:rFonts w:ascii="Calibri" w:hAnsi="Calibri" w:cs="Calibri"/>
          <w:i/>
          <w:iCs/>
          <w:lang w:val="ro-RO"/>
        </w:rPr>
        <w:t>vânzare</w:t>
      </w:r>
      <w:r w:rsidR="00F93FFF" w:rsidRPr="00834B27">
        <w:rPr>
          <w:rFonts w:ascii="Calibri" w:hAnsi="Calibri" w:cs="Calibri"/>
          <w:i/>
          <w:iCs/>
          <w:lang w:val="ro-RO"/>
        </w:rPr>
        <w:t xml:space="preserve"> </w:t>
      </w:r>
      <w:r w:rsidR="006A3D7F" w:rsidRPr="00834B27">
        <w:rPr>
          <w:rFonts w:ascii="Calibri" w:hAnsi="Calibri" w:cs="Calibri"/>
          <w:i/>
          <w:iCs/>
          <w:lang w:val="ro-RO"/>
        </w:rPr>
        <w:t>ș</w:t>
      </w:r>
      <w:r w:rsidR="00F93FFF" w:rsidRPr="00834B27">
        <w:rPr>
          <w:rFonts w:ascii="Calibri" w:hAnsi="Calibri" w:cs="Calibri"/>
          <w:i/>
          <w:iCs/>
          <w:lang w:val="ro-RO"/>
        </w:rPr>
        <w:t xml:space="preserve">i </w:t>
      </w:r>
      <w:r w:rsidR="006A3D7F" w:rsidRPr="00834B27">
        <w:rPr>
          <w:rFonts w:ascii="Calibri" w:hAnsi="Calibri" w:cs="Calibri"/>
          <w:i/>
          <w:iCs/>
          <w:lang w:val="ro-RO"/>
        </w:rPr>
        <w:t>pre</w:t>
      </w:r>
      <w:r w:rsidR="00D77C4B" w:rsidRPr="00834B27">
        <w:rPr>
          <w:rFonts w:ascii="Calibri" w:hAnsi="Calibri" w:cs="Calibri"/>
          <w:i/>
          <w:iCs/>
          <w:lang w:val="ro-RO"/>
        </w:rPr>
        <w:t>ț</w:t>
      </w:r>
      <w:r w:rsidR="006A3D7F" w:rsidRPr="00834B27">
        <w:rPr>
          <w:rFonts w:ascii="Calibri" w:hAnsi="Calibri" w:cs="Calibri"/>
          <w:i/>
          <w:iCs/>
          <w:lang w:val="ro-RO"/>
        </w:rPr>
        <w:t>ul</w:t>
      </w:r>
      <w:r w:rsidR="00F93FFF" w:rsidRPr="00834B27">
        <w:rPr>
          <w:rFonts w:ascii="Calibri" w:hAnsi="Calibri" w:cs="Calibri"/>
          <w:i/>
          <w:iCs/>
          <w:lang w:val="ro-RO"/>
        </w:rPr>
        <w:t xml:space="preserve"> de </w:t>
      </w:r>
      <w:r w:rsidR="006A3D7F" w:rsidRPr="00834B27">
        <w:rPr>
          <w:rFonts w:ascii="Calibri" w:hAnsi="Calibri" w:cs="Calibri"/>
          <w:i/>
          <w:iCs/>
          <w:lang w:val="ro-RO"/>
        </w:rPr>
        <w:t>cumpărare</w:t>
      </w:r>
      <w:r w:rsidR="003F43E5" w:rsidRPr="00834B27">
        <w:rPr>
          <w:rFonts w:ascii="Calibri" w:hAnsi="Calibri" w:cs="Calibri"/>
          <w:i/>
          <w:iCs/>
          <w:lang w:val="ro-RO"/>
        </w:rPr>
        <w:t xml:space="preserve"> pentru fiecare </w:t>
      </w:r>
      <w:r w:rsidR="006A3D7F" w:rsidRPr="00834B27">
        <w:rPr>
          <w:rFonts w:ascii="Calibri" w:hAnsi="Calibri" w:cs="Calibri"/>
          <w:i/>
          <w:iCs/>
          <w:lang w:val="ro-RO"/>
        </w:rPr>
        <w:t>tranzac</w:t>
      </w:r>
      <w:r w:rsidR="00D77C4B" w:rsidRPr="00834B27">
        <w:rPr>
          <w:rFonts w:ascii="Calibri" w:hAnsi="Calibri" w:cs="Calibri"/>
          <w:i/>
          <w:iCs/>
          <w:lang w:val="ro-RO"/>
        </w:rPr>
        <w:t>ț</w:t>
      </w:r>
      <w:r w:rsidR="006A3D7F" w:rsidRPr="00834B27">
        <w:rPr>
          <w:rFonts w:ascii="Calibri" w:hAnsi="Calibri" w:cs="Calibri"/>
          <w:i/>
          <w:iCs/>
          <w:lang w:val="ro-RO"/>
        </w:rPr>
        <w:t>ie</w:t>
      </w:r>
      <w:r w:rsidR="003F43E5" w:rsidRPr="00834B27">
        <w:rPr>
          <w:rFonts w:ascii="Calibri" w:hAnsi="Calibri" w:cs="Calibri"/>
          <w:i/>
          <w:iCs/>
          <w:lang w:val="ro-RO"/>
        </w:rPr>
        <w:t xml:space="preserve"> </w:t>
      </w:r>
      <w:r w:rsidR="006A3D7F" w:rsidRPr="00834B27">
        <w:rPr>
          <w:rFonts w:ascii="Calibri" w:hAnsi="Calibri" w:cs="Calibri"/>
          <w:i/>
          <w:iCs/>
          <w:lang w:val="ro-RO"/>
        </w:rPr>
        <w:t>î</w:t>
      </w:r>
      <w:r w:rsidR="003F43E5" w:rsidRPr="00834B27">
        <w:rPr>
          <w:rFonts w:ascii="Calibri" w:hAnsi="Calibri" w:cs="Calibri"/>
          <w:i/>
          <w:iCs/>
          <w:lang w:val="ro-RO"/>
        </w:rPr>
        <w:t xml:space="preserve">n parte) </w:t>
      </w:r>
      <w:r w:rsidR="006A3D7F" w:rsidRPr="00834B27">
        <w:rPr>
          <w:rFonts w:ascii="Calibri" w:hAnsi="Calibri" w:cs="Calibri"/>
          <w:i/>
          <w:iCs/>
          <w:lang w:val="ro-RO"/>
        </w:rPr>
        <w:t xml:space="preserve">înregistrate </w:t>
      </w:r>
      <w:r w:rsidR="003F43E5" w:rsidRPr="00834B27">
        <w:rPr>
          <w:rFonts w:ascii="Calibri" w:hAnsi="Calibri" w:cs="Calibri"/>
          <w:i/>
          <w:iCs/>
          <w:lang w:val="ro-RO"/>
        </w:rPr>
        <w:t xml:space="preserve"> </w:t>
      </w:r>
      <w:r w:rsidR="006A3D7F" w:rsidRPr="00834B27">
        <w:rPr>
          <w:rFonts w:ascii="Calibri" w:hAnsi="Calibri" w:cs="Calibri"/>
          <w:i/>
          <w:iCs/>
          <w:lang w:val="ro-RO"/>
        </w:rPr>
        <w:t>î</w:t>
      </w:r>
      <w:r w:rsidR="003F43E5" w:rsidRPr="00834B27">
        <w:rPr>
          <w:rFonts w:ascii="Calibri" w:hAnsi="Calibri" w:cs="Calibri"/>
          <w:i/>
          <w:iCs/>
          <w:lang w:val="ro-RO"/>
        </w:rPr>
        <w:t>n cursul unui an</w:t>
      </w:r>
      <w:r w:rsidR="00D13EC6" w:rsidRPr="00834B27">
        <w:rPr>
          <w:rFonts w:ascii="Calibri" w:hAnsi="Calibri" w:cs="Calibri"/>
          <w:i/>
          <w:iCs/>
          <w:lang w:val="ro-RO"/>
        </w:rPr>
        <w:t>, cu posibilitatea ca pierderile s</w:t>
      </w:r>
      <w:r w:rsidR="006A3D7F" w:rsidRPr="00834B27">
        <w:rPr>
          <w:rFonts w:ascii="Calibri" w:hAnsi="Calibri" w:cs="Calibri"/>
          <w:i/>
          <w:iCs/>
          <w:lang w:val="ro-RO"/>
        </w:rPr>
        <w:t>ă</w:t>
      </w:r>
      <w:r w:rsidR="00D13EC6" w:rsidRPr="00834B27">
        <w:rPr>
          <w:rFonts w:ascii="Calibri" w:hAnsi="Calibri" w:cs="Calibri"/>
          <w:i/>
          <w:iCs/>
          <w:lang w:val="ro-RO"/>
        </w:rPr>
        <w:t xml:space="preserve"> </w:t>
      </w:r>
      <w:r w:rsidR="006A3D7F" w:rsidRPr="00834B27">
        <w:rPr>
          <w:rFonts w:ascii="Calibri" w:hAnsi="Calibri" w:cs="Calibri"/>
          <w:i/>
          <w:iCs/>
          <w:lang w:val="ro-RO"/>
        </w:rPr>
        <w:t>poată</w:t>
      </w:r>
      <w:r w:rsidR="00D13EC6" w:rsidRPr="00834B27">
        <w:rPr>
          <w:rFonts w:ascii="Calibri" w:hAnsi="Calibri" w:cs="Calibri"/>
          <w:i/>
          <w:iCs/>
          <w:lang w:val="ro-RO"/>
        </w:rPr>
        <w:t xml:space="preserve"> fi recuperate </w:t>
      </w:r>
      <w:r w:rsidR="007F38A1" w:rsidRPr="00834B27">
        <w:rPr>
          <w:rFonts w:ascii="Calibri" w:hAnsi="Calibri" w:cs="Calibri"/>
          <w:i/>
          <w:iCs/>
          <w:lang w:val="ro-RO"/>
        </w:rPr>
        <w:t>î</w:t>
      </w:r>
      <w:r w:rsidR="00D13EC6" w:rsidRPr="00834B27">
        <w:rPr>
          <w:rFonts w:ascii="Calibri" w:hAnsi="Calibri" w:cs="Calibri"/>
          <w:i/>
          <w:iCs/>
          <w:lang w:val="ro-RO"/>
        </w:rPr>
        <w:t xml:space="preserve">n </w:t>
      </w:r>
      <w:r w:rsidR="007F38A1" w:rsidRPr="00834B27">
        <w:rPr>
          <w:rFonts w:ascii="Calibri" w:hAnsi="Calibri" w:cs="Calibri"/>
          <w:i/>
          <w:iCs/>
          <w:lang w:val="ro-RO"/>
        </w:rPr>
        <w:t>următorii</w:t>
      </w:r>
      <w:r w:rsidR="00D13EC6" w:rsidRPr="00834B27">
        <w:rPr>
          <w:rFonts w:ascii="Calibri" w:hAnsi="Calibri" w:cs="Calibri"/>
          <w:i/>
          <w:iCs/>
          <w:lang w:val="ro-RO"/>
        </w:rPr>
        <w:t xml:space="preserve"> 5 ani.</w:t>
      </w:r>
      <w:r w:rsidR="00E32A7C" w:rsidRPr="00834B27">
        <w:rPr>
          <w:rStyle w:val="Referinnotdesubsol"/>
          <w:rFonts w:ascii="Calibri" w:hAnsi="Calibri" w:cs="Calibri"/>
          <w:i/>
          <w:iCs/>
          <w:lang w:val="ro-RO"/>
        </w:rPr>
        <w:footnoteReference w:id="12"/>
      </w:r>
    </w:p>
    <w:p w14:paraId="4F8BEF44" w14:textId="77777777" w:rsidR="00E469EB" w:rsidRPr="00834B27" w:rsidRDefault="00E469EB" w:rsidP="00B91E74">
      <w:pPr>
        <w:spacing w:line="276" w:lineRule="auto"/>
        <w:jc w:val="both"/>
        <w:rPr>
          <w:rFonts w:ascii="Calibri" w:hAnsi="Calibri" w:cs="Calibri"/>
          <w:i/>
          <w:iCs/>
          <w:lang w:val="ro-RO"/>
        </w:rPr>
      </w:pPr>
    </w:p>
    <w:p w14:paraId="6F1433A8" w14:textId="71FA5BFF" w:rsidR="00691B98" w:rsidRPr="00834B27" w:rsidRDefault="00691B98" w:rsidP="00B91E74">
      <w:pPr>
        <w:pStyle w:val="Listparagraf"/>
        <w:numPr>
          <w:ilvl w:val="2"/>
          <w:numId w:val="30"/>
        </w:numPr>
        <w:spacing w:line="276" w:lineRule="auto"/>
        <w:contextualSpacing w:val="0"/>
        <w:jc w:val="both"/>
        <w:rPr>
          <w:rFonts w:ascii="Calibri" w:hAnsi="Calibri" w:cs="Calibri"/>
          <w:b/>
          <w:bCs/>
          <w:lang w:val="ro-RO"/>
        </w:rPr>
      </w:pPr>
      <w:r w:rsidRPr="00834B27">
        <w:rPr>
          <w:rFonts w:ascii="Calibri" w:hAnsi="Calibri" w:cs="Calibri"/>
          <w:b/>
          <w:bCs/>
          <w:lang w:val="ro-RO"/>
        </w:rPr>
        <w:t>CAS</w:t>
      </w:r>
    </w:p>
    <w:p w14:paraId="3D88860E" w14:textId="1ADA4784" w:rsidR="00691B98" w:rsidRPr="00834B27" w:rsidRDefault="00691B98" w:rsidP="00B91E74">
      <w:pPr>
        <w:spacing w:line="276" w:lineRule="auto"/>
        <w:jc w:val="both"/>
        <w:rPr>
          <w:rFonts w:ascii="Calibri" w:hAnsi="Calibri" w:cs="Calibri"/>
          <w:lang w:val="ro-RO"/>
        </w:rPr>
      </w:pPr>
      <w:r w:rsidRPr="00834B27">
        <w:rPr>
          <w:rFonts w:ascii="Calibri" w:hAnsi="Calibri" w:cs="Calibri"/>
          <w:lang w:val="ro-RO"/>
        </w:rPr>
        <w:t xml:space="preserve">Nu se </w:t>
      </w:r>
      <w:r w:rsidR="00E469EB" w:rsidRPr="00834B27">
        <w:rPr>
          <w:rFonts w:ascii="Calibri" w:hAnsi="Calibri" w:cs="Calibri"/>
          <w:lang w:val="ro-RO"/>
        </w:rPr>
        <w:t>datorează</w:t>
      </w:r>
      <w:r w:rsidRPr="00834B27">
        <w:rPr>
          <w:rFonts w:ascii="Calibri" w:hAnsi="Calibri" w:cs="Calibri"/>
          <w:lang w:val="ro-RO"/>
        </w:rPr>
        <w:t xml:space="preserve"> CAS.</w:t>
      </w:r>
    </w:p>
    <w:p w14:paraId="75C372D8" w14:textId="77777777" w:rsidR="00E469EB" w:rsidRPr="00834B27" w:rsidRDefault="00E469EB" w:rsidP="00B91E74">
      <w:pPr>
        <w:spacing w:line="276" w:lineRule="auto"/>
        <w:jc w:val="both"/>
        <w:rPr>
          <w:rFonts w:ascii="Calibri" w:hAnsi="Calibri" w:cs="Calibri"/>
          <w:lang w:val="ro-RO"/>
        </w:rPr>
      </w:pPr>
    </w:p>
    <w:p w14:paraId="05B2B2F7" w14:textId="2C31E487" w:rsidR="00691B98" w:rsidRPr="00834B27" w:rsidRDefault="00691B98" w:rsidP="00B91E74">
      <w:pPr>
        <w:pStyle w:val="Listparagraf"/>
        <w:numPr>
          <w:ilvl w:val="2"/>
          <w:numId w:val="30"/>
        </w:numPr>
        <w:spacing w:line="276" w:lineRule="auto"/>
        <w:contextualSpacing w:val="0"/>
        <w:jc w:val="both"/>
        <w:rPr>
          <w:rFonts w:ascii="Calibri" w:hAnsi="Calibri" w:cs="Calibri"/>
          <w:b/>
          <w:bCs/>
          <w:lang w:val="ro-RO"/>
        </w:rPr>
      </w:pPr>
      <w:r w:rsidRPr="00834B27">
        <w:rPr>
          <w:rFonts w:ascii="Calibri" w:hAnsi="Calibri" w:cs="Calibri"/>
          <w:b/>
          <w:bCs/>
          <w:lang w:val="ro-RO"/>
        </w:rPr>
        <w:t>CASS</w:t>
      </w:r>
    </w:p>
    <w:p w14:paraId="5D77F0A4" w14:textId="41D6141C" w:rsidR="00D3202F" w:rsidRPr="00834B27" w:rsidRDefault="00D3202F" w:rsidP="00B91E74">
      <w:pPr>
        <w:spacing w:line="276" w:lineRule="auto"/>
        <w:jc w:val="both"/>
        <w:rPr>
          <w:rFonts w:ascii="Calibri" w:hAnsi="Calibri" w:cs="Calibri"/>
          <w:lang w:val="ro-RO"/>
        </w:rPr>
      </w:pPr>
      <w:r w:rsidRPr="00834B27">
        <w:rPr>
          <w:rFonts w:ascii="Calibri" w:hAnsi="Calibri" w:cs="Calibri"/>
          <w:b/>
          <w:bCs/>
          <w:u w:val="single"/>
          <w:lang w:val="ro-RO"/>
        </w:rPr>
        <w:t>Cota de CASS:</w:t>
      </w:r>
      <w:r w:rsidRPr="00834B27">
        <w:rPr>
          <w:rFonts w:ascii="Calibri" w:hAnsi="Calibri" w:cs="Calibri"/>
          <w:lang w:val="ro-RO"/>
        </w:rPr>
        <w:t xml:space="preserve"> 10%;</w:t>
      </w:r>
    </w:p>
    <w:p w14:paraId="2247D01C" w14:textId="65CBC789" w:rsidR="00D3202F" w:rsidRPr="00834B27" w:rsidRDefault="008C7F03" w:rsidP="00B91E74">
      <w:pPr>
        <w:spacing w:line="276" w:lineRule="auto"/>
        <w:jc w:val="both"/>
        <w:rPr>
          <w:rFonts w:ascii="Calibri" w:hAnsi="Calibri" w:cs="Calibri"/>
          <w:lang w:val="ro-RO"/>
        </w:rPr>
      </w:pPr>
      <w:r w:rsidRPr="00834B27">
        <w:rPr>
          <w:rFonts w:ascii="Calibri" w:hAnsi="Calibri" w:cs="Calibri"/>
          <w:b/>
          <w:bCs/>
          <w:u w:val="single"/>
          <w:lang w:val="ro-RO"/>
        </w:rPr>
        <w:t>Baza de calcul:</w:t>
      </w:r>
      <w:r w:rsidRPr="00834B27">
        <w:rPr>
          <w:rFonts w:ascii="Calibri" w:hAnsi="Calibri" w:cs="Calibri"/>
          <w:lang w:val="ro-RO"/>
        </w:rPr>
        <w:t xml:space="preserve"> aceste venituri sunt incluse </w:t>
      </w:r>
      <w:r w:rsidR="00E469EB" w:rsidRPr="00834B27">
        <w:rPr>
          <w:rFonts w:ascii="Calibri" w:hAnsi="Calibri" w:cs="Calibri"/>
          <w:lang w:val="ro-RO"/>
        </w:rPr>
        <w:t>î</w:t>
      </w:r>
      <w:r w:rsidRPr="00834B27">
        <w:rPr>
          <w:rFonts w:ascii="Calibri" w:hAnsi="Calibri" w:cs="Calibri"/>
          <w:lang w:val="ro-RO"/>
        </w:rPr>
        <w:t xml:space="preserve">n </w:t>
      </w:r>
      <w:r w:rsidR="00E469EB" w:rsidRPr="00834B27">
        <w:rPr>
          <w:rFonts w:ascii="Calibri" w:hAnsi="Calibri" w:cs="Calibri"/>
          <w:lang w:val="ro-RO"/>
        </w:rPr>
        <w:t>„</w:t>
      </w:r>
      <w:r w:rsidRPr="00834B27">
        <w:rPr>
          <w:rFonts w:ascii="Calibri" w:hAnsi="Calibri" w:cs="Calibri"/>
          <w:lang w:val="ro-RO"/>
        </w:rPr>
        <w:t>co</w:t>
      </w:r>
      <w:r w:rsidR="00E469EB" w:rsidRPr="00834B27">
        <w:rPr>
          <w:rFonts w:ascii="Calibri" w:hAnsi="Calibri" w:cs="Calibri"/>
          <w:lang w:val="ro-RO"/>
        </w:rPr>
        <w:t>ș</w:t>
      </w:r>
      <w:r w:rsidRPr="00834B27">
        <w:rPr>
          <w:rFonts w:ascii="Calibri" w:hAnsi="Calibri" w:cs="Calibri"/>
          <w:lang w:val="ro-RO"/>
        </w:rPr>
        <w:t>u</w:t>
      </w:r>
      <w:r w:rsidR="00A861CC" w:rsidRPr="00834B27">
        <w:rPr>
          <w:rFonts w:ascii="Calibri" w:hAnsi="Calibri" w:cs="Calibri"/>
          <w:lang w:val="ro-RO"/>
        </w:rPr>
        <w:t xml:space="preserve">l” de venituri, pentru care baza de calcul al CASS este 0/6/12/24 SM, </w:t>
      </w:r>
      <w:r w:rsidR="00E469EB" w:rsidRPr="00834B27">
        <w:rPr>
          <w:rFonts w:ascii="Calibri" w:hAnsi="Calibri" w:cs="Calibri"/>
          <w:lang w:val="ro-RO"/>
        </w:rPr>
        <w:t>î</w:t>
      </w:r>
      <w:r w:rsidR="00A861CC" w:rsidRPr="00834B27">
        <w:rPr>
          <w:rFonts w:ascii="Calibri" w:hAnsi="Calibri" w:cs="Calibri"/>
          <w:lang w:val="ro-RO"/>
        </w:rPr>
        <w:t xml:space="preserve">n </w:t>
      </w:r>
      <w:r w:rsidR="00E469EB" w:rsidRPr="00834B27">
        <w:rPr>
          <w:rFonts w:ascii="Calibri" w:hAnsi="Calibri" w:cs="Calibri"/>
          <w:lang w:val="ro-RO"/>
        </w:rPr>
        <w:t>func</w:t>
      </w:r>
      <w:r w:rsidR="00D77C4B" w:rsidRPr="00834B27">
        <w:rPr>
          <w:rFonts w:ascii="Calibri" w:hAnsi="Calibri" w:cs="Calibri"/>
          <w:lang w:val="ro-RO"/>
        </w:rPr>
        <w:t>ț</w:t>
      </w:r>
      <w:r w:rsidR="00E469EB" w:rsidRPr="00834B27">
        <w:rPr>
          <w:rFonts w:ascii="Calibri" w:hAnsi="Calibri" w:cs="Calibri"/>
          <w:lang w:val="ro-RO"/>
        </w:rPr>
        <w:t>ie</w:t>
      </w:r>
      <w:r w:rsidR="00A861CC" w:rsidRPr="00834B27">
        <w:rPr>
          <w:rFonts w:ascii="Calibri" w:hAnsi="Calibri" w:cs="Calibri"/>
          <w:lang w:val="ro-RO"/>
        </w:rPr>
        <w:t xml:space="preserve"> de suma veniturilor din </w:t>
      </w:r>
      <w:r w:rsidR="00E469EB" w:rsidRPr="00834B27">
        <w:rPr>
          <w:rFonts w:ascii="Calibri" w:hAnsi="Calibri" w:cs="Calibri"/>
          <w:lang w:val="ro-RO"/>
        </w:rPr>
        <w:t>„</w:t>
      </w:r>
      <w:r w:rsidR="00A861CC" w:rsidRPr="00834B27">
        <w:rPr>
          <w:rFonts w:ascii="Calibri" w:hAnsi="Calibri" w:cs="Calibri"/>
          <w:lang w:val="ro-RO"/>
        </w:rPr>
        <w:t>co</w:t>
      </w:r>
      <w:r w:rsidR="00E469EB" w:rsidRPr="00834B27">
        <w:rPr>
          <w:rFonts w:ascii="Calibri" w:hAnsi="Calibri" w:cs="Calibri"/>
          <w:lang w:val="ro-RO"/>
        </w:rPr>
        <w:t>ș</w:t>
      </w:r>
      <w:r w:rsidR="00A861CC" w:rsidRPr="00834B27">
        <w:rPr>
          <w:rFonts w:ascii="Calibri" w:hAnsi="Calibri" w:cs="Calibri"/>
          <w:lang w:val="ro-RO"/>
        </w:rPr>
        <w:t>”.</w:t>
      </w:r>
    </w:p>
    <w:p w14:paraId="45047248" w14:textId="091DD10A" w:rsidR="00E32A7C" w:rsidRPr="00834B27" w:rsidRDefault="00E32A7C" w:rsidP="00B91E74">
      <w:pPr>
        <w:spacing w:line="276" w:lineRule="auto"/>
        <w:jc w:val="both"/>
        <w:rPr>
          <w:rFonts w:ascii="Calibri" w:hAnsi="Calibri" w:cs="Calibri"/>
          <w:b/>
          <w:bCs/>
          <w:u w:val="single"/>
          <w:lang w:val="ro-RO"/>
        </w:rPr>
      </w:pPr>
      <w:r w:rsidRPr="00834B27">
        <w:rPr>
          <w:rFonts w:ascii="Calibri" w:hAnsi="Calibri" w:cs="Calibri"/>
          <w:b/>
          <w:bCs/>
          <w:u w:val="single"/>
          <w:lang w:val="ro-RO"/>
        </w:rPr>
        <w:t>Plata:</w:t>
      </w:r>
      <w:r w:rsidR="00407CFD" w:rsidRPr="00834B27">
        <w:rPr>
          <w:rFonts w:ascii="Calibri" w:hAnsi="Calibri" w:cs="Calibri"/>
          <w:b/>
          <w:bCs/>
          <w:u w:val="single"/>
          <w:lang w:val="ro-RO"/>
        </w:rPr>
        <w:t xml:space="preserve"> </w:t>
      </w:r>
      <w:r w:rsidR="000A1132" w:rsidRPr="00834B27">
        <w:rPr>
          <w:rFonts w:ascii="Calibri" w:hAnsi="Calibri" w:cs="Calibri"/>
          <w:b/>
          <w:bCs/>
          <w:u w:val="single"/>
          <w:lang w:val="ro-RO"/>
        </w:rPr>
        <w:t xml:space="preserve">anual, la termenul </w:t>
      </w:r>
      <w:r w:rsidR="00843333" w:rsidRPr="00834B27">
        <w:rPr>
          <w:rFonts w:ascii="Calibri" w:hAnsi="Calibri" w:cs="Calibri"/>
          <w:b/>
          <w:bCs/>
          <w:u w:val="single"/>
          <w:lang w:val="ro-RO"/>
        </w:rPr>
        <w:t xml:space="preserve">de depunere al D212. </w:t>
      </w:r>
    </w:p>
    <w:p w14:paraId="0E1021BE" w14:textId="77777777" w:rsidR="005030D8" w:rsidRPr="00834B27" w:rsidRDefault="005030D8" w:rsidP="00B91E74">
      <w:pPr>
        <w:spacing w:line="276" w:lineRule="auto"/>
        <w:jc w:val="both"/>
        <w:rPr>
          <w:rFonts w:ascii="Calibri" w:hAnsi="Calibri" w:cs="Calibri"/>
          <w:lang w:val="ro-RO"/>
        </w:rPr>
      </w:pPr>
    </w:p>
    <w:p w14:paraId="30E7A3F4" w14:textId="3432A080" w:rsidR="00FE15AD" w:rsidRPr="00834B27" w:rsidRDefault="007C488E" w:rsidP="009F2FDA">
      <w:pPr>
        <w:pStyle w:val="Listparagraf"/>
        <w:keepNext/>
        <w:numPr>
          <w:ilvl w:val="1"/>
          <w:numId w:val="5"/>
        </w:numPr>
        <w:spacing w:line="276" w:lineRule="auto"/>
        <w:ind w:left="720" w:hanging="720"/>
        <w:contextualSpacing w:val="0"/>
        <w:jc w:val="both"/>
        <w:outlineLvl w:val="1"/>
        <w:rPr>
          <w:rFonts w:ascii="Calibri" w:hAnsi="Calibri" w:cs="Calibri"/>
          <w:b/>
          <w:bCs/>
          <w:lang w:val="ro-RO"/>
        </w:rPr>
      </w:pPr>
      <w:r w:rsidRPr="00834B27">
        <w:rPr>
          <w:rFonts w:ascii="Calibri" w:hAnsi="Calibri" w:cs="Calibri"/>
          <w:b/>
          <w:bCs/>
          <w:lang w:val="ro-RO"/>
        </w:rPr>
        <w:t xml:space="preserve"> </w:t>
      </w:r>
      <w:bookmarkStart w:id="12" w:name="_Toc223643881"/>
      <w:r w:rsidRPr="00834B27">
        <w:rPr>
          <w:rFonts w:ascii="Calibri" w:hAnsi="Calibri" w:cs="Calibri"/>
          <w:b/>
          <w:bCs/>
          <w:lang w:val="ro-RO"/>
        </w:rPr>
        <w:t>Impozitarea sumelor ce nu pot fi justificate</w:t>
      </w:r>
      <w:bookmarkEnd w:id="12"/>
    </w:p>
    <w:p w14:paraId="13623956" w14:textId="69F0154B" w:rsidR="00071607" w:rsidRPr="00834B27" w:rsidRDefault="00923420" w:rsidP="005030D8">
      <w:pPr>
        <w:pStyle w:val="Listparagraf"/>
        <w:keepNext/>
        <w:numPr>
          <w:ilvl w:val="2"/>
          <w:numId w:val="31"/>
        </w:numPr>
        <w:spacing w:line="276" w:lineRule="auto"/>
        <w:contextualSpacing w:val="0"/>
        <w:jc w:val="both"/>
        <w:rPr>
          <w:rFonts w:ascii="Calibri" w:hAnsi="Calibri" w:cs="Calibri"/>
          <w:b/>
          <w:bCs/>
          <w:lang w:val="ro-RO"/>
        </w:rPr>
      </w:pPr>
      <w:r w:rsidRPr="00834B27">
        <w:rPr>
          <w:rFonts w:ascii="Calibri" w:hAnsi="Calibri" w:cs="Calibri"/>
          <w:b/>
          <w:bCs/>
          <w:lang w:val="ro-RO"/>
        </w:rPr>
        <w:t>IV</w:t>
      </w:r>
    </w:p>
    <w:p w14:paraId="1EAB7283" w14:textId="64B4E018" w:rsidR="007C488E" w:rsidRPr="00834B27" w:rsidRDefault="0070483C" w:rsidP="005030D8">
      <w:pPr>
        <w:keepNext/>
        <w:spacing w:line="276" w:lineRule="auto"/>
        <w:jc w:val="both"/>
        <w:rPr>
          <w:rFonts w:ascii="Calibri" w:hAnsi="Calibri" w:cs="Calibri"/>
          <w:lang w:val="ro-RO"/>
        </w:rPr>
      </w:pPr>
      <w:r w:rsidRPr="00834B27">
        <w:rPr>
          <w:rFonts w:ascii="Calibri" w:hAnsi="Calibri" w:cs="Calibri"/>
          <w:b/>
          <w:bCs/>
          <w:u w:val="single"/>
          <w:lang w:val="ro-RO"/>
        </w:rPr>
        <w:t xml:space="preserve">Cota de </w:t>
      </w:r>
      <w:r w:rsidR="003040FE" w:rsidRPr="00834B27">
        <w:rPr>
          <w:rFonts w:ascii="Calibri" w:hAnsi="Calibri" w:cs="Calibri"/>
          <w:b/>
          <w:bCs/>
          <w:u w:val="single"/>
          <w:lang w:val="ro-RO"/>
        </w:rPr>
        <w:t>IV:</w:t>
      </w:r>
      <w:r w:rsidR="003040FE" w:rsidRPr="00834B27">
        <w:rPr>
          <w:rFonts w:ascii="Calibri" w:hAnsi="Calibri" w:cs="Calibri"/>
          <w:lang w:val="ro-RO"/>
        </w:rPr>
        <w:t xml:space="preserve"> 70%</w:t>
      </w:r>
    </w:p>
    <w:p w14:paraId="1E2075F7" w14:textId="56CC17FB" w:rsidR="003040FE" w:rsidRPr="00834B27" w:rsidRDefault="003040FE" w:rsidP="00B91E74">
      <w:pPr>
        <w:spacing w:line="276" w:lineRule="auto"/>
        <w:jc w:val="both"/>
        <w:rPr>
          <w:rFonts w:ascii="Calibri" w:hAnsi="Calibri" w:cs="Calibri"/>
          <w:lang w:val="ro-RO"/>
        </w:rPr>
      </w:pPr>
      <w:r w:rsidRPr="00834B27">
        <w:rPr>
          <w:rFonts w:ascii="Calibri" w:hAnsi="Calibri" w:cs="Calibri"/>
          <w:b/>
          <w:bCs/>
          <w:u w:val="single"/>
          <w:lang w:val="ro-RO"/>
        </w:rPr>
        <w:t>Baza de calcul:</w:t>
      </w:r>
      <w:r w:rsidRPr="00834B27">
        <w:rPr>
          <w:rFonts w:ascii="Calibri" w:hAnsi="Calibri" w:cs="Calibri"/>
          <w:lang w:val="ro-RO"/>
        </w:rPr>
        <w:t xml:space="preserve"> stabilit</w:t>
      </w:r>
      <w:r w:rsidR="00E469EB" w:rsidRPr="00834B27">
        <w:rPr>
          <w:rFonts w:ascii="Calibri" w:hAnsi="Calibri" w:cs="Calibri"/>
          <w:lang w:val="ro-RO"/>
        </w:rPr>
        <w:t>ă</w:t>
      </w:r>
      <w:r w:rsidRPr="00834B27">
        <w:rPr>
          <w:rFonts w:ascii="Calibri" w:hAnsi="Calibri" w:cs="Calibri"/>
          <w:lang w:val="ro-RO"/>
        </w:rPr>
        <w:t xml:space="preserve"> de c</w:t>
      </w:r>
      <w:r w:rsidR="00E469EB" w:rsidRPr="00834B27">
        <w:rPr>
          <w:rFonts w:ascii="Calibri" w:hAnsi="Calibri" w:cs="Calibri"/>
          <w:lang w:val="ro-RO"/>
        </w:rPr>
        <w:t>ă</w:t>
      </w:r>
      <w:r w:rsidRPr="00834B27">
        <w:rPr>
          <w:rFonts w:ascii="Calibri" w:hAnsi="Calibri" w:cs="Calibri"/>
          <w:lang w:val="ro-RO"/>
        </w:rPr>
        <w:t xml:space="preserve">tre ANAF, </w:t>
      </w:r>
      <w:r w:rsidR="00E469EB" w:rsidRPr="00834B27">
        <w:rPr>
          <w:rFonts w:ascii="Calibri" w:hAnsi="Calibri" w:cs="Calibri"/>
          <w:lang w:val="ro-RO"/>
        </w:rPr>
        <w:t>î</w:t>
      </w:r>
      <w:r w:rsidRPr="00834B27">
        <w:rPr>
          <w:rFonts w:ascii="Calibri" w:hAnsi="Calibri" w:cs="Calibri"/>
          <w:lang w:val="ro-RO"/>
        </w:rPr>
        <w:t xml:space="preserve">n urma </w:t>
      </w:r>
      <w:r w:rsidR="00272048" w:rsidRPr="00834B27">
        <w:rPr>
          <w:rFonts w:ascii="Calibri" w:hAnsi="Calibri" w:cs="Calibri"/>
          <w:lang w:val="ro-RO"/>
        </w:rPr>
        <w:t>verific</w:t>
      </w:r>
      <w:r w:rsidR="00E469EB" w:rsidRPr="00834B27">
        <w:rPr>
          <w:rFonts w:ascii="Calibri" w:hAnsi="Calibri" w:cs="Calibri"/>
          <w:lang w:val="ro-RO"/>
        </w:rPr>
        <w:t>ă</w:t>
      </w:r>
      <w:r w:rsidR="00272048" w:rsidRPr="00834B27">
        <w:rPr>
          <w:rFonts w:ascii="Calibri" w:hAnsi="Calibri" w:cs="Calibri"/>
          <w:lang w:val="ro-RO"/>
        </w:rPr>
        <w:t>rii situa</w:t>
      </w:r>
      <w:r w:rsidR="00D77C4B" w:rsidRPr="00834B27">
        <w:rPr>
          <w:rFonts w:ascii="Calibri" w:hAnsi="Calibri" w:cs="Calibri"/>
          <w:lang w:val="ro-RO"/>
        </w:rPr>
        <w:t>ț</w:t>
      </w:r>
      <w:r w:rsidR="00272048" w:rsidRPr="00834B27">
        <w:rPr>
          <w:rFonts w:ascii="Calibri" w:hAnsi="Calibri" w:cs="Calibri"/>
          <w:lang w:val="ro-RO"/>
        </w:rPr>
        <w:t>iei fiscale</w:t>
      </w:r>
      <w:r w:rsidR="00DA50A9" w:rsidRPr="00834B27">
        <w:rPr>
          <w:rFonts w:ascii="Calibri" w:hAnsi="Calibri" w:cs="Calibri"/>
          <w:lang w:val="ro-RO"/>
        </w:rPr>
        <w:t>;</w:t>
      </w:r>
    </w:p>
    <w:p w14:paraId="5195339D" w14:textId="75320E44" w:rsidR="00DA50A9" w:rsidRPr="00834B27" w:rsidRDefault="00DA50A9" w:rsidP="00B91E74">
      <w:pPr>
        <w:spacing w:line="276" w:lineRule="auto"/>
        <w:jc w:val="both"/>
        <w:rPr>
          <w:rFonts w:ascii="Calibri" w:hAnsi="Calibri" w:cs="Calibri"/>
          <w:lang w:val="ro-RO"/>
        </w:rPr>
      </w:pPr>
      <w:r w:rsidRPr="00834B27">
        <w:rPr>
          <w:rFonts w:ascii="Calibri" w:hAnsi="Calibri" w:cs="Calibri"/>
          <w:b/>
          <w:bCs/>
          <w:u w:val="single"/>
          <w:lang w:val="ro-RO"/>
        </w:rPr>
        <w:t>Plata:</w:t>
      </w:r>
      <w:r w:rsidR="004E4818" w:rsidRPr="00834B27">
        <w:rPr>
          <w:rFonts w:ascii="Calibri" w:hAnsi="Calibri" w:cs="Calibri"/>
          <w:lang w:val="ro-RO"/>
        </w:rPr>
        <w:t xml:space="preserve"> data de</w:t>
      </w:r>
      <w:r w:rsidRPr="00834B27">
        <w:rPr>
          <w:rFonts w:ascii="Calibri" w:hAnsi="Calibri" w:cs="Calibri"/>
          <w:lang w:val="ro-RO"/>
        </w:rPr>
        <w:t xml:space="preserve"> 5 sau 20 a lunii </w:t>
      </w:r>
      <w:r w:rsidR="00E469EB" w:rsidRPr="00834B27">
        <w:rPr>
          <w:rFonts w:ascii="Calibri" w:hAnsi="Calibri" w:cs="Calibri"/>
          <w:lang w:val="ro-RO"/>
        </w:rPr>
        <w:t>următoare</w:t>
      </w:r>
      <w:r w:rsidRPr="00834B27">
        <w:rPr>
          <w:rFonts w:ascii="Calibri" w:hAnsi="Calibri" w:cs="Calibri"/>
          <w:lang w:val="ro-RO"/>
        </w:rPr>
        <w:t xml:space="preserve">, </w:t>
      </w:r>
      <w:r w:rsidR="00E469EB" w:rsidRPr="00834B27">
        <w:rPr>
          <w:rFonts w:ascii="Calibri" w:hAnsi="Calibri" w:cs="Calibri"/>
          <w:lang w:val="ro-RO"/>
        </w:rPr>
        <w:t>î</w:t>
      </w:r>
      <w:r w:rsidRPr="00834B27">
        <w:rPr>
          <w:rFonts w:ascii="Calibri" w:hAnsi="Calibri" w:cs="Calibri"/>
          <w:lang w:val="ro-RO"/>
        </w:rPr>
        <w:t xml:space="preserve">n </w:t>
      </w:r>
      <w:r w:rsidR="00E469EB" w:rsidRPr="00834B27">
        <w:rPr>
          <w:rFonts w:ascii="Calibri" w:hAnsi="Calibri" w:cs="Calibri"/>
          <w:lang w:val="ro-RO"/>
        </w:rPr>
        <w:t>func</w:t>
      </w:r>
      <w:r w:rsidR="00D77C4B" w:rsidRPr="00834B27">
        <w:rPr>
          <w:rFonts w:ascii="Calibri" w:hAnsi="Calibri" w:cs="Calibri"/>
          <w:lang w:val="ro-RO"/>
        </w:rPr>
        <w:t>ț</w:t>
      </w:r>
      <w:r w:rsidR="00E469EB" w:rsidRPr="00834B27">
        <w:rPr>
          <w:rFonts w:ascii="Calibri" w:hAnsi="Calibri" w:cs="Calibri"/>
          <w:lang w:val="ro-RO"/>
        </w:rPr>
        <w:t>ie</w:t>
      </w:r>
      <w:r w:rsidRPr="00834B27">
        <w:rPr>
          <w:rFonts w:ascii="Calibri" w:hAnsi="Calibri" w:cs="Calibri"/>
          <w:lang w:val="ro-RO"/>
        </w:rPr>
        <w:t xml:space="preserve"> de data emiterii </w:t>
      </w:r>
      <w:r w:rsidR="00122DA6" w:rsidRPr="00834B27">
        <w:rPr>
          <w:rFonts w:ascii="Calibri" w:hAnsi="Calibri" w:cs="Calibri"/>
          <w:lang w:val="ro-RO"/>
        </w:rPr>
        <w:t>deciziei de impunere.</w:t>
      </w:r>
    </w:p>
    <w:p w14:paraId="0752759A" w14:textId="77777777" w:rsidR="004E4818" w:rsidRPr="00834B27" w:rsidRDefault="004E4818" w:rsidP="00B91E74">
      <w:pPr>
        <w:spacing w:line="276" w:lineRule="auto"/>
        <w:jc w:val="both"/>
        <w:rPr>
          <w:rFonts w:ascii="Calibri" w:hAnsi="Calibri" w:cs="Calibri"/>
          <w:lang w:val="ro-RO"/>
        </w:rPr>
      </w:pPr>
    </w:p>
    <w:p w14:paraId="225C9479" w14:textId="384AC778" w:rsidR="00122DA6" w:rsidRPr="00834B27" w:rsidRDefault="00122DA6" w:rsidP="00B91E74">
      <w:pPr>
        <w:spacing w:line="276" w:lineRule="auto"/>
        <w:jc w:val="both"/>
        <w:rPr>
          <w:rFonts w:ascii="Calibri" w:hAnsi="Calibri" w:cs="Calibri"/>
          <w:b/>
          <w:bCs/>
          <w:i/>
          <w:iCs/>
          <w:lang w:val="ro-RO"/>
        </w:rPr>
      </w:pPr>
      <w:r w:rsidRPr="00834B27">
        <w:rPr>
          <w:rFonts w:ascii="Calibri" w:hAnsi="Calibri" w:cs="Calibri"/>
          <w:b/>
          <w:bCs/>
          <w:i/>
          <w:iCs/>
          <w:lang w:val="ro-RO"/>
        </w:rPr>
        <w:lastRenderedPageBreak/>
        <w:t>Scurt istoric</w:t>
      </w:r>
    </w:p>
    <w:p w14:paraId="6922D8E9" w14:textId="4D45CEC4" w:rsidR="00122DA6" w:rsidRPr="00834B27" w:rsidRDefault="00A302AA" w:rsidP="00B91E74">
      <w:pPr>
        <w:spacing w:line="276" w:lineRule="auto"/>
        <w:jc w:val="both"/>
        <w:rPr>
          <w:rFonts w:ascii="Calibri" w:hAnsi="Calibri" w:cs="Calibri"/>
          <w:i/>
          <w:iCs/>
          <w:lang w:val="ro-RO"/>
        </w:rPr>
      </w:pPr>
      <w:r w:rsidRPr="00834B27">
        <w:rPr>
          <w:rFonts w:ascii="Calibri" w:hAnsi="Calibri" w:cs="Calibri"/>
          <w:i/>
          <w:iCs/>
          <w:lang w:val="ro-RO"/>
        </w:rPr>
        <w:t>Reglementarea a fost introdus</w:t>
      </w:r>
      <w:r w:rsidR="00E469EB" w:rsidRPr="00834B27">
        <w:rPr>
          <w:rFonts w:ascii="Calibri" w:hAnsi="Calibri" w:cs="Calibri"/>
          <w:i/>
          <w:iCs/>
          <w:lang w:val="ro-RO"/>
        </w:rPr>
        <w:t>ă</w:t>
      </w:r>
      <w:r w:rsidRPr="00834B27">
        <w:rPr>
          <w:rFonts w:ascii="Calibri" w:hAnsi="Calibri" w:cs="Calibri"/>
          <w:i/>
          <w:iCs/>
          <w:lang w:val="ro-RO"/>
        </w:rPr>
        <w:t xml:space="preserve"> din anul 2011, </w:t>
      </w:r>
      <w:r w:rsidR="004E4818" w:rsidRPr="00834B27">
        <w:rPr>
          <w:rFonts w:ascii="Calibri" w:hAnsi="Calibri" w:cs="Calibri"/>
          <w:i/>
          <w:iCs/>
          <w:lang w:val="ro-RO"/>
        </w:rPr>
        <w:t xml:space="preserve">ca </w:t>
      </w:r>
      <w:r w:rsidRPr="00834B27">
        <w:rPr>
          <w:rFonts w:ascii="Calibri" w:hAnsi="Calibri" w:cs="Calibri"/>
          <w:i/>
          <w:iCs/>
          <w:lang w:val="ro-RO"/>
        </w:rPr>
        <w:t xml:space="preserve">urmare a </w:t>
      </w:r>
      <w:r w:rsidR="00E469EB" w:rsidRPr="00834B27">
        <w:rPr>
          <w:rFonts w:ascii="Calibri" w:hAnsi="Calibri" w:cs="Calibri"/>
          <w:i/>
          <w:iCs/>
          <w:lang w:val="ro-RO"/>
        </w:rPr>
        <w:t>solicitărilor</w:t>
      </w:r>
      <w:r w:rsidRPr="00834B27">
        <w:rPr>
          <w:rFonts w:ascii="Calibri" w:hAnsi="Calibri" w:cs="Calibri"/>
          <w:i/>
          <w:iCs/>
          <w:lang w:val="ro-RO"/>
        </w:rPr>
        <w:t xml:space="preserve"> venite de la FMI, dar fiind introdus</w:t>
      </w:r>
      <w:r w:rsidR="00E469EB" w:rsidRPr="00834B27">
        <w:rPr>
          <w:rFonts w:ascii="Calibri" w:hAnsi="Calibri" w:cs="Calibri"/>
          <w:i/>
          <w:iCs/>
          <w:lang w:val="ro-RO"/>
        </w:rPr>
        <w:t>ă</w:t>
      </w:r>
      <w:r w:rsidRPr="00834B27">
        <w:rPr>
          <w:rFonts w:ascii="Calibri" w:hAnsi="Calibri" w:cs="Calibri"/>
          <w:i/>
          <w:iCs/>
          <w:lang w:val="ro-RO"/>
        </w:rPr>
        <w:t xml:space="preserve"> </w:t>
      </w:r>
      <w:r w:rsidR="004C0A28" w:rsidRPr="00834B27">
        <w:rPr>
          <w:rFonts w:ascii="Calibri" w:hAnsi="Calibri" w:cs="Calibri"/>
          <w:i/>
          <w:iCs/>
          <w:lang w:val="ro-RO"/>
        </w:rPr>
        <w:t>f</w:t>
      </w:r>
      <w:r w:rsidR="00E469EB" w:rsidRPr="00834B27">
        <w:rPr>
          <w:rFonts w:ascii="Calibri" w:hAnsi="Calibri" w:cs="Calibri"/>
          <w:i/>
          <w:iCs/>
          <w:lang w:val="ro-RO"/>
        </w:rPr>
        <w:t>ă</w:t>
      </w:r>
      <w:r w:rsidR="004C0A28" w:rsidRPr="00834B27">
        <w:rPr>
          <w:rFonts w:ascii="Calibri" w:hAnsi="Calibri" w:cs="Calibri"/>
          <w:i/>
          <w:iCs/>
          <w:lang w:val="ro-RO"/>
        </w:rPr>
        <w:t>r</w:t>
      </w:r>
      <w:r w:rsidR="00E469EB" w:rsidRPr="00834B27">
        <w:rPr>
          <w:rFonts w:ascii="Calibri" w:hAnsi="Calibri" w:cs="Calibri"/>
          <w:i/>
          <w:iCs/>
          <w:lang w:val="ro-RO"/>
        </w:rPr>
        <w:t>ă</w:t>
      </w:r>
      <w:r w:rsidR="004C0A28" w:rsidRPr="00834B27">
        <w:rPr>
          <w:rFonts w:ascii="Calibri" w:hAnsi="Calibri" w:cs="Calibri"/>
          <w:i/>
          <w:iCs/>
          <w:lang w:val="ro-RO"/>
        </w:rPr>
        <w:t xml:space="preserve"> a reglementa </w:t>
      </w:r>
      <w:r w:rsidR="00E469EB" w:rsidRPr="00834B27">
        <w:rPr>
          <w:rFonts w:ascii="Calibri" w:hAnsi="Calibri" w:cs="Calibri"/>
          <w:i/>
          <w:iCs/>
          <w:lang w:val="ro-RO"/>
        </w:rPr>
        <w:t>ș</w:t>
      </w:r>
      <w:r w:rsidR="004C0A28" w:rsidRPr="00834B27">
        <w:rPr>
          <w:rFonts w:ascii="Calibri" w:hAnsi="Calibri" w:cs="Calibri"/>
          <w:i/>
          <w:iCs/>
          <w:lang w:val="ro-RO"/>
        </w:rPr>
        <w:t xml:space="preserve">i sistemul de </w:t>
      </w:r>
      <w:r w:rsidR="00E469EB" w:rsidRPr="00834B27">
        <w:rPr>
          <w:rFonts w:ascii="Calibri" w:hAnsi="Calibri" w:cs="Calibri"/>
          <w:i/>
          <w:iCs/>
          <w:lang w:val="ro-RO"/>
        </w:rPr>
        <w:t>referin</w:t>
      </w:r>
      <w:r w:rsidR="00D77C4B" w:rsidRPr="00834B27">
        <w:rPr>
          <w:rFonts w:ascii="Calibri" w:hAnsi="Calibri" w:cs="Calibri"/>
          <w:i/>
          <w:iCs/>
          <w:lang w:val="ro-RO"/>
        </w:rPr>
        <w:t>ț</w:t>
      </w:r>
      <w:r w:rsidR="00E469EB" w:rsidRPr="00834B27">
        <w:rPr>
          <w:rFonts w:ascii="Calibri" w:hAnsi="Calibri" w:cs="Calibri"/>
          <w:i/>
          <w:iCs/>
          <w:lang w:val="ro-RO"/>
        </w:rPr>
        <w:t>ă</w:t>
      </w:r>
      <w:r w:rsidR="004C0A28" w:rsidRPr="00834B27">
        <w:rPr>
          <w:rFonts w:ascii="Calibri" w:hAnsi="Calibri" w:cs="Calibri"/>
          <w:i/>
          <w:iCs/>
          <w:lang w:val="ro-RO"/>
        </w:rPr>
        <w:t xml:space="preserve">, efectele au fost </w:t>
      </w:r>
      <w:r w:rsidR="003831BD" w:rsidRPr="00834B27">
        <w:rPr>
          <w:rFonts w:ascii="Calibri" w:hAnsi="Calibri" w:cs="Calibri"/>
          <w:i/>
          <w:iCs/>
          <w:lang w:val="ro-RO"/>
        </w:rPr>
        <w:t xml:space="preserve">extrem de </w:t>
      </w:r>
      <w:r w:rsidR="00E469EB" w:rsidRPr="00834B27">
        <w:rPr>
          <w:rFonts w:ascii="Calibri" w:hAnsi="Calibri" w:cs="Calibri"/>
          <w:i/>
          <w:iCs/>
          <w:lang w:val="ro-RO"/>
        </w:rPr>
        <w:t>scăzute</w:t>
      </w:r>
      <w:r w:rsidR="003831BD" w:rsidRPr="00834B27">
        <w:rPr>
          <w:rFonts w:ascii="Calibri" w:hAnsi="Calibri" w:cs="Calibri"/>
          <w:i/>
          <w:iCs/>
          <w:lang w:val="ro-RO"/>
        </w:rPr>
        <w:t xml:space="preserve">: </w:t>
      </w:r>
      <w:r w:rsidR="004E4818" w:rsidRPr="00834B27">
        <w:rPr>
          <w:rFonts w:ascii="Calibri" w:hAnsi="Calibri" w:cs="Calibri"/>
          <w:i/>
          <w:iCs/>
          <w:lang w:val="ro-RO"/>
        </w:rPr>
        <w:t>Î</w:t>
      </w:r>
      <w:r w:rsidR="003831BD" w:rsidRPr="00834B27">
        <w:rPr>
          <w:rFonts w:ascii="Calibri" w:hAnsi="Calibri" w:cs="Calibri"/>
          <w:i/>
          <w:iCs/>
          <w:lang w:val="ro-RO"/>
        </w:rPr>
        <w:t>n perioada ianuarie 2011 – iulie 2023</w:t>
      </w:r>
      <w:r w:rsidR="006E092A" w:rsidRPr="00834B27">
        <w:rPr>
          <w:rFonts w:ascii="Calibri" w:hAnsi="Calibri" w:cs="Calibri"/>
          <w:i/>
          <w:iCs/>
          <w:lang w:val="ro-RO"/>
        </w:rPr>
        <w:t xml:space="preserve"> (12 ani </w:t>
      </w:r>
      <w:r w:rsidR="007F38A1" w:rsidRPr="00834B27">
        <w:rPr>
          <w:rFonts w:ascii="Calibri" w:hAnsi="Calibri" w:cs="Calibri"/>
          <w:i/>
          <w:iCs/>
          <w:lang w:val="ro-RO"/>
        </w:rPr>
        <w:t>ș</w:t>
      </w:r>
      <w:r w:rsidR="006E092A" w:rsidRPr="00834B27">
        <w:rPr>
          <w:rFonts w:ascii="Calibri" w:hAnsi="Calibri" w:cs="Calibri"/>
          <w:i/>
          <w:iCs/>
          <w:lang w:val="ro-RO"/>
        </w:rPr>
        <w:t>i 7 luni)</w:t>
      </w:r>
      <w:r w:rsidR="002D0EB8" w:rsidRPr="00834B27">
        <w:rPr>
          <w:rFonts w:ascii="Calibri" w:hAnsi="Calibri" w:cs="Calibri"/>
          <w:i/>
          <w:iCs/>
          <w:lang w:val="ro-RO"/>
        </w:rPr>
        <w:t xml:space="preserve">, ANAF colectase cu </w:t>
      </w:r>
      <w:r w:rsidR="002573DD" w:rsidRPr="00834B27">
        <w:rPr>
          <w:rFonts w:ascii="Calibri" w:hAnsi="Calibri" w:cs="Calibri"/>
          <w:i/>
          <w:iCs/>
          <w:lang w:val="ro-RO"/>
        </w:rPr>
        <w:t>pu</w:t>
      </w:r>
      <w:r w:rsidR="00D77C4B" w:rsidRPr="00834B27">
        <w:rPr>
          <w:rFonts w:ascii="Calibri" w:hAnsi="Calibri" w:cs="Calibri"/>
          <w:i/>
          <w:iCs/>
          <w:lang w:val="ro-RO"/>
        </w:rPr>
        <w:t>ț</w:t>
      </w:r>
      <w:r w:rsidR="002573DD" w:rsidRPr="00834B27">
        <w:rPr>
          <w:rFonts w:ascii="Calibri" w:hAnsi="Calibri" w:cs="Calibri"/>
          <w:i/>
          <w:iCs/>
          <w:lang w:val="ro-RO"/>
        </w:rPr>
        <w:t>in</w:t>
      </w:r>
      <w:r w:rsidR="002D0EB8" w:rsidRPr="00834B27">
        <w:rPr>
          <w:rFonts w:ascii="Calibri" w:hAnsi="Calibri" w:cs="Calibri"/>
          <w:i/>
          <w:iCs/>
          <w:lang w:val="ro-RO"/>
        </w:rPr>
        <w:t xml:space="preserve"> peste 120 milioane lei</w:t>
      </w:r>
      <w:r w:rsidR="002E634D" w:rsidRPr="00834B27">
        <w:rPr>
          <w:rFonts w:ascii="Calibri" w:hAnsi="Calibri" w:cs="Calibri"/>
          <w:i/>
          <w:iCs/>
          <w:lang w:val="ro-RO"/>
        </w:rPr>
        <w:t xml:space="preserve">, costurile doar cu salariile </w:t>
      </w:r>
      <w:r w:rsidR="004D6A68" w:rsidRPr="00834B27">
        <w:rPr>
          <w:rFonts w:ascii="Calibri" w:hAnsi="Calibri" w:cs="Calibri"/>
          <w:i/>
          <w:iCs/>
          <w:lang w:val="ro-RO"/>
        </w:rPr>
        <w:t xml:space="preserve">inspectorilor </w:t>
      </w:r>
      <w:r w:rsidR="00E469EB" w:rsidRPr="00834B27">
        <w:rPr>
          <w:rFonts w:ascii="Calibri" w:hAnsi="Calibri" w:cs="Calibri"/>
          <w:i/>
          <w:iCs/>
          <w:lang w:val="ro-RO"/>
        </w:rPr>
        <w:t>angaja</w:t>
      </w:r>
      <w:r w:rsidR="00D77C4B" w:rsidRPr="00834B27">
        <w:rPr>
          <w:rFonts w:ascii="Calibri" w:hAnsi="Calibri" w:cs="Calibri"/>
          <w:i/>
          <w:iCs/>
          <w:lang w:val="ro-RO"/>
        </w:rPr>
        <w:t>ț</w:t>
      </w:r>
      <w:r w:rsidR="00E469EB" w:rsidRPr="00834B27">
        <w:rPr>
          <w:rFonts w:ascii="Calibri" w:hAnsi="Calibri" w:cs="Calibri"/>
          <w:i/>
          <w:iCs/>
          <w:lang w:val="ro-RO"/>
        </w:rPr>
        <w:t>i</w:t>
      </w:r>
      <w:r w:rsidR="004D6A68" w:rsidRPr="00834B27">
        <w:rPr>
          <w:rFonts w:ascii="Calibri" w:hAnsi="Calibri" w:cs="Calibri"/>
          <w:i/>
          <w:iCs/>
          <w:lang w:val="ro-RO"/>
        </w:rPr>
        <w:t xml:space="preserve"> la </w:t>
      </w:r>
      <w:r w:rsidR="00E469EB" w:rsidRPr="00834B27">
        <w:rPr>
          <w:rFonts w:ascii="Calibri" w:hAnsi="Calibri" w:cs="Calibri"/>
          <w:i/>
          <w:iCs/>
          <w:lang w:val="ro-RO"/>
        </w:rPr>
        <w:t>direc</w:t>
      </w:r>
      <w:r w:rsidR="00D77C4B" w:rsidRPr="00834B27">
        <w:rPr>
          <w:rFonts w:ascii="Calibri" w:hAnsi="Calibri" w:cs="Calibri"/>
          <w:i/>
          <w:iCs/>
          <w:lang w:val="ro-RO"/>
        </w:rPr>
        <w:t>ț</w:t>
      </w:r>
      <w:r w:rsidR="00E469EB" w:rsidRPr="00834B27">
        <w:rPr>
          <w:rFonts w:ascii="Calibri" w:hAnsi="Calibri" w:cs="Calibri"/>
          <w:i/>
          <w:iCs/>
          <w:lang w:val="ro-RO"/>
        </w:rPr>
        <w:t>ia</w:t>
      </w:r>
      <w:r w:rsidR="004D6A68" w:rsidRPr="00834B27">
        <w:rPr>
          <w:rFonts w:ascii="Calibri" w:hAnsi="Calibri" w:cs="Calibri"/>
          <w:i/>
          <w:iCs/>
          <w:lang w:val="ro-RO"/>
        </w:rPr>
        <w:t xml:space="preserve"> central</w:t>
      </w:r>
      <w:r w:rsidR="007F38A1" w:rsidRPr="00834B27">
        <w:rPr>
          <w:rFonts w:ascii="Calibri" w:hAnsi="Calibri" w:cs="Calibri"/>
          <w:i/>
          <w:iCs/>
          <w:lang w:val="ro-RO"/>
        </w:rPr>
        <w:t>ă</w:t>
      </w:r>
      <w:r w:rsidR="004D6A68" w:rsidRPr="00834B27">
        <w:rPr>
          <w:rFonts w:ascii="Calibri" w:hAnsi="Calibri" w:cs="Calibri"/>
          <w:i/>
          <w:iCs/>
          <w:lang w:val="ro-RO"/>
        </w:rPr>
        <w:t xml:space="preserve"> de specialitate din ANAF</w:t>
      </w:r>
      <w:r w:rsidR="007F38A1" w:rsidRPr="00834B27">
        <w:rPr>
          <w:rFonts w:ascii="Calibri" w:hAnsi="Calibri" w:cs="Calibri"/>
          <w:i/>
          <w:iCs/>
          <w:lang w:val="ro-RO"/>
        </w:rPr>
        <w:t>,</w:t>
      </w:r>
      <w:r w:rsidR="004D6A68" w:rsidRPr="00834B27">
        <w:rPr>
          <w:rFonts w:ascii="Calibri" w:hAnsi="Calibri" w:cs="Calibri"/>
          <w:i/>
          <w:iCs/>
          <w:lang w:val="ro-RO"/>
        </w:rPr>
        <w:t xml:space="preserve"> fiind cel </w:t>
      </w:r>
      <w:r w:rsidR="002573DD" w:rsidRPr="00834B27">
        <w:rPr>
          <w:rFonts w:ascii="Calibri" w:hAnsi="Calibri" w:cs="Calibri"/>
          <w:i/>
          <w:iCs/>
          <w:lang w:val="ro-RO"/>
        </w:rPr>
        <w:t>pu</w:t>
      </w:r>
      <w:r w:rsidR="00D77C4B" w:rsidRPr="00834B27">
        <w:rPr>
          <w:rFonts w:ascii="Calibri" w:hAnsi="Calibri" w:cs="Calibri"/>
          <w:i/>
          <w:iCs/>
          <w:lang w:val="ro-RO"/>
        </w:rPr>
        <w:t>ț</w:t>
      </w:r>
      <w:r w:rsidR="002573DD" w:rsidRPr="00834B27">
        <w:rPr>
          <w:rFonts w:ascii="Calibri" w:hAnsi="Calibri" w:cs="Calibri"/>
          <w:i/>
          <w:iCs/>
          <w:lang w:val="ro-RO"/>
        </w:rPr>
        <w:t>in</w:t>
      </w:r>
      <w:r w:rsidR="004D6A68" w:rsidRPr="00834B27">
        <w:rPr>
          <w:rFonts w:ascii="Calibri" w:hAnsi="Calibri" w:cs="Calibri"/>
          <w:i/>
          <w:iCs/>
          <w:lang w:val="ro-RO"/>
        </w:rPr>
        <w:t xml:space="preserve"> </w:t>
      </w:r>
      <w:r w:rsidR="00B03601" w:rsidRPr="00834B27">
        <w:rPr>
          <w:rFonts w:ascii="Calibri" w:hAnsi="Calibri" w:cs="Calibri"/>
          <w:i/>
          <w:iCs/>
          <w:lang w:val="ro-RO"/>
        </w:rPr>
        <w:t>duble</w:t>
      </w:r>
      <w:r w:rsidR="00E32A7C" w:rsidRPr="00834B27">
        <w:rPr>
          <w:rStyle w:val="Referinnotdesubsol"/>
          <w:rFonts w:ascii="Calibri" w:hAnsi="Calibri" w:cs="Calibri"/>
          <w:i/>
          <w:iCs/>
          <w:lang w:val="ro-RO"/>
        </w:rPr>
        <w:footnoteReference w:id="13"/>
      </w:r>
      <w:r w:rsidR="00B03601" w:rsidRPr="00834B27">
        <w:rPr>
          <w:rFonts w:ascii="Calibri" w:hAnsi="Calibri" w:cs="Calibri"/>
          <w:i/>
          <w:iCs/>
          <w:lang w:val="ro-RO"/>
        </w:rPr>
        <w:t xml:space="preserve">, raportul fiind </w:t>
      </w:r>
      <w:r w:rsidR="002573DD" w:rsidRPr="00834B27">
        <w:rPr>
          <w:rFonts w:ascii="Calibri" w:hAnsi="Calibri" w:cs="Calibri"/>
          <w:i/>
          <w:iCs/>
          <w:lang w:val="ro-RO"/>
        </w:rPr>
        <w:t>însă</w:t>
      </w:r>
      <w:r w:rsidR="00B03601" w:rsidRPr="00834B27">
        <w:rPr>
          <w:rFonts w:ascii="Calibri" w:hAnsi="Calibri" w:cs="Calibri"/>
          <w:i/>
          <w:iCs/>
          <w:lang w:val="ro-RO"/>
        </w:rPr>
        <w:t xml:space="preserve"> mult mai mare </w:t>
      </w:r>
      <w:r w:rsidR="00921E41" w:rsidRPr="00834B27">
        <w:rPr>
          <w:rFonts w:ascii="Calibri" w:hAnsi="Calibri" w:cs="Calibri"/>
          <w:i/>
          <w:iCs/>
          <w:lang w:val="ro-RO"/>
        </w:rPr>
        <w:t>dac</w:t>
      </w:r>
      <w:r w:rsidR="002573DD" w:rsidRPr="00834B27">
        <w:rPr>
          <w:rFonts w:ascii="Calibri" w:hAnsi="Calibri" w:cs="Calibri"/>
          <w:i/>
          <w:iCs/>
          <w:lang w:val="ro-RO"/>
        </w:rPr>
        <w:t>ă</w:t>
      </w:r>
      <w:r w:rsidR="00921E41" w:rsidRPr="00834B27">
        <w:rPr>
          <w:rFonts w:ascii="Calibri" w:hAnsi="Calibri" w:cs="Calibri"/>
          <w:i/>
          <w:iCs/>
          <w:lang w:val="ro-RO"/>
        </w:rPr>
        <w:t xml:space="preserve"> </w:t>
      </w:r>
      <w:r w:rsidR="00D77C4B" w:rsidRPr="00834B27">
        <w:rPr>
          <w:rFonts w:ascii="Calibri" w:hAnsi="Calibri" w:cs="Calibri"/>
          <w:i/>
          <w:iCs/>
          <w:lang w:val="ro-RO"/>
        </w:rPr>
        <w:t>ț</w:t>
      </w:r>
      <w:r w:rsidR="002573DD" w:rsidRPr="00834B27">
        <w:rPr>
          <w:rFonts w:ascii="Calibri" w:hAnsi="Calibri" w:cs="Calibri"/>
          <w:i/>
          <w:iCs/>
          <w:lang w:val="ro-RO"/>
        </w:rPr>
        <w:t>inem</w:t>
      </w:r>
      <w:r w:rsidR="00921E41" w:rsidRPr="00834B27">
        <w:rPr>
          <w:rFonts w:ascii="Calibri" w:hAnsi="Calibri" w:cs="Calibri"/>
          <w:i/>
          <w:iCs/>
          <w:lang w:val="ro-RO"/>
        </w:rPr>
        <w:t xml:space="preserve"> cont c</w:t>
      </w:r>
      <w:r w:rsidR="002573DD" w:rsidRPr="00834B27">
        <w:rPr>
          <w:rFonts w:ascii="Calibri" w:hAnsi="Calibri" w:cs="Calibri"/>
          <w:i/>
          <w:iCs/>
          <w:lang w:val="ro-RO"/>
        </w:rPr>
        <w:t>ă</w:t>
      </w:r>
      <w:r w:rsidR="00921E41" w:rsidRPr="00834B27">
        <w:rPr>
          <w:rFonts w:ascii="Calibri" w:hAnsi="Calibri" w:cs="Calibri"/>
          <w:i/>
          <w:iCs/>
          <w:lang w:val="ro-RO"/>
        </w:rPr>
        <w:t xml:space="preserve"> </w:t>
      </w:r>
      <w:r w:rsidR="002573DD" w:rsidRPr="00834B27">
        <w:rPr>
          <w:rFonts w:ascii="Calibri" w:hAnsi="Calibri" w:cs="Calibri"/>
          <w:i/>
          <w:iCs/>
          <w:lang w:val="ro-RO"/>
        </w:rPr>
        <w:t>inspec</w:t>
      </w:r>
      <w:r w:rsidR="00D77C4B" w:rsidRPr="00834B27">
        <w:rPr>
          <w:rFonts w:ascii="Calibri" w:hAnsi="Calibri" w:cs="Calibri"/>
          <w:i/>
          <w:iCs/>
          <w:lang w:val="ro-RO"/>
        </w:rPr>
        <w:t>ț</w:t>
      </w:r>
      <w:r w:rsidR="002573DD" w:rsidRPr="00834B27">
        <w:rPr>
          <w:rFonts w:ascii="Calibri" w:hAnsi="Calibri" w:cs="Calibri"/>
          <w:i/>
          <w:iCs/>
          <w:lang w:val="ro-RO"/>
        </w:rPr>
        <w:t>iile</w:t>
      </w:r>
      <w:r w:rsidR="00921E41" w:rsidRPr="00834B27">
        <w:rPr>
          <w:rFonts w:ascii="Calibri" w:hAnsi="Calibri" w:cs="Calibri"/>
          <w:i/>
          <w:iCs/>
          <w:lang w:val="ro-RO"/>
        </w:rPr>
        <w:t xml:space="preserve"> nu sunt efectuate de </w:t>
      </w:r>
      <w:r w:rsidR="002573DD" w:rsidRPr="00834B27">
        <w:rPr>
          <w:rFonts w:ascii="Calibri" w:hAnsi="Calibri" w:cs="Calibri"/>
          <w:i/>
          <w:iCs/>
          <w:lang w:val="ro-RO"/>
        </w:rPr>
        <w:t>aceștia</w:t>
      </w:r>
      <w:r w:rsidR="00921E41" w:rsidRPr="00834B27">
        <w:rPr>
          <w:rFonts w:ascii="Calibri" w:hAnsi="Calibri" w:cs="Calibri"/>
          <w:i/>
          <w:iCs/>
          <w:lang w:val="ro-RO"/>
        </w:rPr>
        <w:t xml:space="preserve">, ci de inspectorii de la </w:t>
      </w:r>
      <w:r w:rsidR="002573DD" w:rsidRPr="00834B27">
        <w:rPr>
          <w:rFonts w:ascii="Calibri" w:hAnsi="Calibri" w:cs="Calibri"/>
          <w:i/>
          <w:iCs/>
          <w:lang w:val="ro-RO"/>
        </w:rPr>
        <w:t>direc</w:t>
      </w:r>
      <w:r w:rsidR="00D77C4B" w:rsidRPr="00834B27">
        <w:rPr>
          <w:rFonts w:ascii="Calibri" w:hAnsi="Calibri" w:cs="Calibri"/>
          <w:i/>
          <w:iCs/>
          <w:lang w:val="ro-RO"/>
        </w:rPr>
        <w:t>ț</w:t>
      </w:r>
      <w:r w:rsidR="002573DD" w:rsidRPr="00834B27">
        <w:rPr>
          <w:rFonts w:ascii="Calibri" w:hAnsi="Calibri" w:cs="Calibri"/>
          <w:i/>
          <w:iCs/>
          <w:lang w:val="ro-RO"/>
        </w:rPr>
        <w:t>iile</w:t>
      </w:r>
      <w:r w:rsidR="00921E41" w:rsidRPr="00834B27">
        <w:rPr>
          <w:rFonts w:ascii="Calibri" w:hAnsi="Calibri" w:cs="Calibri"/>
          <w:i/>
          <w:iCs/>
          <w:lang w:val="ro-RO"/>
        </w:rPr>
        <w:t xml:space="preserve"> </w:t>
      </w:r>
      <w:r w:rsidR="002573DD" w:rsidRPr="00834B27">
        <w:rPr>
          <w:rFonts w:ascii="Calibri" w:hAnsi="Calibri" w:cs="Calibri"/>
          <w:i/>
          <w:iCs/>
          <w:lang w:val="ro-RO"/>
        </w:rPr>
        <w:t>jude</w:t>
      </w:r>
      <w:r w:rsidR="00D77C4B" w:rsidRPr="00834B27">
        <w:rPr>
          <w:rFonts w:ascii="Calibri" w:hAnsi="Calibri" w:cs="Calibri"/>
          <w:i/>
          <w:iCs/>
          <w:lang w:val="ro-RO"/>
        </w:rPr>
        <w:t>ț</w:t>
      </w:r>
      <w:r w:rsidR="002573DD" w:rsidRPr="00834B27">
        <w:rPr>
          <w:rFonts w:ascii="Calibri" w:hAnsi="Calibri" w:cs="Calibri"/>
          <w:i/>
          <w:iCs/>
          <w:lang w:val="ro-RO"/>
        </w:rPr>
        <w:t>ene</w:t>
      </w:r>
      <w:r w:rsidR="00921E41" w:rsidRPr="00834B27">
        <w:rPr>
          <w:rFonts w:ascii="Calibri" w:hAnsi="Calibri" w:cs="Calibri"/>
          <w:i/>
          <w:iCs/>
          <w:lang w:val="ro-RO"/>
        </w:rPr>
        <w:t>.</w:t>
      </w:r>
      <w:r w:rsidR="00C45E69" w:rsidRPr="00834B27">
        <w:rPr>
          <w:rFonts w:ascii="Calibri" w:hAnsi="Calibri" w:cs="Calibri"/>
          <w:i/>
          <w:iCs/>
          <w:lang w:val="ro-RO"/>
        </w:rPr>
        <w:t xml:space="preserve"> Rezult</w:t>
      </w:r>
      <w:r w:rsidR="007F38A1" w:rsidRPr="00834B27">
        <w:rPr>
          <w:rFonts w:ascii="Calibri" w:hAnsi="Calibri" w:cs="Calibri"/>
          <w:i/>
          <w:iCs/>
          <w:lang w:val="ro-RO"/>
        </w:rPr>
        <w:t>ă</w:t>
      </w:r>
      <w:r w:rsidR="00C45E69" w:rsidRPr="00834B27">
        <w:rPr>
          <w:rFonts w:ascii="Calibri" w:hAnsi="Calibri" w:cs="Calibri"/>
          <w:i/>
          <w:iCs/>
          <w:lang w:val="ro-RO"/>
        </w:rPr>
        <w:t xml:space="preserve"> deci o ineficien</w:t>
      </w:r>
      <w:r w:rsidR="00D77C4B" w:rsidRPr="00834B27">
        <w:rPr>
          <w:rFonts w:ascii="Calibri" w:hAnsi="Calibri" w:cs="Calibri"/>
          <w:i/>
          <w:iCs/>
          <w:lang w:val="ro-RO"/>
        </w:rPr>
        <w:t>ț</w:t>
      </w:r>
      <w:r w:rsidR="007F38A1" w:rsidRPr="00834B27">
        <w:rPr>
          <w:rFonts w:ascii="Calibri" w:hAnsi="Calibri" w:cs="Calibri"/>
          <w:i/>
          <w:iCs/>
          <w:lang w:val="ro-RO"/>
        </w:rPr>
        <w:t>ă</w:t>
      </w:r>
      <w:r w:rsidR="00C45E69" w:rsidRPr="00834B27">
        <w:rPr>
          <w:rFonts w:ascii="Calibri" w:hAnsi="Calibri" w:cs="Calibri"/>
          <w:i/>
          <w:iCs/>
          <w:lang w:val="ro-RO"/>
        </w:rPr>
        <w:t xml:space="preserve"> </w:t>
      </w:r>
      <w:r w:rsidR="00BD0C3D" w:rsidRPr="00834B27">
        <w:rPr>
          <w:rFonts w:ascii="Calibri" w:hAnsi="Calibri" w:cs="Calibri"/>
          <w:i/>
          <w:iCs/>
          <w:lang w:val="ro-RO"/>
        </w:rPr>
        <w:t>evident</w:t>
      </w:r>
      <w:r w:rsidR="007F38A1" w:rsidRPr="00834B27">
        <w:rPr>
          <w:rFonts w:ascii="Calibri" w:hAnsi="Calibri" w:cs="Calibri"/>
          <w:i/>
          <w:iCs/>
          <w:lang w:val="ro-RO"/>
        </w:rPr>
        <w:t>ă</w:t>
      </w:r>
      <w:r w:rsidR="00BD0C3D" w:rsidRPr="00834B27">
        <w:rPr>
          <w:rFonts w:ascii="Calibri" w:hAnsi="Calibri" w:cs="Calibri"/>
          <w:i/>
          <w:iCs/>
          <w:lang w:val="ro-RO"/>
        </w:rPr>
        <w:t xml:space="preserve"> a acestor prevederi.</w:t>
      </w:r>
    </w:p>
    <w:p w14:paraId="519AD64F" w14:textId="27C87ED0" w:rsidR="00BD0C3D" w:rsidRPr="00834B27" w:rsidRDefault="00BD0C3D" w:rsidP="00B91E74">
      <w:pPr>
        <w:spacing w:line="276" w:lineRule="auto"/>
        <w:jc w:val="both"/>
        <w:rPr>
          <w:rFonts w:ascii="Calibri" w:hAnsi="Calibri" w:cs="Calibri"/>
          <w:i/>
          <w:iCs/>
          <w:lang w:val="ro-RO"/>
        </w:rPr>
      </w:pPr>
      <w:r w:rsidRPr="00834B27">
        <w:rPr>
          <w:rFonts w:ascii="Calibri" w:hAnsi="Calibri" w:cs="Calibri"/>
          <w:i/>
          <w:iCs/>
          <w:lang w:val="ro-RO"/>
        </w:rPr>
        <w:t>Dac</w:t>
      </w:r>
      <w:r w:rsidR="007F38A1" w:rsidRPr="00834B27">
        <w:rPr>
          <w:rFonts w:ascii="Calibri" w:hAnsi="Calibri" w:cs="Calibri"/>
          <w:i/>
          <w:iCs/>
          <w:lang w:val="ro-RO"/>
        </w:rPr>
        <w:t>ă</w:t>
      </w:r>
      <w:r w:rsidRPr="00834B27">
        <w:rPr>
          <w:rFonts w:ascii="Calibri" w:hAnsi="Calibri" w:cs="Calibri"/>
          <w:i/>
          <w:iCs/>
          <w:lang w:val="ro-RO"/>
        </w:rPr>
        <w:t xml:space="preserve"> lu</w:t>
      </w:r>
      <w:r w:rsidR="007F38A1" w:rsidRPr="00834B27">
        <w:rPr>
          <w:rFonts w:ascii="Calibri" w:hAnsi="Calibri" w:cs="Calibri"/>
          <w:i/>
          <w:iCs/>
          <w:lang w:val="ro-RO"/>
        </w:rPr>
        <w:t>ă</w:t>
      </w:r>
      <w:r w:rsidRPr="00834B27">
        <w:rPr>
          <w:rFonts w:ascii="Calibri" w:hAnsi="Calibri" w:cs="Calibri"/>
          <w:i/>
          <w:iCs/>
          <w:lang w:val="ro-RO"/>
        </w:rPr>
        <w:t xml:space="preserve">m </w:t>
      </w:r>
      <w:r w:rsidR="007F38A1" w:rsidRPr="00834B27">
        <w:rPr>
          <w:rFonts w:ascii="Calibri" w:hAnsi="Calibri" w:cs="Calibri"/>
          <w:i/>
          <w:iCs/>
          <w:lang w:val="ro-RO"/>
        </w:rPr>
        <w:t>î</w:t>
      </w:r>
      <w:r w:rsidRPr="00834B27">
        <w:rPr>
          <w:rFonts w:ascii="Calibri" w:hAnsi="Calibri" w:cs="Calibri"/>
          <w:i/>
          <w:iCs/>
          <w:lang w:val="ro-RO"/>
        </w:rPr>
        <w:t xml:space="preserve">n considerare </w:t>
      </w:r>
      <w:r w:rsidR="007F38A1" w:rsidRPr="00834B27">
        <w:rPr>
          <w:rFonts w:ascii="Calibri" w:hAnsi="Calibri" w:cs="Calibri"/>
          <w:i/>
          <w:iCs/>
          <w:lang w:val="ro-RO"/>
        </w:rPr>
        <w:t>ș</w:t>
      </w:r>
      <w:r w:rsidRPr="00834B27">
        <w:rPr>
          <w:rFonts w:ascii="Calibri" w:hAnsi="Calibri" w:cs="Calibri"/>
          <w:i/>
          <w:iCs/>
          <w:lang w:val="ro-RO"/>
        </w:rPr>
        <w:t>i faptul c</w:t>
      </w:r>
      <w:r w:rsidR="007F38A1" w:rsidRPr="00834B27">
        <w:rPr>
          <w:rFonts w:ascii="Calibri" w:hAnsi="Calibri" w:cs="Calibri"/>
          <w:i/>
          <w:iCs/>
          <w:lang w:val="ro-RO"/>
        </w:rPr>
        <w:t>ă</w:t>
      </w:r>
      <w:r w:rsidRPr="00834B27">
        <w:rPr>
          <w:rFonts w:ascii="Calibri" w:hAnsi="Calibri" w:cs="Calibri"/>
          <w:i/>
          <w:iCs/>
          <w:lang w:val="ro-RO"/>
        </w:rPr>
        <w:t xml:space="preserve"> majoritatea deciziilor de impunere sunt contestate </w:t>
      </w:r>
      <w:r w:rsidR="007F38A1" w:rsidRPr="00834B27">
        <w:rPr>
          <w:rFonts w:ascii="Calibri" w:hAnsi="Calibri" w:cs="Calibri"/>
          <w:i/>
          <w:iCs/>
          <w:lang w:val="ro-RO"/>
        </w:rPr>
        <w:t>ș</w:t>
      </w:r>
      <w:r w:rsidRPr="00834B27">
        <w:rPr>
          <w:rFonts w:ascii="Calibri" w:hAnsi="Calibri" w:cs="Calibri"/>
          <w:i/>
          <w:iCs/>
          <w:lang w:val="ro-RO"/>
        </w:rPr>
        <w:t xml:space="preserve">i ajung </w:t>
      </w:r>
      <w:r w:rsidR="007F38A1" w:rsidRPr="00834B27">
        <w:rPr>
          <w:rFonts w:ascii="Calibri" w:hAnsi="Calibri" w:cs="Calibri"/>
          <w:i/>
          <w:iCs/>
          <w:lang w:val="ro-RO"/>
        </w:rPr>
        <w:t>î</w:t>
      </w:r>
      <w:r w:rsidRPr="00834B27">
        <w:rPr>
          <w:rFonts w:ascii="Calibri" w:hAnsi="Calibri" w:cs="Calibri"/>
          <w:i/>
          <w:iCs/>
          <w:lang w:val="ro-RO"/>
        </w:rPr>
        <w:t xml:space="preserve">n </w:t>
      </w:r>
      <w:r w:rsidR="007F38A1" w:rsidRPr="00834B27">
        <w:rPr>
          <w:rFonts w:ascii="Calibri" w:hAnsi="Calibri" w:cs="Calibri"/>
          <w:i/>
          <w:iCs/>
          <w:lang w:val="ro-RO"/>
        </w:rPr>
        <w:t>instan</w:t>
      </w:r>
      <w:r w:rsidR="00D77C4B" w:rsidRPr="00834B27">
        <w:rPr>
          <w:rFonts w:ascii="Calibri" w:hAnsi="Calibri" w:cs="Calibri"/>
          <w:i/>
          <w:iCs/>
          <w:lang w:val="ro-RO"/>
        </w:rPr>
        <w:t>ț</w:t>
      </w:r>
      <w:r w:rsidR="007F38A1" w:rsidRPr="00834B27">
        <w:rPr>
          <w:rFonts w:ascii="Calibri" w:hAnsi="Calibri" w:cs="Calibri"/>
          <w:i/>
          <w:iCs/>
          <w:lang w:val="ro-RO"/>
        </w:rPr>
        <w:t>e</w:t>
      </w:r>
      <w:r w:rsidRPr="00834B27">
        <w:rPr>
          <w:rFonts w:ascii="Calibri" w:hAnsi="Calibri" w:cs="Calibri"/>
          <w:i/>
          <w:iCs/>
          <w:lang w:val="ro-RO"/>
        </w:rPr>
        <w:t>, costurile ineficien</w:t>
      </w:r>
      <w:r w:rsidR="00D77C4B" w:rsidRPr="00834B27">
        <w:rPr>
          <w:rFonts w:ascii="Calibri" w:hAnsi="Calibri" w:cs="Calibri"/>
          <w:i/>
          <w:iCs/>
          <w:lang w:val="ro-RO"/>
        </w:rPr>
        <w:t>ț</w:t>
      </w:r>
      <w:r w:rsidRPr="00834B27">
        <w:rPr>
          <w:rFonts w:ascii="Calibri" w:hAnsi="Calibri" w:cs="Calibri"/>
          <w:i/>
          <w:iCs/>
          <w:lang w:val="ro-RO"/>
        </w:rPr>
        <w:t xml:space="preserve">ei </w:t>
      </w:r>
      <w:r w:rsidR="00BE1AC9" w:rsidRPr="00834B27">
        <w:rPr>
          <w:rFonts w:ascii="Calibri" w:hAnsi="Calibri" w:cs="Calibri"/>
          <w:i/>
          <w:iCs/>
          <w:lang w:val="ro-RO"/>
        </w:rPr>
        <w:t>acestor reglement</w:t>
      </w:r>
      <w:r w:rsidR="007F38A1" w:rsidRPr="00834B27">
        <w:rPr>
          <w:rFonts w:ascii="Calibri" w:hAnsi="Calibri" w:cs="Calibri"/>
          <w:i/>
          <w:iCs/>
          <w:lang w:val="ro-RO"/>
        </w:rPr>
        <w:t>ă</w:t>
      </w:r>
      <w:r w:rsidR="00BE1AC9" w:rsidRPr="00834B27">
        <w:rPr>
          <w:rFonts w:ascii="Calibri" w:hAnsi="Calibri" w:cs="Calibri"/>
          <w:i/>
          <w:iCs/>
          <w:lang w:val="ro-RO"/>
        </w:rPr>
        <w:t xml:space="preserve">ri </w:t>
      </w:r>
      <w:r w:rsidRPr="00834B27">
        <w:rPr>
          <w:rFonts w:ascii="Calibri" w:hAnsi="Calibri" w:cs="Calibri"/>
          <w:i/>
          <w:iCs/>
          <w:lang w:val="ro-RO"/>
        </w:rPr>
        <w:t xml:space="preserve">sunt majorate cu costurile </w:t>
      </w:r>
      <w:r w:rsidR="007F38A1" w:rsidRPr="00834B27">
        <w:rPr>
          <w:rFonts w:ascii="Calibri" w:hAnsi="Calibri" w:cs="Calibri"/>
          <w:i/>
          <w:iCs/>
          <w:lang w:val="ro-RO"/>
        </w:rPr>
        <w:t>administrării</w:t>
      </w:r>
      <w:r w:rsidRPr="00834B27">
        <w:rPr>
          <w:rFonts w:ascii="Calibri" w:hAnsi="Calibri" w:cs="Calibri"/>
          <w:i/>
          <w:iCs/>
          <w:lang w:val="ro-RO"/>
        </w:rPr>
        <w:t xml:space="preserve"> </w:t>
      </w:r>
      <w:r w:rsidR="007F38A1" w:rsidRPr="00834B27">
        <w:rPr>
          <w:rFonts w:ascii="Calibri" w:hAnsi="Calibri" w:cs="Calibri"/>
          <w:i/>
          <w:iCs/>
          <w:lang w:val="ro-RO"/>
        </w:rPr>
        <w:t>solu</w:t>
      </w:r>
      <w:r w:rsidR="00D77C4B" w:rsidRPr="00834B27">
        <w:rPr>
          <w:rFonts w:ascii="Calibri" w:hAnsi="Calibri" w:cs="Calibri"/>
          <w:i/>
          <w:iCs/>
          <w:lang w:val="ro-RO"/>
        </w:rPr>
        <w:t>ț</w:t>
      </w:r>
      <w:r w:rsidR="007F38A1" w:rsidRPr="00834B27">
        <w:rPr>
          <w:rFonts w:ascii="Calibri" w:hAnsi="Calibri" w:cs="Calibri"/>
          <w:i/>
          <w:iCs/>
          <w:lang w:val="ro-RO"/>
        </w:rPr>
        <w:t>ionării</w:t>
      </w:r>
      <w:r w:rsidR="005708BD" w:rsidRPr="00834B27">
        <w:rPr>
          <w:rFonts w:ascii="Calibri" w:hAnsi="Calibri" w:cs="Calibri"/>
          <w:i/>
          <w:iCs/>
          <w:lang w:val="ro-RO"/>
        </w:rPr>
        <w:t xml:space="preserve"> </w:t>
      </w:r>
      <w:r w:rsidR="007F38A1" w:rsidRPr="00834B27">
        <w:rPr>
          <w:rFonts w:ascii="Calibri" w:hAnsi="Calibri" w:cs="Calibri"/>
          <w:i/>
          <w:iCs/>
          <w:lang w:val="ro-RO"/>
        </w:rPr>
        <w:t>contesta</w:t>
      </w:r>
      <w:r w:rsidR="00D77C4B" w:rsidRPr="00834B27">
        <w:rPr>
          <w:rFonts w:ascii="Calibri" w:hAnsi="Calibri" w:cs="Calibri"/>
          <w:i/>
          <w:iCs/>
          <w:lang w:val="ro-RO"/>
        </w:rPr>
        <w:t>ț</w:t>
      </w:r>
      <w:r w:rsidR="007F38A1" w:rsidRPr="00834B27">
        <w:rPr>
          <w:rFonts w:ascii="Calibri" w:hAnsi="Calibri" w:cs="Calibri"/>
          <w:i/>
          <w:iCs/>
          <w:lang w:val="ro-RO"/>
        </w:rPr>
        <w:t>iilor</w:t>
      </w:r>
      <w:r w:rsidR="005708BD" w:rsidRPr="00834B27">
        <w:rPr>
          <w:rFonts w:ascii="Calibri" w:hAnsi="Calibri" w:cs="Calibri"/>
          <w:i/>
          <w:iCs/>
          <w:lang w:val="ro-RO"/>
        </w:rPr>
        <w:t xml:space="preserve"> </w:t>
      </w:r>
      <w:r w:rsidR="007F38A1" w:rsidRPr="00834B27">
        <w:rPr>
          <w:rFonts w:ascii="Calibri" w:hAnsi="Calibri" w:cs="Calibri"/>
          <w:i/>
          <w:iCs/>
          <w:lang w:val="ro-RO"/>
        </w:rPr>
        <w:t>ș</w:t>
      </w:r>
      <w:r w:rsidR="005708BD" w:rsidRPr="00834B27">
        <w:rPr>
          <w:rFonts w:ascii="Calibri" w:hAnsi="Calibri" w:cs="Calibri"/>
          <w:i/>
          <w:iCs/>
          <w:lang w:val="ro-RO"/>
        </w:rPr>
        <w:t xml:space="preserve">i a </w:t>
      </w:r>
      <w:r w:rsidR="007F38A1" w:rsidRPr="00834B27">
        <w:rPr>
          <w:rFonts w:ascii="Calibri" w:hAnsi="Calibri" w:cs="Calibri"/>
          <w:i/>
          <w:iCs/>
          <w:lang w:val="ro-RO"/>
        </w:rPr>
        <w:t>ac</w:t>
      </w:r>
      <w:r w:rsidR="00D77C4B" w:rsidRPr="00834B27">
        <w:rPr>
          <w:rFonts w:ascii="Calibri" w:hAnsi="Calibri" w:cs="Calibri"/>
          <w:i/>
          <w:iCs/>
          <w:lang w:val="ro-RO"/>
        </w:rPr>
        <w:t>ț</w:t>
      </w:r>
      <w:r w:rsidR="007F38A1" w:rsidRPr="00834B27">
        <w:rPr>
          <w:rFonts w:ascii="Calibri" w:hAnsi="Calibri" w:cs="Calibri"/>
          <w:i/>
          <w:iCs/>
          <w:lang w:val="ro-RO"/>
        </w:rPr>
        <w:t>iunilor</w:t>
      </w:r>
      <w:r w:rsidR="005708BD" w:rsidRPr="00834B27">
        <w:rPr>
          <w:rFonts w:ascii="Calibri" w:hAnsi="Calibri" w:cs="Calibri"/>
          <w:i/>
          <w:iCs/>
          <w:lang w:val="ro-RO"/>
        </w:rPr>
        <w:t xml:space="preserve"> </w:t>
      </w:r>
      <w:r w:rsidR="007F38A1" w:rsidRPr="00834B27">
        <w:rPr>
          <w:rFonts w:ascii="Calibri" w:hAnsi="Calibri" w:cs="Calibri"/>
          <w:i/>
          <w:iCs/>
          <w:lang w:val="ro-RO"/>
        </w:rPr>
        <w:t>î</w:t>
      </w:r>
      <w:r w:rsidR="005708BD" w:rsidRPr="00834B27">
        <w:rPr>
          <w:rFonts w:ascii="Calibri" w:hAnsi="Calibri" w:cs="Calibri"/>
          <w:i/>
          <w:iCs/>
          <w:lang w:val="ro-RO"/>
        </w:rPr>
        <w:t xml:space="preserve">n </w:t>
      </w:r>
      <w:r w:rsidR="007F38A1" w:rsidRPr="00834B27">
        <w:rPr>
          <w:rFonts w:ascii="Calibri" w:hAnsi="Calibri" w:cs="Calibri"/>
          <w:i/>
          <w:iCs/>
          <w:lang w:val="ro-RO"/>
        </w:rPr>
        <w:t>instan</w:t>
      </w:r>
      <w:r w:rsidR="00D77C4B" w:rsidRPr="00834B27">
        <w:rPr>
          <w:rFonts w:ascii="Calibri" w:hAnsi="Calibri" w:cs="Calibri"/>
          <w:i/>
          <w:iCs/>
          <w:lang w:val="ro-RO"/>
        </w:rPr>
        <w:t>ț</w:t>
      </w:r>
      <w:r w:rsidR="007F38A1" w:rsidRPr="00834B27">
        <w:rPr>
          <w:rFonts w:ascii="Calibri" w:hAnsi="Calibri" w:cs="Calibri"/>
          <w:i/>
          <w:iCs/>
          <w:lang w:val="ro-RO"/>
        </w:rPr>
        <w:t>e</w:t>
      </w:r>
      <w:r w:rsidR="005708BD" w:rsidRPr="00834B27">
        <w:rPr>
          <w:rFonts w:ascii="Calibri" w:hAnsi="Calibri" w:cs="Calibri"/>
          <w:i/>
          <w:iCs/>
          <w:lang w:val="ro-RO"/>
        </w:rPr>
        <w:t xml:space="preserve"> (fond </w:t>
      </w:r>
      <w:r w:rsidR="007F38A1" w:rsidRPr="00834B27">
        <w:rPr>
          <w:rFonts w:ascii="Calibri" w:hAnsi="Calibri" w:cs="Calibri"/>
          <w:i/>
          <w:iCs/>
          <w:lang w:val="ro-RO"/>
        </w:rPr>
        <w:t>ș</w:t>
      </w:r>
      <w:r w:rsidR="005708BD" w:rsidRPr="00834B27">
        <w:rPr>
          <w:rFonts w:ascii="Calibri" w:hAnsi="Calibri" w:cs="Calibri"/>
          <w:i/>
          <w:iCs/>
          <w:lang w:val="ro-RO"/>
        </w:rPr>
        <w:t>i apel)</w:t>
      </w:r>
      <w:r w:rsidR="00BE1AC9" w:rsidRPr="00834B27">
        <w:rPr>
          <w:rFonts w:ascii="Calibri" w:hAnsi="Calibri" w:cs="Calibri"/>
          <w:i/>
          <w:iCs/>
          <w:lang w:val="ro-RO"/>
        </w:rPr>
        <w:t>.</w:t>
      </w:r>
    </w:p>
    <w:p w14:paraId="4434E171" w14:textId="27DA8122" w:rsidR="00A71645" w:rsidRPr="00834B27" w:rsidRDefault="002573DD" w:rsidP="00B91E74">
      <w:pPr>
        <w:spacing w:line="276" w:lineRule="auto"/>
        <w:jc w:val="both"/>
        <w:rPr>
          <w:rFonts w:ascii="Calibri" w:hAnsi="Calibri" w:cs="Calibri"/>
          <w:i/>
          <w:iCs/>
          <w:lang w:val="ro-RO"/>
        </w:rPr>
      </w:pPr>
      <w:r w:rsidRPr="00834B27">
        <w:rPr>
          <w:rFonts w:ascii="Calibri" w:hAnsi="Calibri" w:cs="Calibri"/>
          <w:i/>
          <w:iCs/>
          <w:lang w:val="ro-RO"/>
        </w:rPr>
        <w:t>Î</w:t>
      </w:r>
      <w:r w:rsidR="00A71645" w:rsidRPr="00834B27">
        <w:rPr>
          <w:rFonts w:ascii="Calibri" w:hAnsi="Calibri" w:cs="Calibri"/>
          <w:i/>
          <w:iCs/>
          <w:lang w:val="ro-RO"/>
        </w:rPr>
        <w:t>n plus, introducerea unei cote de impozitare a acestor</w:t>
      </w:r>
      <w:r w:rsidR="006A2F80" w:rsidRPr="00834B27">
        <w:rPr>
          <w:rFonts w:ascii="Calibri" w:hAnsi="Calibri" w:cs="Calibri"/>
          <w:i/>
          <w:iCs/>
          <w:lang w:val="ro-RO"/>
        </w:rPr>
        <w:t xml:space="preserve"> venituri egal</w:t>
      </w:r>
      <w:r w:rsidRPr="00834B27">
        <w:rPr>
          <w:rFonts w:ascii="Calibri" w:hAnsi="Calibri" w:cs="Calibri"/>
          <w:i/>
          <w:iCs/>
          <w:lang w:val="ro-RO"/>
        </w:rPr>
        <w:t>ă</w:t>
      </w:r>
      <w:r w:rsidR="006A2F80" w:rsidRPr="00834B27">
        <w:rPr>
          <w:rFonts w:ascii="Calibri" w:hAnsi="Calibri" w:cs="Calibri"/>
          <w:i/>
          <w:iCs/>
          <w:lang w:val="ro-RO"/>
        </w:rPr>
        <w:t xml:space="preserve"> cu cota unic</w:t>
      </w:r>
      <w:r w:rsidR="005C0924" w:rsidRPr="00834B27">
        <w:rPr>
          <w:rFonts w:ascii="Calibri" w:hAnsi="Calibri" w:cs="Calibri"/>
          <w:i/>
          <w:iCs/>
          <w:lang w:val="ro-RO"/>
        </w:rPr>
        <w:t>ă</w:t>
      </w:r>
      <w:r w:rsidR="006A2F80" w:rsidRPr="00834B27">
        <w:rPr>
          <w:rFonts w:ascii="Calibri" w:hAnsi="Calibri" w:cs="Calibri"/>
          <w:i/>
          <w:iCs/>
          <w:lang w:val="ro-RO"/>
        </w:rPr>
        <w:t xml:space="preserve"> de 16%, nu a fost deloc de natur</w:t>
      </w:r>
      <w:r w:rsidRPr="00834B27">
        <w:rPr>
          <w:rFonts w:ascii="Calibri" w:hAnsi="Calibri" w:cs="Calibri"/>
          <w:i/>
          <w:iCs/>
          <w:lang w:val="ro-RO"/>
        </w:rPr>
        <w:t>ă</w:t>
      </w:r>
      <w:r w:rsidR="006A2F80" w:rsidRPr="00834B27">
        <w:rPr>
          <w:rFonts w:ascii="Calibri" w:hAnsi="Calibri" w:cs="Calibri"/>
          <w:i/>
          <w:iCs/>
          <w:lang w:val="ro-RO"/>
        </w:rPr>
        <w:t xml:space="preserve"> a descuraja </w:t>
      </w:r>
      <w:r w:rsidR="00220CD9" w:rsidRPr="00834B27">
        <w:rPr>
          <w:rFonts w:ascii="Calibri" w:hAnsi="Calibri" w:cs="Calibri"/>
          <w:i/>
          <w:iCs/>
          <w:lang w:val="ro-RO"/>
        </w:rPr>
        <w:t>neconformarea</w:t>
      </w:r>
      <w:r w:rsidR="00985CE7" w:rsidRPr="00834B27">
        <w:rPr>
          <w:rFonts w:ascii="Calibri" w:hAnsi="Calibri" w:cs="Calibri"/>
          <w:i/>
          <w:iCs/>
          <w:lang w:val="ro-RO"/>
        </w:rPr>
        <w:t xml:space="preserve">, </w:t>
      </w:r>
      <w:r w:rsidRPr="00834B27">
        <w:rPr>
          <w:rFonts w:ascii="Calibri" w:hAnsi="Calibri" w:cs="Calibri"/>
          <w:i/>
          <w:iCs/>
          <w:lang w:val="ro-RO"/>
        </w:rPr>
        <w:t>dimpotrivă</w:t>
      </w:r>
      <w:r w:rsidR="00985CE7" w:rsidRPr="00834B27">
        <w:rPr>
          <w:rFonts w:ascii="Calibri" w:hAnsi="Calibri" w:cs="Calibri"/>
          <w:i/>
          <w:iCs/>
          <w:lang w:val="ro-RO"/>
        </w:rPr>
        <w:t>!</w:t>
      </w:r>
      <w:r w:rsidR="00907CA9" w:rsidRPr="00834B27">
        <w:rPr>
          <w:rFonts w:ascii="Calibri" w:hAnsi="Calibri" w:cs="Calibri"/>
          <w:i/>
          <w:iCs/>
          <w:lang w:val="ro-RO"/>
        </w:rPr>
        <w:t xml:space="preserve"> </w:t>
      </w:r>
      <w:r w:rsidR="0064120C" w:rsidRPr="00834B27">
        <w:rPr>
          <w:rFonts w:ascii="Calibri" w:hAnsi="Calibri" w:cs="Calibri"/>
          <w:i/>
          <w:iCs/>
          <w:lang w:val="ro-RO"/>
        </w:rPr>
        <w:t>Practic</w:t>
      </w:r>
      <w:r w:rsidR="001E4786" w:rsidRPr="00834B27">
        <w:rPr>
          <w:rFonts w:ascii="Calibri" w:hAnsi="Calibri" w:cs="Calibri"/>
          <w:i/>
          <w:iCs/>
          <w:lang w:val="ro-RO"/>
        </w:rPr>
        <w:t xml:space="preserve">, reglementarea a echivalat cu introducerea </w:t>
      </w:r>
      <w:r w:rsidR="00C55DE8" w:rsidRPr="00834B27">
        <w:rPr>
          <w:rFonts w:ascii="Calibri" w:hAnsi="Calibri" w:cs="Calibri"/>
          <w:i/>
          <w:iCs/>
          <w:lang w:val="ro-RO"/>
        </w:rPr>
        <w:t>î</w:t>
      </w:r>
      <w:r w:rsidR="001E4786" w:rsidRPr="00834B27">
        <w:rPr>
          <w:rFonts w:ascii="Calibri" w:hAnsi="Calibri" w:cs="Calibri"/>
          <w:i/>
          <w:iCs/>
          <w:lang w:val="ro-RO"/>
        </w:rPr>
        <w:t>n C</w:t>
      </w:r>
      <w:r w:rsidR="00601482" w:rsidRPr="00834B27">
        <w:rPr>
          <w:rFonts w:ascii="Calibri" w:hAnsi="Calibri" w:cs="Calibri"/>
          <w:i/>
          <w:iCs/>
          <w:lang w:val="ro-RO"/>
        </w:rPr>
        <w:t>F a dictonului “ho</w:t>
      </w:r>
      <w:r w:rsidR="00E32A7C" w:rsidRPr="00834B27">
        <w:rPr>
          <w:rFonts w:ascii="Calibri" w:hAnsi="Calibri" w:cs="Calibri"/>
          <w:i/>
          <w:iCs/>
          <w:lang w:val="ro-RO"/>
        </w:rPr>
        <w:t>ț</w:t>
      </w:r>
      <w:r w:rsidR="00601482" w:rsidRPr="00834B27">
        <w:rPr>
          <w:rFonts w:ascii="Calibri" w:hAnsi="Calibri" w:cs="Calibri"/>
          <w:i/>
          <w:iCs/>
          <w:lang w:val="ro-RO"/>
        </w:rPr>
        <w:t>ul neprins este negustor cinstit</w:t>
      </w:r>
      <w:r w:rsidR="00564BE1" w:rsidRPr="00834B27">
        <w:rPr>
          <w:rFonts w:ascii="Calibri" w:hAnsi="Calibri" w:cs="Calibri"/>
          <w:i/>
          <w:iCs/>
          <w:lang w:val="ro-RO"/>
        </w:rPr>
        <w:t>”...</w:t>
      </w:r>
    </w:p>
    <w:p w14:paraId="76DFD859" w14:textId="0498CC59" w:rsidR="008C60B0" w:rsidRPr="00834B27" w:rsidRDefault="00B66D9E" w:rsidP="005C0924">
      <w:pPr>
        <w:spacing w:line="276" w:lineRule="auto"/>
        <w:jc w:val="both"/>
        <w:rPr>
          <w:rFonts w:ascii="Calibri" w:hAnsi="Calibri" w:cs="Calibri"/>
          <w:i/>
          <w:iCs/>
          <w:lang w:val="ro-RO"/>
        </w:rPr>
      </w:pPr>
      <w:r w:rsidRPr="00834B27">
        <w:rPr>
          <w:rFonts w:ascii="Calibri" w:hAnsi="Calibri" w:cs="Calibri"/>
          <w:i/>
          <w:iCs/>
          <w:lang w:val="ro-RO"/>
        </w:rPr>
        <w:t xml:space="preserve">Cota </w:t>
      </w:r>
      <w:r w:rsidR="00FC52C4" w:rsidRPr="00834B27">
        <w:rPr>
          <w:rFonts w:ascii="Calibri" w:hAnsi="Calibri" w:cs="Calibri"/>
          <w:i/>
          <w:iCs/>
          <w:lang w:val="ro-RO"/>
        </w:rPr>
        <w:t xml:space="preserve">de IV </w:t>
      </w:r>
      <w:r w:rsidR="00B8211F" w:rsidRPr="00834B27">
        <w:rPr>
          <w:rFonts w:ascii="Calibri" w:hAnsi="Calibri" w:cs="Calibri"/>
          <w:i/>
          <w:iCs/>
          <w:lang w:val="ro-RO"/>
        </w:rPr>
        <w:t xml:space="preserve">pentru veniturile </w:t>
      </w:r>
      <w:r w:rsidR="00ED009B" w:rsidRPr="00834B27">
        <w:rPr>
          <w:rFonts w:ascii="Calibri" w:hAnsi="Calibri" w:cs="Calibri"/>
          <w:i/>
          <w:iCs/>
          <w:lang w:val="ro-RO"/>
        </w:rPr>
        <w:t xml:space="preserve">ce nu pot fi justificate </w:t>
      </w:r>
      <w:r w:rsidR="00FC52C4" w:rsidRPr="00834B27">
        <w:rPr>
          <w:rFonts w:ascii="Calibri" w:hAnsi="Calibri" w:cs="Calibri"/>
          <w:i/>
          <w:iCs/>
          <w:lang w:val="ro-RO"/>
        </w:rPr>
        <w:t>a</w:t>
      </w:r>
      <w:r w:rsidR="001B5150" w:rsidRPr="00834B27">
        <w:rPr>
          <w:rFonts w:ascii="Calibri" w:hAnsi="Calibri" w:cs="Calibri"/>
          <w:i/>
          <w:iCs/>
          <w:lang w:val="ro-RO"/>
        </w:rPr>
        <w:t xml:space="preserve"> devenit una </w:t>
      </w:r>
      <w:r w:rsidR="002573DD" w:rsidRPr="00834B27">
        <w:rPr>
          <w:rFonts w:ascii="Calibri" w:hAnsi="Calibri" w:cs="Calibri"/>
          <w:i/>
          <w:iCs/>
          <w:lang w:val="ro-RO"/>
        </w:rPr>
        <w:t>sanc</w:t>
      </w:r>
      <w:r w:rsidR="00D77C4B" w:rsidRPr="00834B27">
        <w:rPr>
          <w:rFonts w:ascii="Calibri" w:hAnsi="Calibri" w:cs="Calibri"/>
          <w:i/>
          <w:iCs/>
          <w:lang w:val="ro-RO"/>
        </w:rPr>
        <w:t>ț</w:t>
      </w:r>
      <w:r w:rsidR="002573DD" w:rsidRPr="00834B27">
        <w:rPr>
          <w:rFonts w:ascii="Calibri" w:hAnsi="Calibri" w:cs="Calibri"/>
          <w:i/>
          <w:iCs/>
          <w:lang w:val="ro-RO"/>
        </w:rPr>
        <w:t>ionatori</w:t>
      </w:r>
      <w:r w:rsidR="005C0924" w:rsidRPr="00834B27">
        <w:rPr>
          <w:rFonts w:ascii="Calibri" w:hAnsi="Calibri" w:cs="Calibri"/>
          <w:i/>
          <w:iCs/>
          <w:lang w:val="ro-RO"/>
        </w:rPr>
        <w:t>e</w:t>
      </w:r>
      <w:r w:rsidR="00B8211F" w:rsidRPr="00834B27">
        <w:rPr>
          <w:rFonts w:ascii="Calibri" w:hAnsi="Calibri" w:cs="Calibri"/>
          <w:i/>
          <w:iCs/>
          <w:lang w:val="ro-RO"/>
        </w:rPr>
        <w:t xml:space="preserve"> de</w:t>
      </w:r>
      <w:r w:rsidR="002573DD" w:rsidRPr="00834B27">
        <w:rPr>
          <w:rFonts w:ascii="Calibri" w:hAnsi="Calibri" w:cs="Calibri"/>
          <w:i/>
          <w:iCs/>
          <w:lang w:val="ro-RO"/>
        </w:rPr>
        <w:t>-</w:t>
      </w:r>
      <w:r w:rsidR="00B8211F" w:rsidRPr="00834B27">
        <w:rPr>
          <w:rFonts w:ascii="Calibri" w:hAnsi="Calibri" w:cs="Calibri"/>
          <w:i/>
          <w:iCs/>
          <w:lang w:val="ro-RO"/>
        </w:rPr>
        <w:t>abia din</w:t>
      </w:r>
      <w:r w:rsidR="00ED009B" w:rsidRPr="00834B27">
        <w:rPr>
          <w:rFonts w:ascii="Calibri" w:hAnsi="Calibri" w:cs="Calibri"/>
          <w:i/>
          <w:iCs/>
          <w:lang w:val="ro-RO"/>
        </w:rPr>
        <w:t xml:space="preserve"> </w:t>
      </w:r>
      <w:r w:rsidR="00B8211F" w:rsidRPr="00834B27">
        <w:rPr>
          <w:rFonts w:ascii="Calibri" w:hAnsi="Calibri" w:cs="Calibri"/>
          <w:i/>
          <w:iCs/>
          <w:lang w:val="ro-RO"/>
        </w:rPr>
        <w:t xml:space="preserve">anul 2024, </w:t>
      </w:r>
      <w:r w:rsidR="002573DD" w:rsidRPr="00834B27">
        <w:rPr>
          <w:rFonts w:ascii="Calibri" w:hAnsi="Calibri" w:cs="Calibri"/>
          <w:i/>
          <w:iCs/>
          <w:lang w:val="ro-RO"/>
        </w:rPr>
        <w:t>când</w:t>
      </w:r>
      <w:r w:rsidR="00B8211F" w:rsidRPr="00834B27">
        <w:rPr>
          <w:rFonts w:ascii="Calibri" w:hAnsi="Calibri" w:cs="Calibri"/>
          <w:i/>
          <w:iCs/>
          <w:lang w:val="ro-RO"/>
        </w:rPr>
        <w:t xml:space="preserve"> a fost majorat</w:t>
      </w:r>
      <w:r w:rsidR="002573DD" w:rsidRPr="00834B27">
        <w:rPr>
          <w:rFonts w:ascii="Calibri" w:hAnsi="Calibri" w:cs="Calibri"/>
          <w:i/>
          <w:iCs/>
          <w:lang w:val="ro-RO"/>
        </w:rPr>
        <w:t>ă</w:t>
      </w:r>
      <w:r w:rsidR="00B8211F" w:rsidRPr="00834B27">
        <w:rPr>
          <w:rFonts w:ascii="Calibri" w:hAnsi="Calibri" w:cs="Calibri"/>
          <w:i/>
          <w:iCs/>
          <w:lang w:val="ro-RO"/>
        </w:rPr>
        <w:t xml:space="preserve"> la 70%</w:t>
      </w:r>
      <w:r w:rsidR="00ED009B" w:rsidRPr="00834B27">
        <w:rPr>
          <w:rFonts w:ascii="Calibri" w:hAnsi="Calibri" w:cs="Calibri"/>
          <w:i/>
          <w:iCs/>
          <w:lang w:val="ro-RO"/>
        </w:rPr>
        <w:t xml:space="preserve">. Din </w:t>
      </w:r>
      <w:r w:rsidR="002573DD" w:rsidRPr="00834B27">
        <w:rPr>
          <w:rFonts w:ascii="Calibri" w:hAnsi="Calibri" w:cs="Calibri"/>
          <w:i/>
          <w:iCs/>
          <w:lang w:val="ro-RO"/>
        </w:rPr>
        <w:t>păcate</w:t>
      </w:r>
      <w:r w:rsidR="00ED009B" w:rsidRPr="00834B27">
        <w:rPr>
          <w:rFonts w:ascii="Calibri" w:hAnsi="Calibri" w:cs="Calibri"/>
          <w:i/>
          <w:iCs/>
          <w:lang w:val="ro-RO"/>
        </w:rPr>
        <w:t xml:space="preserve"> </w:t>
      </w:r>
      <w:r w:rsidR="002573DD" w:rsidRPr="00834B27">
        <w:rPr>
          <w:rFonts w:ascii="Calibri" w:hAnsi="Calibri" w:cs="Calibri"/>
          <w:i/>
          <w:iCs/>
          <w:lang w:val="ro-RO"/>
        </w:rPr>
        <w:t>însă</w:t>
      </w:r>
      <w:r w:rsidR="00ED009B" w:rsidRPr="00834B27">
        <w:rPr>
          <w:rFonts w:ascii="Calibri" w:hAnsi="Calibri" w:cs="Calibri"/>
          <w:i/>
          <w:iCs/>
          <w:lang w:val="ro-RO"/>
        </w:rPr>
        <w:t>, nici aceast</w:t>
      </w:r>
      <w:r w:rsidR="002573DD" w:rsidRPr="00834B27">
        <w:rPr>
          <w:rFonts w:ascii="Calibri" w:hAnsi="Calibri" w:cs="Calibri"/>
          <w:i/>
          <w:iCs/>
          <w:lang w:val="ro-RO"/>
        </w:rPr>
        <w:t>ă</w:t>
      </w:r>
      <w:r w:rsidR="00ED009B" w:rsidRPr="00834B27">
        <w:rPr>
          <w:rFonts w:ascii="Calibri" w:hAnsi="Calibri" w:cs="Calibri"/>
          <w:i/>
          <w:iCs/>
          <w:lang w:val="ro-RO"/>
        </w:rPr>
        <w:t xml:space="preserve"> </w:t>
      </w:r>
      <w:r w:rsidR="002573DD" w:rsidRPr="00834B27">
        <w:rPr>
          <w:rFonts w:ascii="Calibri" w:hAnsi="Calibri" w:cs="Calibri"/>
          <w:i/>
          <w:iCs/>
          <w:lang w:val="ro-RO"/>
        </w:rPr>
        <w:t>măsură</w:t>
      </w:r>
      <w:r w:rsidR="00ED009B" w:rsidRPr="00834B27">
        <w:rPr>
          <w:rFonts w:ascii="Calibri" w:hAnsi="Calibri" w:cs="Calibri"/>
          <w:i/>
          <w:iCs/>
          <w:lang w:val="ro-RO"/>
        </w:rPr>
        <w:t xml:space="preserve"> nu este de natur</w:t>
      </w:r>
      <w:r w:rsidR="002573DD" w:rsidRPr="00834B27">
        <w:rPr>
          <w:rFonts w:ascii="Calibri" w:hAnsi="Calibri" w:cs="Calibri"/>
          <w:i/>
          <w:iCs/>
          <w:lang w:val="ro-RO"/>
        </w:rPr>
        <w:t>ă</w:t>
      </w:r>
      <w:r w:rsidR="00ED009B" w:rsidRPr="00834B27">
        <w:rPr>
          <w:rFonts w:ascii="Calibri" w:hAnsi="Calibri" w:cs="Calibri"/>
          <w:i/>
          <w:iCs/>
          <w:lang w:val="ro-RO"/>
        </w:rPr>
        <w:t xml:space="preserve"> a descuraja </w:t>
      </w:r>
      <w:r w:rsidR="00552347" w:rsidRPr="00834B27">
        <w:rPr>
          <w:rFonts w:ascii="Calibri" w:hAnsi="Calibri" w:cs="Calibri"/>
          <w:i/>
          <w:iCs/>
          <w:lang w:val="ro-RO"/>
        </w:rPr>
        <w:t>neconformarea deoarece</w:t>
      </w:r>
      <w:r w:rsidR="004E4818" w:rsidRPr="00834B27">
        <w:rPr>
          <w:rFonts w:ascii="Calibri" w:hAnsi="Calibri" w:cs="Calibri"/>
          <w:i/>
          <w:iCs/>
          <w:lang w:val="ro-RO"/>
        </w:rPr>
        <w:t>,</w:t>
      </w:r>
      <w:r w:rsidR="00552347" w:rsidRPr="00834B27">
        <w:rPr>
          <w:rFonts w:ascii="Calibri" w:hAnsi="Calibri" w:cs="Calibri"/>
          <w:i/>
          <w:iCs/>
          <w:lang w:val="ro-RO"/>
        </w:rPr>
        <w:t xml:space="preserve"> </w:t>
      </w:r>
      <w:r w:rsidR="00B14962" w:rsidRPr="00834B27">
        <w:rPr>
          <w:rFonts w:ascii="Calibri" w:hAnsi="Calibri" w:cs="Calibri"/>
          <w:i/>
          <w:iCs/>
          <w:lang w:val="ro-RO"/>
        </w:rPr>
        <w:t xml:space="preserve">din anul </w:t>
      </w:r>
      <w:r w:rsidR="00552347" w:rsidRPr="00834B27">
        <w:rPr>
          <w:rFonts w:ascii="Calibri" w:hAnsi="Calibri" w:cs="Calibri"/>
          <w:i/>
          <w:iCs/>
          <w:lang w:val="ro-RO"/>
        </w:rPr>
        <w:t xml:space="preserve"> 2022</w:t>
      </w:r>
      <w:r w:rsidR="004E4818" w:rsidRPr="00834B27">
        <w:rPr>
          <w:rFonts w:ascii="Calibri" w:hAnsi="Calibri" w:cs="Calibri"/>
          <w:i/>
          <w:iCs/>
          <w:lang w:val="ro-RO"/>
        </w:rPr>
        <w:t>,</w:t>
      </w:r>
      <w:r w:rsidR="00552347" w:rsidRPr="00834B27">
        <w:rPr>
          <w:rFonts w:ascii="Calibri" w:hAnsi="Calibri" w:cs="Calibri"/>
          <w:i/>
          <w:iCs/>
          <w:lang w:val="ro-RO"/>
        </w:rPr>
        <w:t xml:space="preserve"> Codul de p</w:t>
      </w:r>
      <w:r w:rsidR="00B14962" w:rsidRPr="00834B27">
        <w:rPr>
          <w:rFonts w:ascii="Calibri" w:hAnsi="Calibri" w:cs="Calibri"/>
          <w:i/>
          <w:iCs/>
          <w:lang w:val="ro-RO"/>
        </w:rPr>
        <w:t>rocedur</w:t>
      </w:r>
      <w:r w:rsidR="002573DD" w:rsidRPr="00834B27">
        <w:rPr>
          <w:rFonts w:ascii="Calibri" w:hAnsi="Calibri" w:cs="Calibri"/>
          <w:i/>
          <w:iCs/>
          <w:lang w:val="ro-RO"/>
        </w:rPr>
        <w:t>ă</w:t>
      </w:r>
      <w:r w:rsidR="00B14962" w:rsidRPr="00834B27">
        <w:rPr>
          <w:rFonts w:ascii="Calibri" w:hAnsi="Calibri" w:cs="Calibri"/>
          <w:i/>
          <w:iCs/>
          <w:lang w:val="ro-RO"/>
        </w:rPr>
        <w:t xml:space="preserve"> fiscal</w:t>
      </w:r>
      <w:r w:rsidR="002573DD" w:rsidRPr="00834B27">
        <w:rPr>
          <w:rFonts w:ascii="Calibri" w:hAnsi="Calibri" w:cs="Calibri"/>
          <w:i/>
          <w:iCs/>
          <w:lang w:val="ro-RO"/>
        </w:rPr>
        <w:t>ă</w:t>
      </w:r>
      <w:r w:rsidR="00B14962" w:rsidRPr="00834B27">
        <w:rPr>
          <w:rFonts w:ascii="Calibri" w:hAnsi="Calibri" w:cs="Calibri"/>
          <w:i/>
          <w:iCs/>
          <w:lang w:val="ro-RO"/>
        </w:rPr>
        <w:t xml:space="preserve"> prevede pentru contribuabilii </w:t>
      </w:r>
      <w:r w:rsidR="002573DD" w:rsidRPr="00834B27">
        <w:rPr>
          <w:rFonts w:ascii="Calibri" w:hAnsi="Calibri" w:cs="Calibri"/>
          <w:i/>
          <w:iCs/>
          <w:lang w:val="ro-RO"/>
        </w:rPr>
        <w:t>selecta</w:t>
      </w:r>
      <w:r w:rsidR="00D77C4B" w:rsidRPr="00834B27">
        <w:rPr>
          <w:rFonts w:ascii="Calibri" w:hAnsi="Calibri" w:cs="Calibri"/>
          <w:i/>
          <w:iCs/>
          <w:lang w:val="ro-RO"/>
        </w:rPr>
        <w:t>ț</w:t>
      </w:r>
      <w:r w:rsidR="002573DD" w:rsidRPr="00834B27">
        <w:rPr>
          <w:rFonts w:ascii="Calibri" w:hAnsi="Calibri" w:cs="Calibri"/>
          <w:i/>
          <w:iCs/>
          <w:lang w:val="ro-RO"/>
        </w:rPr>
        <w:t>i</w:t>
      </w:r>
      <w:r w:rsidR="00B14962" w:rsidRPr="00834B27">
        <w:rPr>
          <w:rFonts w:ascii="Calibri" w:hAnsi="Calibri" w:cs="Calibri"/>
          <w:i/>
          <w:iCs/>
          <w:lang w:val="ro-RO"/>
        </w:rPr>
        <w:t xml:space="preserve"> la verificare </w:t>
      </w:r>
      <w:r w:rsidR="00D61068" w:rsidRPr="00834B27">
        <w:rPr>
          <w:rFonts w:ascii="Calibri" w:hAnsi="Calibri" w:cs="Calibri"/>
          <w:i/>
          <w:iCs/>
          <w:lang w:val="ro-RO"/>
        </w:rPr>
        <w:t xml:space="preserve">posibilitatea ca, </w:t>
      </w:r>
      <w:r w:rsidR="002573DD" w:rsidRPr="00834B27">
        <w:rPr>
          <w:rFonts w:ascii="Calibri" w:hAnsi="Calibri" w:cs="Calibri"/>
          <w:i/>
          <w:iCs/>
          <w:lang w:val="ro-RO"/>
        </w:rPr>
        <w:t>î</w:t>
      </w:r>
      <w:r w:rsidR="00D61068" w:rsidRPr="00834B27">
        <w:rPr>
          <w:rFonts w:ascii="Calibri" w:hAnsi="Calibri" w:cs="Calibri"/>
          <w:i/>
          <w:iCs/>
          <w:lang w:val="ro-RO"/>
        </w:rPr>
        <w:t xml:space="preserve">n termen de 30 zile de la primirea avizului de </w:t>
      </w:r>
      <w:r w:rsidR="002573DD" w:rsidRPr="00834B27">
        <w:rPr>
          <w:rFonts w:ascii="Calibri" w:hAnsi="Calibri" w:cs="Calibri"/>
          <w:i/>
          <w:iCs/>
          <w:lang w:val="ro-RO"/>
        </w:rPr>
        <w:t>inspec</w:t>
      </w:r>
      <w:r w:rsidR="00D77C4B" w:rsidRPr="00834B27">
        <w:rPr>
          <w:rFonts w:ascii="Calibri" w:hAnsi="Calibri" w:cs="Calibri"/>
          <w:i/>
          <w:iCs/>
          <w:lang w:val="ro-RO"/>
        </w:rPr>
        <w:t>ț</w:t>
      </w:r>
      <w:r w:rsidR="002573DD" w:rsidRPr="00834B27">
        <w:rPr>
          <w:rFonts w:ascii="Calibri" w:hAnsi="Calibri" w:cs="Calibri"/>
          <w:i/>
          <w:iCs/>
          <w:lang w:val="ro-RO"/>
        </w:rPr>
        <w:t>ie</w:t>
      </w:r>
      <w:r w:rsidR="00D61068" w:rsidRPr="00834B27">
        <w:rPr>
          <w:rFonts w:ascii="Calibri" w:hAnsi="Calibri" w:cs="Calibri"/>
          <w:i/>
          <w:iCs/>
          <w:lang w:val="ro-RO"/>
        </w:rPr>
        <w:t xml:space="preserve"> fiscal</w:t>
      </w:r>
      <w:r w:rsidR="002573DD" w:rsidRPr="00834B27">
        <w:rPr>
          <w:rFonts w:ascii="Calibri" w:hAnsi="Calibri" w:cs="Calibri"/>
          <w:i/>
          <w:iCs/>
          <w:lang w:val="ro-RO"/>
        </w:rPr>
        <w:t>ă</w:t>
      </w:r>
      <w:r w:rsidR="00C55DE8" w:rsidRPr="00834B27">
        <w:rPr>
          <w:rFonts w:ascii="Calibri" w:hAnsi="Calibri" w:cs="Calibri"/>
          <w:i/>
          <w:iCs/>
          <w:lang w:val="ro-RO"/>
        </w:rPr>
        <w:t>,</w:t>
      </w:r>
      <w:r w:rsidR="00D61068" w:rsidRPr="00834B27">
        <w:rPr>
          <w:rFonts w:ascii="Calibri" w:hAnsi="Calibri" w:cs="Calibri"/>
          <w:i/>
          <w:iCs/>
          <w:lang w:val="ro-RO"/>
        </w:rPr>
        <w:t xml:space="preserve"> s</w:t>
      </w:r>
      <w:r w:rsidR="002573DD" w:rsidRPr="00834B27">
        <w:rPr>
          <w:rFonts w:ascii="Calibri" w:hAnsi="Calibri" w:cs="Calibri"/>
          <w:i/>
          <w:iCs/>
          <w:lang w:val="ro-RO"/>
        </w:rPr>
        <w:t>ă</w:t>
      </w:r>
      <w:r w:rsidR="00D61068" w:rsidRPr="00834B27">
        <w:rPr>
          <w:rFonts w:ascii="Calibri" w:hAnsi="Calibri" w:cs="Calibri"/>
          <w:i/>
          <w:iCs/>
          <w:lang w:val="ro-RO"/>
        </w:rPr>
        <w:t xml:space="preserve"> depun</w:t>
      </w:r>
      <w:r w:rsidR="002573DD" w:rsidRPr="00834B27">
        <w:rPr>
          <w:rFonts w:ascii="Calibri" w:hAnsi="Calibri" w:cs="Calibri"/>
          <w:i/>
          <w:iCs/>
          <w:lang w:val="ro-RO"/>
        </w:rPr>
        <w:t>ă</w:t>
      </w:r>
      <w:r w:rsidR="00D61068" w:rsidRPr="00834B27">
        <w:rPr>
          <w:rFonts w:ascii="Calibri" w:hAnsi="Calibri" w:cs="Calibri"/>
          <w:i/>
          <w:iCs/>
          <w:lang w:val="ro-RO"/>
        </w:rPr>
        <w:t xml:space="preserve"> o declara</w:t>
      </w:r>
      <w:r w:rsidR="00D77C4B" w:rsidRPr="00834B27">
        <w:rPr>
          <w:rFonts w:ascii="Calibri" w:hAnsi="Calibri" w:cs="Calibri"/>
          <w:i/>
          <w:iCs/>
          <w:lang w:val="ro-RO"/>
        </w:rPr>
        <w:t>ț</w:t>
      </w:r>
      <w:r w:rsidR="00D61068" w:rsidRPr="00834B27">
        <w:rPr>
          <w:rFonts w:ascii="Calibri" w:hAnsi="Calibri" w:cs="Calibri"/>
          <w:i/>
          <w:iCs/>
          <w:lang w:val="ro-RO"/>
        </w:rPr>
        <w:t>ie rectificativ</w:t>
      </w:r>
      <w:r w:rsidR="002573DD" w:rsidRPr="00834B27">
        <w:rPr>
          <w:rFonts w:ascii="Calibri" w:hAnsi="Calibri" w:cs="Calibri"/>
          <w:i/>
          <w:iCs/>
          <w:lang w:val="ro-RO"/>
        </w:rPr>
        <w:t>ă</w:t>
      </w:r>
      <w:r w:rsidR="00D61068" w:rsidRPr="00834B27">
        <w:rPr>
          <w:rFonts w:ascii="Calibri" w:hAnsi="Calibri" w:cs="Calibri"/>
          <w:i/>
          <w:iCs/>
          <w:lang w:val="ro-RO"/>
        </w:rPr>
        <w:t xml:space="preserve"> </w:t>
      </w:r>
      <w:r w:rsidR="002573DD" w:rsidRPr="00834B27">
        <w:rPr>
          <w:rFonts w:ascii="Calibri" w:hAnsi="Calibri" w:cs="Calibri"/>
          <w:i/>
          <w:iCs/>
          <w:lang w:val="ro-RO"/>
        </w:rPr>
        <w:t>ș</w:t>
      </w:r>
      <w:r w:rsidR="00D61068" w:rsidRPr="00834B27">
        <w:rPr>
          <w:rFonts w:ascii="Calibri" w:hAnsi="Calibri" w:cs="Calibri"/>
          <w:i/>
          <w:iCs/>
          <w:lang w:val="ro-RO"/>
        </w:rPr>
        <w:t>i s</w:t>
      </w:r>
      <w:r w:rsidR="002573DD" w:rsidRPr="00834B27">
        <w:rPr>
          <w:rFonts w:ascii="Calibri" w:hAnsi="Calibri" w:cs="Calibri"/>
          <w:i/>
          <w:iCs/>
          <w:lang w:val="ro-RO"/>
        </w:rPr>
        <w:t>ă</w:t>
      </w:r>
      <w:r w:rsidR="00D61068" w:rsidRPr="00834B27">
        <w:rPr>
          <w:rFonts w:ascii="Calibri" w:hAnsi="Calibri" w:cs="Calibri"/>
          <w:i/>
          <w:iCs/>
          <w:lang w:val="ro-RO"/>
        </w:rPr>
        <w:t xml:space="preserve"> </w:t>
      </w:r>
      <w:r w:rsidR="002573DD" w:rsidRPr="00834B27">
        <w:rPr>
          <w:rFonts w:ascii="Calibri" w:hAnsi="Calibri" w:cs="Calibri"/>
          <w:i/>
          <w:iCs/>
          <w:lang w:val="ro-RO"/>
        </w:rPr>
        <w:t>plătească</w:t>
      </w:r>
      <w:r w:rsidR="00D61068" w:rsidRPr="00834B27">
        <w:rPr>
          <w:rFonts w:ascii="Calibri" w:hAnsi="Calibri" w:cs="Calibri"/>
          <w:i/>
          <w:iCs/>
          <w:lang w:val="ro-RO"/>
        </w:rPr>
        <w:t xml:space="preserve"> </w:t>
      </w:r>
      <w:r w:rsidR="001D42C2" w:rsidRPr="00834B27">
        <w:rPr>
          <w:rFonts w:ascii="Calibri" w:hAnsi="Calibri" w:cs="Calibri"/>
          <w:i/>
          <w:iCs/>
          <w:lang w:val="ro-RO"/>
        </w:rPr>
        <w:t>impozit de 10% pentru sumele astfel declarate. Astfel, orice contr</w:t>
      </w:r>
      <w:r w:rsidR="00060AEB" w:rsidRPr="00834B27">
        <w:rPr>
          <w:rFonts w:ascii="Calibri" w:hAnsi="Calibri" w:cs="Calibri"/>
          <w:i/>
          <w:iCs/>
          <w:lang w:val="ro-RO"/>
        </w:rPr>
        <w:t xml:space="preserve">ibuabil ce nu se </w:t>
      </w:r>
      <w:r w:rsidR="002573DD" w:rsidRPr="00834B27">
        <w:rPr>
          <w:rFonts w:ascii="Calibri" w:hAnsi="Calibri" w:cs="Calibri"/>
          <w:i/>
          <w:iCs/>
          <w:lang w:val="ro-RO"/>
        </w:rPr>
        <w:t>conformează</w:t>
      </w:r>
      <w:r w:rsidR="00060AEB" w:rsidRPr="00834B27">
        <w:rPr>
          <w:rFonts w:ascii="Calibri" w:hAnsi="Calibri" w:cs="Calibri"/>
          <w:i/>
          <w:iCs/>
          <w:lang w:val="ro-RO"/>
        </w:rPr>
        <w:t xml:space="preserve"> </w:t>
      </w:r>
      <w:r w:rsidR="002573DD" w:rsidRPr="00834B27">
        <w:rPr>
          <w:rFonts w:ascii="Calibri" w:hAnsi="Calibri" w:cs="Calibri"/>
          <w:i/>
          <w:iCs/>
          <w:lang w:val="ro-RO"/>
        </w:rPr>
        <w:t>știe</w:t>
      </w:r>
      <w:r w:rsidR="00060AEB" w:rsidRPr="00834B27">
        <w:rPr>
          <w:rFonts w:ascii="Calibri" w:hAnsi="Calibri" w:cs="Calibri"/>
          <w:i/>
          <w:iCs/>
          <w:lang w:val="ro-RO"/>
        </w:rPr>
        <w:t xml:space="preserve"> c</w:t>
      </w:r>
      <w:r w:rsidR="002573DD" w:rsidRPr="00834B27">
        <w:rPr>
          <w:rFonts w:ascii="Calibri" w:hAnsi="Calibri" w:cs="Calibri"/>
          <w:i/>
          <w:iCs/>
          <w:lang w:val="ro-RO"/>
        </w:rPr>
        <w:t>ă</w:t>
      </w:r>
      <w:r w:rsidR="00060AEB" w:rsidRPr="00834B27">
        <w:rPr>
          <w:rFonts w:ascii="Calibri" w:hAnsi="Calibri" w:cs="Calibri"/>
          <w:i/>
          <w:iCs/>
          <w:lang w:val="ro-RO"/>
        </w:rPr>
        <w:t xml:space="preserve"> poate declara </w:t>
      </w:r>
      <w:r w:rsidR="002573DD" w:rsidRPr="00834B27">
        <w:rPr>
          <w:rFonts w:ascii="Calibri" w:hAnsi="Calibri" w:cs="Calibri"/>
          <w:i/>
          <w:iCs/>
          <w:lang w:val="ro-RO"/>
        </w:rPr>
        <w:t>ș</w:t>
      </w:r>
      <w:r w:rsidR="00060AEB" w:rsidRPr="00834B27">
        <w:rPr>
          <w:rFonts w:ascii="Calibri" w:hAnsi="Calibri" w:cs="Calibri"/>
          <w:i/>
          <w:iCs/>
          <w:lang w:val="ro-RO"/>
        </w:rPr>
        <w:t xml:space="preserve">i </w:t>
      </w:r>
      <w:r w:rsidR="002573DD" w:rsidRPr="00834B27">
        <w:rPr>
          <w:rFonts w:ascii="Calibri" w:hAnsi="Calibri" w:cs="Calibri"/>
          <w:i/>
          <w:iCs/>
          <w:lang w:val="ro-RO"/>
        </w:rPr>
        <w:t>plăti</w:t>
      </w:r>
      <w:r w:rsidR="00060AEB" w:rsidRPr="00834B27">
        <w:rPr>
          <w:rFonts w:ascii="Calibri" w:hAnsi="Calibri" w:cs="Calibri"/>
          <w:i/>
          <w:iCs/>
          <w:lang w:val="ro-RO"/>
        </w:rPr>
        <w:t xml:space="preserve"> doar 10% din sumele pe care nu le poate justifica </w:t>
      </w:r>
      <w:r w:rsidR="002573DD" w:rsidRPr="00834B27">
        <w:rPr>
          <w:rFonts w:ascii="Calibri" w:hAnsi="Calibri" w:cs="Calibri"/>
          <w:i/>
          <w:iCs/>
          <w:lang w:val="ro-RO"/>
        </w:rPr>
        <w:t>î</w:t>
      </w:r>
      <w:r w:rsidR="00060AEB" w:rsidRPr="00834B27">
        <w:rPr>
          <w:rFonts w:ascii="Calibri" w:hAnsi="Calibri" w:cs="Calibri"/>
          <w:i/>
          <w:iCs/>
          <w:lang w:val="ro-RO"/>
        </w:rPr>
        <w:t xml:space="preserve">n ultimii 5 ani, </w:t>
      </w:r>
      <w:r w:rsidR="002573DD" w:rsidRPr="00834B27">
        <w:rPr>
          <w:rFonts w:ascii="Calibri" w:hAnsi="Calibri" w:cs="Calibri"/>
          <w:i/>
          <w:iCs/>
          <w:lang w:val="ro-RO"/>
        </w:rPr>
        <w:t>ș</w:t>
      </w:r>
      <w:r w:rsidR="00060AEB" w:rsidRPr="00834B27">
        <w:rPr>
          <w:rFonts w:ascii="Calibri" w:hAnsi="Calibri" w:cs="Calibri"/>
          <w:i/>
          <w:iCs/>
          <w:lang w:val="ro-RO"/>
        </w:rPr>
        <w:t>i asta doar dac</w:t>
      </w:r>
      <w:r w:rsidR="002573DD" w:rsidRPr="00834B27">
        <w:rPr>
          <w:rFonts w:ascii="Calibri" w:hAnsi="Calibri" w:cs="Calibri"/>
          <w:i/>
          <w:iCs/>
          <w:lang w:val="ro-RO"/>
        </w:rPr>
        <w:t>ă</w:t>
      </w:r>
      <w:r w:rsidR="00060AEB" w:rsidRPr="00834B27">
        <w:rPr>
          <w:rFonts w:ascii="Calibri" w:hAnsi="Calibri" w:cs="Calibri"/>
          <w:i/>
          <w:iCs/>
          <w:lang w:val="ro-RO"/>
        </w:rPr>
        <w:t xml:space="preserve"> este selectat la verificare</w:t>
      </w:r>
      <w:r w:rsidR="00071607" w:rsidRPr="00834B27">
        <w:rPr>
          <w:rFonts w:ascii="Calibri" w:hAnsi="Calibri" w:cs="Calibri"/>
          <w:i/>
          <w:iCs/>
          <w:lang w:val="ro-RO"/>
        </w:rPr>
        <w:t>.</w:t>
      </w:r>
      <w:r w:rsidR="00FE4EB0" w:rsidRPr="00834B27">
        <w:rPr>
          <w:rFonts w:ascii="Calibri" w:hAnsi="Calibri" w:cs="Calibri"/>
          <w:i/>
          <w:iCs/>
          <w:lang w:val="ro-RO"/>
        </w:rPr>
        <w:t xml:space="preserve"> Din ce vedem ast</w:t>
      </w:r>
      <w:r w:rsidR="007F38A1" w:rsidRPr="00834B27">
        <w:rPr>
          <w:rFonts w:ascii="Calibri" w:hAnsi="Calibri" w:cs="Calibri"/>
          <w:i/>
          <w:iCs/>
          <w:lang w:val="ro-RO"/>
        </w:rPr>
        <w:t>ă</w:t>
      </w:r>
      <w:r w:rsidR="00FE4EB0" w:rsidRPr="00834B27">
        <w:rPr>
          <w:rFonts w:ascii="Calibri" w:hAnsi="Calibri" w:cs="Calibri"/>
          <w:i/>
          <w:iCs/>
          <w:lang w:val="ro-RO"/>
        </w:rPr>
        <w:t>zi</w:t>
      </w:r>
      <w:r w:rsidR="003843F1" w:rsidRPr="00834B27">
        <w:rPr>
          <w:rFonts w:ascii="Calibri" w:hAnsi="Calibri" w:cs="Calibri"/>
          <w:i/>
          <w:iCs/>
          <w:lang w:val="ro-RO"/>
        </w:rPr>
        <w:t>, ANAF ajunge s</w:t>
      </w:r>
      <w:r w:rsidR="007F38A1" w:rsidRPr="00834B27">
        <w:rPr>
          <w:rFonts w:ascii="Calibri" w:hAnsi="Calibri" w:cs="Calibri"/>
          <w:i/>
          <w:iCs/>
          <w:lang w:val="ro-RO"/>
        </w:rPr>
        <w:t>ă îi</w:t>
      </w:r>
      <w:r w:rsidR="003843F1" w:rsidRPr="00834B27">
        <w:rPr>
          <w:rFonts w:ascii="Calibri" w:hAnsi="Calibri" w:cs="Calibri"/>
          <w:i/>
          <w:iCs/>
          <w:lang w:val="ro-RO"/>
        </w:rPr>
        <w:t xml:space="preserve"> impun</w:t>
      </w:r>
      <w:r w:rsidR="007F38A1" w:rsidRPr="00834B27">
        <w:rPr>
          <w:rFonts w:ascii="Calibri" w:hAnsi="Calibri" w:cs="Calibri"/>
          <w:i/>
          <w:iCs/>
          <w:lang w:val="ro-RO"/>
        </w:rPr>
        <w:t>ă</w:t>
      </w:r>
      <w:r w:rsidR="003843F1" w:rsidRPr="00834B27">
        <w:rPr>
          <w:rFonts w:ascii="Calibri" w:hAnsi="Calibri" w:cs="Calibri"/>
          <w:i/>
          <w:iCs/>
          <w:lang w:val="ro-RO"/>
        </w:rPr>
        <w:t xml:space="preserve"> cu 70% doar pe contribuabilii care au convingerea c</w:t>
      </w:r>
      <w:r w:rsidR="007F38A1" w:rsidRPr="00834B27">
        <w:rPr>
          <w:rFonts w:ascii="Calibri" w:hAnsi="Calibri" w:cs="Calibri"/>
          <w:i/>
          <w:iCs/>
          <w:lang w:val="ro-RO"/>
        </w:rPr>
        <w:t>ă</w:t>
      </w:r>
      <w:r w:rsidR="003843F1" w:rsidRPr="00834B27">
        <w:rPr>
          <w:rFonts w:ascii="Calibri" w:hAnsi="Calibri" w:cs="Calibri"/>
          <w:i/>
          <w:iCs/>
          <w:lang w:val="ro-RO"/>
        </w:rPr>
        <w:t xml:space="preserve"> </w:t>
      </w:r>
      <w:r w:rsidR="007F38A1" w:rsidRPr="00834B27">
        <w:rPr>
          <w:rFonts w:ascii="Calibri" w:hAnsi="Calibri" w:cs="Calibri"/>
          <w:i/>
          <w:iCs/>
          <w:lang w:val="ro-RO"/>
        </w:rPr>
        <w:t>ș</w:t>
      </w:r>
      <w:r w:rsidR="003843F1" w:rsidRPr="00834B27">
        <w:rPr>
          <w:rFonts w:ascii="Calibri" w:hAnsi="Calibri" w:cs="Calibri"/>
          <w:i/>
          <w:iCs/>
          <w:lang w:val="ro-RO"/>
        </w:rPr>
        <w:t xml:space="preserve">i-au achitat </w:t>
      </w:r>
      <w:r w:rsidR="00844FE7" w:rsidRPr="00834B27">
        <w:rPr>
          <w:rFonts w:ascii="Calibri" w:hAnsi="Calibri" w:cs="Calibri"/>
          <w:i/>
          <w:iCs/>
          <w:lang w:val="ro-RO"/>
        </w:rPr>
        <w:t>corect impozitele...</w:t>
      </w:r>
    </w:p>
    <w:p w14:paraId="14719B2F" w14:textId="0045D3BF" w:rsidR="00441837" w:rsidRPr="00834B27" w:rsidRDefault="00441837" w:rsidP="005C0924">
      <w:pPr>
        <w:spacing w:line="276" w:lineRule="auto"/>
        <w:jc w:val="both"/>
        <w:rPr>
          <w:rFonts w:ascii="Calibri" w:hAnsi="Calibri" w:cs="Calibri"/>
          <w:i/>
          <w:iCs/>
          <w:lang w:val="ro-RO"/>
        </w:rPr>
      </w:pPr>
      <w:r w:rsidRPr="00834B27">
        <w:rPr>
          <w:rFonts w:ascii="Calibri" w:hAnsi="Calibri" w:cs="Calibri"/>
          <w:i/>
          <w:iCs/>
          <w:lang w:val="ro-RO"/>
        </w:rPr>
        <w:t>Rezultatul este paradoxal: cota sancționatorie de 70% se aplică în practică doar contribuabililor care au declarat și au plătit impozite, dar pe care ANAF îi consideră insuficient conformați, în timp ce contribuabilii care nu au declarat deloc beneficiază de rata de 10% prin simpla depunere a declarației rectificative în termen de 30 de zile de la primirea avizului de inspecție. Sistemul actual penalizează conformarea parțială mai aspru decât neconformarea totală.</w:t>
      </w:r>
    </w:p>
    <w:p w14:paraId="68AB7480" w14:textId="77777777" w:rsidR="002573DD" w:rsidRPr="00834B27" w:rsidRDefault="002573DD" w:rsidP="00B91E74">
      <w:pPr>
        <w:spacing w:line="276" w:lineRule="auto"/>
        <w:jc w:val="both"/>
        <w:rPr>
          <w:rFonts w:ascii="Calibri" w:hAnsi="Calibri" w:cs="Calibri"/>
          <w:i/>
          <w:iCs/>
          <w:lang w:val="ro-RO"/>
        </w:rPr>
      </w:pPr>
    </w:p>
    <w:p w14:paraId="3AB8C627" w14:textId="0FF8B4AE" w:rsidR="00923420" w:rsidRPr="00834B27" w:rsidRDefault="008F6D99" w:rsidP="005030D8">
      <w:pPr>
        <w:pStyle w:val="Listparagraf"/>
        <w:keepNext/>
        <w:numPr>
          <w:ilvl w:val="2"/>
          <w:numId w:val="31"/>
        </w:numPr>
        <w:spacing w:line="276" w:lineRule="auto"/>
        <w:contextualSpacing w:val="0"/>
        <w:jc w:val="both"/>
        <w:rPr>
          <w:rFonts w:ascii="Calibri" w:hAnsi="Calibri" w:cs="Calibri"/>
          <w:b/>
          <w:bCs/>
          <w:lang w:val="ro-RO"/>
        </w:rPr>
      </w:pPr>
      <w:r w:rsidRPr="00834B27">
        <w:rPr>
          <w:rFonts w:ascii="Calibri" w:hAnsi="Calibri" w:cs="Calibri"/>
          <w:b/>
          <w:bCs/>
          <w:lang w:val="ro-RO"/>
        </w:rPr>
        <w:t>CAS</w:t>
      </w:r>
    </w:p>
    <w:p w14:paraId="011AE6C6" w14:textId="4BD914C1" w:rsidR="008F6D99" w:rsidRPr="00834B27" w:rsidRDefault="008F6D99" w:rsidP="00B91E74">
      <w:pPr>
        <w:spacing w:line="276" w:lineRule="auto"/>
        <w:jc w:val="both"/>
        <w:rPr>
          <w:rFonts w:ascii="Calibri" w:hAnsi="Calibri" w:cs="Calibri"/>
          <w:lang w:val="ro-RO"/>
        </w:rPr>
      </w:pPr>
      <w:r w:rsidRPr="00834B27">
        <w:rPr>
          <w:rFonts w:ascii="Calibri" w:hAnsi="Calibri" w:cs="Calibri"/>
          <w:lang w:val="ro-RO"/>
        </w:rPr>
        <w:t xml:space="preserve">Nu se </w:t>
      </w:r>
      <w:r w:rsidR="002573DD" w:rsidRPr="00834B27">
        <w:rPr>
          <w:rFonts w:ascii="Calibri" w:hAnsi="Calibri" w:cs="Calibri"/>
          <w:lang w:val="ro-RO"/>
        </w:rPr>
        <w:t>datorează</w:t>
      </w:r>
      <w:r w:rsidRPr="00834B27">
        <w:rPr>
          <w:rFonts w:ascii="Calibri" w:hAnsi="Calibri" w:cs="Calibri"/>
          <w:lang w:val="ro-RO"/>
        </w:rPr>
        <w:t xml:space="preserve"> CAS.</w:t>
      </w:r>
    </w:p>
    <w:p w14:paraId="0B9E18B0" w14:textId="77777777" w:rsidR="002573DD" w:rsidRPr="00834B27" w:rsidRDefault="002573DD" w:rsidP="00B91E74">
      <w:pPr>
        <w:spacing w:line="276" w:lineRule="auto"/>
        <w:jc w:val="both"/>
        <w:rPr>
          <w:rFonts w:ascii="Calibri" w:hAnsi="Calibri" w:cs="Calibri"/>
          <w:lang w:val="ro-RO"/>
        </w:rPr>
      </w:pPr>
    </w:p>
    <w:p w14:paraId="367FC616" w14:textId="03C83234" w:rsidR="008F6D99" w:rsidRPr="00834B27" w:rsidRDefault="00270ED6" w:rsidP="005030D8">
      <w:pPr>
        <w:pStyle w:val="Listparagraf"/>
        <w:keepNext/>
        <w:numPr>
          <w:ilvl w:val="2"/>
          <w:numId w:val="31"/>
        </w:numPr>
        <w:spacing w:line="276" w:lineRule="auto"/>
        <w:contextualSpacing w:val="0"/>
        <w:jc w:val="both"/>
        <w:rPr>
          <w:rFonts w:ascii="Calibri" w:hAnsi="Calibri" w:cs="Calibri"/>
          <w:b/>
          <w:bCs/>
          <w:lang w:val="ro-RO"/>
        </w:rPr>
      </w:pPr>
      <w:r w:rsidRPr="00834B27">
        <w:rPr>
          <w:rFonts w:ascii="Calibri" w:hAnsi="Calibri" w:cs="Calibri"/>
          <w:b/>
          <w:bCs/>
          <w:lang w:val="ro-RO"/>
        </w:rPr>
        <w:t>CASS</w:t>
      </w:r>
    </w:p>
    <w:p w14:paraId="7D77F2A4" w14:textId="03F3B371" w:rsidR="00270ED6" w:rsidRPr="00834B27" w:rsidRDefault="00270ED6" w:rsidP="00B91E74">
      <w:pPr>
        <w:spacing w:line="276" w:lineRule="auto"/>
        <w:jc w:val="both"/>
        <w:rPr>
          <w:rFonts w:ascii="Calibri" w:hAnsi="Calibri" w:cs="Calibri"/>
          <w:lang w:val="ro-RO"/>
        </w:rPr>
      </w:pPr>
      <w:r w:rsidRPr="00834B27">
        <w:rPr>
          <w:rFonts w:ascii="Calibri" w:hAnsi="Calibri" w:cs="Calibri"/>
          <w:lang w:val="ro-RO"/>
        </w:rPr>
        <w:t xml:space="preserve">Nu se </w:t>
      </w:r>
      <w:r w:rsidR="002573DD" w:rsidRPr="00834B27">
        <w:rPr>
          <w:rFonts w:ascii="Calibri" w:hAnsi="Calibri" w:cs="Calibri"/>
          <w:lang w:val="ro-RO"/>
        </w:rPr>
        <w:t>datorează</w:t>
      </w:r>
      <w:r w:rsidRPr="00834B27">
        <w:rPr>
          <w:rFonts w:ascii="Calibri" w:hAnsi="Calibri" w:cs="Calibri"/>
          <w:lang w:val="ro-RO"/>
        </w:rPr>
        <w:t xml:space="preserve"> CASS.</w:t>
      </w:r>
    </w:p>
    <w:p w14:paraId="34D6077D" w14:textId="77777777" w:rsidR="00C65C5F" w:rsidRPr="00834B27" w:rsidRDefault="00C65C5F" w:rsidP="00B91E74">
      <w:pPr>
        <w:spacing w:line="276" w:lineRule="auto"/>
        <w:jc w:val="both"/>
        <w:rPr>
          <w:rFonts w:ascii="Calibri" w:hAnsi="Calibri" w:cs="Calibri"/>
          <w:lang w:val="ro-RO"/>
        </w:rPr>
      </w:pPr>
    </w:p>
    <w:p w14:paraId="63836978" w14:textId="732BE577" w:rsidR="00707096" w:rsidRPr="00834B27" w:rsidRDefault="002573DD" w:rsidP="009F2FDA">
      <w:pPr>
        <w:pStyle w:val="Listparagraf"/>
        <w:keepNext/>
        <w:numPr>
          <w:ilvl w:val="1"/>
          <w:numId w:val="5"/>
        </w:numPr>
        <w:spacing w:line="276" w:lineRule="auto"/>
        <w:ind w:left="720" w:hanging="720"/>
        <w:contextualSpacing w:val="0"/>
        <w:jc w:val="both"/>
        <w:outlineLvl w:val="1"/>
        <w:rPr>
          <w:rFonts w:ascii="Calibri" w:hAnsi="Calibri" w:cs="Calibri"/>
          <w:b/>
          <w:bCs/>
          <w:lang w:val="ro-RO"/>
        </w:rPr>
      </w:pPr>
      <w:bookmarkStart w:id="13" w:name="_Toc223643882"/>
      <w:r w:rsidRPr="00834B27">
        <w:rPr>
          <w:rFonts w:ascii="Calibri" w:hAnsi="Calibri" w:cs="Calibri"/>
          <w:b/>
          <w:bCs/>
          <w:lang w:val="ro-RO"/>
        </w:rPr>
        <w:t>„</w:t>
      </w:r>
      <w:r w:rsidR="00707096" w:rsidRPr="00834B27">
        <w:rPr>
          <w:rFonts w:ascii="Calibri" w:hAnsi="Calibri" w:cs="Calibri"/>
          <w:b/>
          <w:bCs/>
          <w:lang w:val="ro-RO"/>
        </w:rPr>
        <w:t>CFC Rules”</w:t>
      </w:r>
      <w:bookmarkEnd w:id="13"/>
    </w:p>
    <w:p w14:paraId="3E82AA2D" w14:textId="41F55C49" w:rsidR="00441837" w:rsidRPr="00834B27" w:rsidRDefault="00441837" w:rsidP="005030D8">
      <w:pPr>
        <w:keepNext/>
        <w:spacing w:line="276" w:lineRule="auto"/>
        <w:jc w:val="both"/>
        <w:rPr>
          <w:rFonts w:ascii="Calibri" w:hAnsi="Calibri" w:cs="Calibri"/>
          <w:lang w:val="ro-RO"/>
        </w:rPr>
      </w:pPr>
      <w:r w:rsidRPr="00834B27">
        <w:rPr>
          <w:rFonts w:ascii="Calibri" w:hAnsi="Calibri" w:cs="Calibri"/>
          <w:lang w:val="ro-RO"/>
        </w:rPr>
        <w:t>România a transpus parțial regulile CFC prevăzute de art. 7 din ATAD (Directiva 2016/1164), dar exclusiv pentru persoanele juridice. Nu au fost implementate reguli CFC aplicabile persoanelor fizice rezidente (UBO) care dețin participații în entități situate în jurisdicții cu impozitare redusă sau zero — reguli care funcționează deja în majoritatea statelor membre UE (de exemplu, Germania, Franța, Italia, Suedia, Olanda). Absența acestor reguli permite rezidenților fiscali din România să acumuleze profituri neimpozitate în companii offshore, profituri care nu sunt distribuite ca dividende și, în consecință, nu sunt niciodată supuse impozitării în România.</w:t>
      </w:r>
    </w:p>
    <w:p w14:paraId="22F444BF" w14:textId="076EBE2E" w:rsidR="00707096" w:rsidRPr="00834B27" w:rsidRDefault="003A56A8" w:rsidP="005030D8">
      <w:pPr>
        <w:keepNext/>
        <w:spacing w:line="276" w:lineRule="auto"/>
        <w:jc w:val="both"/>
        <w:rPr>
          <w:rFonts w:ascii="Calibri" w:hAnsi="Calibri" w:cs="Calibri"/>
          <w:lang w:val="ro-RO"/>
        </w:rPr>
      </w:pPr>
      <w:r w:rsidRPr="00834B27">
        <w:rPr>
          <w:rFonts w:ascii="Calibri" w:hAnsi="Calibri" w:cs="Calibri"/>
          <w:lang w:val="ro-RO"/>
        </w:rPr>
        <w:t xml:space="preserve">Astfel de reguli </w:t>
      </w:r>
      <w:r w:rsidR="00C21476" w:rsidRPr="00834B27">
        <w:rPr>
          <w:rFonts w:ascii="Calibri" w:hAnsi="Calibri" w:cs="Calibri"/>
          <w:lang w:val="ro-RO"/>
        </w:rPr>
        <w:t>(</w:t>
      </w:r>
      <w:r w:rsidR="002573DD" w:rsidRPr="00834B27">
        <w:rPr>
          <w:rFonts w:ascii="Calibri" w:hAnsi="Calibri" w:cs="Calibri"/>
          <w:lang w:val="ro-RO"/>
        </w:rPr>
        <w:t>„</w:t>
      </w:r>
      <w:r w:rsidR="00C21476" w:rsidRPr="00834B27">
        <w:rPr>
          <w:rFonts w:ascii="Calibri" w:hAnsi="Calibri" w:cs="Calibri"/>
          <w:i/>
          <w:iCs/>
          <w:lang w:val="ro-RO"/>
        </w:rPr>
        <w:t>CFC Rules focused on the U</w:t>
      </w:r>
      <w:r w:rsidR="00820F33" w:rsidRPr="00834B27">
        <w:rPr>
          <w:rFonts w:ascii="Calibri" w:hAnsi="Calibri" w:cs="Calibri"/>
          <w:i/>
          <w:iCs/>
          <w:lang w:val="ro-RO"/>
        </w:rPr>
        <w:t>BO</w:t>
      </w:r>
      <w:r w:rsidR="00820F33" w:rsidRPr="00834B27">
        <w:rPr>
          <w:rFonts w:ascii="Calibri" w:hAnsi="Calibri" w:cs="Calibri"/>
          <w:lang w:val="ro-RO"/>
        </w:rPr>
        <w:t>”) exist</w:t>
      </w:r>
      <w:r w:rsidR="002573DD" w:rsidRPr="00834B27">
        <w:rPr>
          <w:rFonts w:ascii="Calibri" w:hAnsi="Calibri" w:cs="Calibri"/>
          <w:lang w:val="ro-RO"/>
        </w:rPr>
        <w:t>ă</w:t>
      </w:r>
      <w:r w:rsidR="00820F33" w:rsidRPr="00834B27">
        <w:rPr>
          <w:rFonts w:ascii="Calibri" w:hAnsi="Calibri" w:cs="Calibri"/>
          <w:lang w:val="ro-RO"/>
        </w:rPr>
        <w:t xml:space="preserve"> deja </w:t>
      </w:r>
      <w:r w:rsidR="002573DD" w:rsidRPr="00834B27">
        <w:rPr>
          <w:rFonts w:ascii="Calibri" w:hAnsi="Calibri" w:cs="Calibri"/>
          <w:lang w:val="ro-RO"/>
        </w:rPr>
        <w:t>î</w:t>
      </w:r>
      <w:r w:rsidR="00820F33" w:rsidRPr="00834B27">
        <w:rPr>
          <w:rFonts w:ascii="Calibri" w:hAnsi="Calibri" w:cs="Calibri"/>
          <w:lang w:val="ro-RO"/>
        </w:rPr>
        <w:t>n mai multe sta</w:t>
      </w:r>
      <w:r w:rsidR="00961F2C" w:rsidRPr="00834B27">
        <w:rPr>
          <w:rFonts w:ascii="Calibri" w:hAnsi="Calibri" w:cs="Calibri"/>
          <w:lang w:val="ro-RO"/>
        </w:rPr>
        <w:t xml:space="preserve">te, </w:t>
      </w:r>
      <w:r w:rsidR="00124B42" w:rsidRPr="00834B27">
        <w:rPr>
          <w:rFonts w:ascii="Calibri" w:hAnsi="Calibri" w:cs="Calibri"/>
          <w:lang w:val="ro-RO"/>
        </w:rPr>
        <w:t>atât</w:t>
      </w:r>
      <w:r w:rsidR="00961F2C" w:rsidRPr="00834B27">
        <w:rPr>
          <w:rFonts w:ascii="Calibri" w:hAnsi="Calibri" w:cs="Calibri"/>
          <w:lang w:val="ro-RO"/>
        </w:rPr>
        <w:t xml:space="preserve"> din UE</w:t>
      </w:r>
      <w:r w:rsidR="00163A80" w:rsidRPr="00834B27">
        <w:rPr>
          <w:rStyle w:val="Referinnotdesubsol"/>
          <w:rFonts w:ascii="Calibri" w:hAnsi="Calibri" w:cs="Calibri"/>
          <w:lang w:val="ro-RO"/>
        </w:rPr>
        <w:footnoteReference w:id="14"/>
      </w:r>
      <w:r w:rsidR="00961F2C" w:rsidRPr="00834B27">
        <w:rPr>
          <w:rFonts w:ascii="Calibri" w:hAnsi="Calibri" w:cs="Calibri"/>
          <w:lang w:val="ro-RO"/>
        </w:rPr>
        <w:t xml:space="preserve"> c</w:t>
      </w:r>
      <w:r w:rsidR="00124B42" w:rsidRPr="00834B27">
        <w:rPr>
          <w:rFonts w:ascii="Calibri" w:hAnsi="Calibri" w:cs="Calibri"/>
          <w:lang w:val="ro-RO"/>
        </w:rPr>
        <w:t>â</w:t>
      </w:r>
      <w:r w:rsidR="00961F2C" w:rsidRPr="00834B27">
        <w:rPr>
          <w:rFonts w:ascii="Calibri" w:hAnsi="Calibri" w:cs="Calibri"/>
          <w:lang w:val="ro-RO"/>
        </w:rPr>
        <w:t xml:space="preserve">t </w:t>
      </w:r>
      <w:r w:rsidR="00124B42" w:rsidRPr="00834B27">
        <w:rPr>
          <w:rFonts w:ascii="Calibri" w:hAnsi="Calibri" w:cs="Calibri"/>
          <w:lang w:val="ro-RO"/>
        </w:rPr>
        <w:t>ș</w:t>
      </w:r>
      <w:r w:rsidR="00961F2C" w:rsidRPr="00834B27">
        <w:rPr>
          <w:rFonts w:ascii="Calibri" w:hAnsi="Calibri" w:cs="Calibri"/>
          <w:lang w:val="ro-RO"/>
        </w:rPr>
        <w:t>i din afara UE.</w:t>
      </w:r>
      <w:r w:rsidR="00163A80" w:rsidRPr="00834B27">
        <w:rPr>
          <w:rStyle w:val="Referinnotdesubsol"/>
          <w:rFonts w:ascii="Calibri" w:hAnsi="Calibri" w:cs="Calibri"/>
          <w:lang w:val="ro-RO"/>
        </w:rPr>
        <w:footnoteReference w:id="15"/>
      </w:r>
    </w:p>
    <w:p w14:paraId="74EE643B" w14:textId="77777777" w:rsidR="00124B42" w:rsidRPr="00834B27" w:rsidRDefault="00124B42" w:rsidP="00B91E74">
      <w:pPr>
        <w:spacing w:line="276" w:lineRule="auto"/>
        <w:jc w:val="both"/>
        <w:rPr>
          <w:rFonts w:ascii="Calibri" w:hAnsi="Calibri" w:cs="Calibri"/>
          <w:lang w:val="ro-RO"/>
        </w:rPr>
      </w:pPr>
    </w:p>
    <w:p w14:paraId="46B5F211" w14:textId="2E98B9D7" w:rsidR="00961F2C" w:rsidRPr="00834B27" w:rsidRDefault="002573DD" w:rsidP="007F38A1">
      <w:pPr>
        <w:pStyle w:val="Listparagraf"/>
        <w:keepNext/>
        <w:numPr>
          <w:ilvl w:val="1"/>
          <w:numId w:val="5"/>
        </w:numPr>
        <w:spacing w:line="276" w:lineRule="auto"/>
        <w:ind w:left="720" w:hanging="720"/>
        <w:contextualSpacing w:val="0"/>
        <w:jc w:val="both"/>
        <w:outlineLvl w:val="1"/>
        <w:rPr>
          <w:rFonts w:ascii="Calibri" w:hAnsi="Calibri" w:cs="Calibri"/>
          <w:b/>
          <w:bCs/>
          <w:lang w:val="ro-RO"/>
        </w:rPr>
      </w:pPr>
      <w:bookmarkStart w:id="14" w:name="_Toc223643883"/>
      <w:r w:rsidRPr="00834B27">
        <w:rPr>
          <w:rFonts w:ascii="Calibri" w:hAnsi="Calibri" w:cs="Calibri"/>
          <w:b/>
          <w:bCs/>
          <w:lang w:val="ro-RO"/>
        </w:rPr>
        <w:lastRenderedPageBreak/>
        <w:t>„</w:t>
      </w:r>
      <w:r w:rsidR="00961F2C" w:rsidRPr="00834B27">
        <w:rPr>
          <w:rFonts w:ascii="Calibri" w:hAnsi="Calibri" w:cs="Calibri"/>
          <w:b/>
          <w:bCs/>
          <w:lang w:val="ro-RO"/>
        </w:rPr>
        <w:t>Ex</w:t>
      </w:r>
      <w:r w:rsidR="00952883" w:rsidRPr="00834B27">
        <w:rPr>
          <w:rFonts w:ascii="Calibri" w:hAnsi="Calibri" w:cs="Calibri"/>
          <w:b/>
          <w:bCs/>
          <w:lang w:val="ro-RO"/>
        </w:rPr>
        <w:t>it</w:t>
      </w:r>
      <w:r w:rsidR="00961F2C" w:rsidRPr="00834B27">
        <w:rPr>
          <w:rFonts w:ascii="Calibri" w:hAnsi="Calibri" w:cs="Calibri"/>
          <w:b/>
          <w:bCs/>
          <w:lang w:val="ro-RO"/>
        </w:rPr>
        <w:t xml:space="preserve"> Tax”</w:t>
      </w:r>
      <w:bookmarkEnd w:id="14"/>
    </w:p>
    <w:p w14:paraId="1E552F96" w14:textId="4A573BD5" w:rsidR="00961F2C" w:rsidRPr="00834B27" w:rsidRDefault="004064AC" w:rsidP="007F38A1">
      <w:pPr>
        <w:keepNext/>
        <w:spacing w:line="276" w:lineRule="auto"/>
        <w:jc w:val="both"/>
        <w:rPr>
          <w:rFonts w:ascii="Calibri" w:hAnsi="Calibri" w:cs="Calibri"/>
          <w:lang w:val="ro-RO"/>
        </w:rPr>
      </w:pPr>
      <w:r w:rsidRPr="00834B27">
        <w:rPr>
          <w:rFonts w:ascii="Calibri" w:hAnsi="Calibri" w:cs="Calibri"/>
          <w:lang w:val="ro-RO"/>
        </w:rPr>
        <w:t>Nu există în legislația românească un impozit la ieșire (</w:t>
      </w:r>
      <w:r w:rsidRPr="00834B27">
        <w:rPr>
          <w:rFonts w:ascii="Calibri" w:hAnsi="Calibri" w:cs="Calibri"/>
          <w:i/>
          <w:iCs/>
          <w:lang w:val="ro-RO"/>
        </w:rPr>
        <w:t>exit tax</w:t>
      </w:r>
      <w:r w:rsidRPr="00834B27">
        <w:rPr>
          <w:rFonts w:ascii="Calibri" w:hAnsi="Calibri" w:cs="Calibri"/>
          <w:lang w:val="ro-RO"/>
        </w:rPr>
        <w:t>) aplicabil persoanelor fizice care își mută rezidența fiscală din România. Deși art. 5 din ATAD obligă statele membre să implementeze un impozit la ieșire pentru persoanele juridice, România nu a extins această obligație la persoanele fizice. Jurisprudența CJUE (cauza C-371/10, National Grid Indus) confirmă că un astfel de impozit este compatibil cu libertatea de stabilire, cu condiția acordării unor facilități de plată pentru mutările intra-UE. În absența unui exit tax, România pierde definitiv dreptul de a impozita câștigurile de capital acumulate pe teritoriul său de către persoanele care își mută rezidența într-o jurisdicție care nu impozitează veniturile din străinătate.</w:t>
      </w:r>
      <w:r w:rsidR="00163A80" w:rsidRPr="00834B27">
        <w:rPr>
          <w:rStyle w:val="Referinnotdesubsol"/>
          <w:rFonts w:ascii="Calibri" w:hAnsi="Calibri" w:cs="Calibri"/>
          <w:lang w:val="ro-RO"/>
        </w:rPr>
        <w:footnoteReference w:id="16"/>
      </w:r>
      <w:r w:rsidR="001160F1" w:rsidRPr="00834B27">
        <w:rPr>
          <w:rFonts w:ascii="Calibri" w:hAnsi="Calibri" w:cs="Calibri"/>
          <w:lang w:val="ro-RO"/>
        </w:rPr>
        <w:t>.</w:t>
      </w:r>
      <w:r w:rsidR="00163A80" w:rsidRPr="00834B27">
        <w:rPr>
          <w:rFonts w:ascii="Calibri" w:hAnsi="Calibri" w:cs="Calibri"/>
          <w:lang w:val="ro-RO"/>
        </w:rPr>
        <w:t xml:space="preserve"> De exemplu, un rezident fiscal român care deține participații într-o companie românească evaluate la 10 milioane euro poate, în prezent, să își mute rezidența fiscală într-un stat care nu impozitează câștigurile de capital din străinătate și să vândă ulterior aceste participații fără a datora vreun impozit în România sau în statul de destinație.</w:t>
      </w:r>
    </w:p>
    <w:p w14:paraId="432F2152" w14:textId="2778B836" w:rsidR="00163A80" w:rsidRPr="00834B27" w:rsidRDefault="00163A80">
      <w:pPr>
        <w:rPr>
          <w:rFonts w:ascii="Calibri" w:hAnsi="Calibri" w:cs="Calibri"/>
          <w:i/>
          <w:iCs/>
          <w:lang w:val="ro-RO"/>
        </w:rPr>
      </w:pPr>
    </w:p>
    <w:p w14:paraId="5C6CBB4E" w14:textId="049CA509" w:rsidR="00FF6152" w:rsidRPr="00834B27" w:rsidRDefault="001160F1" w:rsidP="009F2FDA">
      <w:pPr>
        <w:pStyle w:val="Listparagraf"/>
        <w:numPr>
          <w:ilvl w:val="1"/>
          <w:numId w:val="5"/>
        </w:numPr>
        <w:spacing w:line="276" w:lineRule="auto"/>
        <w:ind w:left="720" w:hanging="720"/>
        <w:contextualSpacing w:val="0"/>
        <w:jc w:val="both"/>
        <w:outlineLvl w:val="1"/>
        <w:rPr>
          <w:rFonts w:ascii="Calibri" w:hAnsi="Calibri" w:cs="Calibri"/>
          <w:b/>
          <w:bCs/>
          <w:lang w:val="ro-RO"/>
        </w:rPr>
      </w:pPr>
      <w:r w:rsidRPr="00834B27">
        <w:rPr>
          <w:rFonts w:ascii="Calibri" w:hAnsi="Calibri" w:cs="Calibri"/>
          <w:b/>
          <w:bCs/>
          <w:lang w:val="ro-RO"/>
        </w:rPr>
        <w:t xml:space="preserve">  </w:t>
      </w:r>
      <w:bookmarkStart w:id="15" w:name="_Toc223643884"/>
      <w:r w:rsidR="00FF6152" w:rsidRPr="00834B27">
        <w:rPr>
          <w:rFonts w:ascii="Calibri" w:hAnsi="Calibri" w:cs="Calibri"/>
          <w:b/>
          <w:bCs/>
          <w:lang w:val="ro-RO"/>
        </w:rPr>
        <w:t>Concluzii</w:t>
      </w:r>
      <w:bookmarkEnd w:id="15"/>
    </w:p>
    <w:p w14:paraId="721DD9F9" w14:textId="622D2315" w:rsidR="00FF6152" w:rsidRPr="00834B27" w:rsidRDefault="00B309D0" w:rsidP="00B91E74">
      <w:pPr>
        <w:spacing w:line="276" w:lineRule="auto"/>
        <w:jc w:val="both"/>
        <w:rPr>
          <w:rFonts w:ascii="Calibri" w:hAnsi="Calibri" w:cs="Calibri"/>
          <w:lang w:val="ro-RO"/>
        </w:rPr>
      </w:pPr>
      <w:r w:rsidRPr="00834B27">
        <w:rPr>
          <w:rFonts w:ascii="Calibri" w:hAnsi="Calibri" w:cs="Calibri"/>
          <w:lang w:val="ro-RO"/>
        </w:rPr>
        <w:t>SFT (IV+CAS+CASS)</w:t>
      </w:r>
      <w:r w:rsidR="00A2390C" w:rsidRPr="00834B27">
        <w:rPr>
          <w:rFonts w:ascii="Calibri" w:hAnsi="Calibri" w:cs="Calibri"/>
          <w:lang w:val="ro-RO"/>
        </w:rPr>
        <w:t xml:space="preserve"> depinde </w:t>
      </w:r>
      <w:r w:rsidR="00124B42" w:rsidRPr="00834B27">
        <w:rPr>
          <w:rFonts w:ascii="Calibri" w:hAnsi="Calibri" w:cs="Calibri"/>
          <w:lang w:val="ro-RO"/>
        </w:rPr>
        <w:t>î</w:t>
      </w:r>
      <w:r w:rsidR="00A2390C" w:rsidRPr="00834B27">
        <w:rPr>
          <w:rFonts w:ascii="Calibri" w:hAnsi="Calibri" w:cs="Calibri"/>
          <w:lang w:val="ro-RO"/>
        </w:rPr>
        <w:t xml:space="preserve">n </w:t>
      </w:r>
      <w:r w:rsidR="001160F1" w:rsidRPr="00834B27">
        <w:rPr>
          <w:rFonts w:ascii="Calibri" w:hAnsi="Calibri" w:cs="Calibri"/>
          <w:lang w:val="ro-RO"/>
        </w:rPr>
        <w:t>mare m</w:t>
      </w:r>
      <w:r w:rsidR="00124B42" w:rsidRPr="00834B27">
        <w:rPr>
          <w:rFonts w:ascii="Calibri" w:hAnsi="Calibri" w:cs="Calibri"/>
          <w:lang w:val="ro-RO"/>
        </w:rPr>
        <w:t>ă</w:t>
      </w:r>
      <w:r w:rsidR="001160F1" w:rsidRPr="00834B27">
        <w:rPr>
          <w:rFonts w:ascii="Calibri" w:hAnsi="Calibri" w:cs="Calibri"/>
          <w:lang w:val="ro-RO"/>
        </w:rPr>
        <w:t>sur</w:t>
      </w:r>
      <w:r w:rsidR="00124B42" w:rsidRPr="00834B27">
        <w:rPr>
          <w:rFonts w:ascii="Calibri" w:hAnsi="Calibri" w:cs="Calibri"/>
          <w:lang w:val="ro-RO"/>
        </w:rPr>
        <w:t>ă</w:t>
      </w:r>
      <w:r w:rsidR="00A2390C" w:rsidRPr="00834B27">
        <w:rPr>
          <w:rFonts w:ascii="Calibri" w:hAnsi="Calibri" w:cs="Calibri"/>
          <w:lang w:val="ro-RO"/>
        </w:rPr>
        <w:t xml:space="preserve"> de modul de ob</w:t>
      </w:r>
      <w:r w:rsidR="00D77C4B" w:rsidRPr="00834B27">
        <w:rPr>
          <w:rFonts w:ascii="Calibri" w:hAnsi="Calibri" w:cs="Calibri"/>
          <w:lang w:val="ro-RO"/>
        </w:rPr>
        <w:t>ț</w:t>
      </w:r>
      <w:r w:rsidR="00A2390C" w:rsidRPr="00834B27">
        <w:rPr>
          <w:rFonts w:ascii="Calibri" w:hAnsi="Calibri" w:cs="Calibri"/>
          <w:lang w:val="ro-RO"/>
        </w:rPr>
        <w:t xml:space="preserve">inere a </w:t>
      </w:r>
      <w:r w:rsidR="002615EB" w:rsidRPr="00834B27">
        <w:rPr>
          <w:rFonts w:ascii="Calibri" w:hAnsi="Calibri" w:cs="Calibri"/>
          <w:lang w:val="ro-RO"/>
        </w:rPr>
        <w:t>venitului,</w:t>
      </w:r>
      <w:r w:rsidR="005C0924" w:rsidRPr="00834B27">
        <w:rPr>
          <w:rFonts w:ascii="Calibri" w:hAnsi="Calibri" w:cs="Calibri"/>
          <w:lang w:val="ro-RO"/>
        </w:rPr>
        <w:t xml:space="preserve"> acesta</w:t>
      </w:r>
      <w:r w:rsidR="002615EB" w:rsidRPr="00834B27">
        <w:rPr>
          <w:rFonts w:ascii="Calibri" w:hAnsi="Calibri" w:cs="Calibri"/>
          <w:lang w:val="ro-RO"/>
        </w:rPr>
        <w:t xml:space="preserve"> fiind extrem de fragmentat, </w:t>
      </w:r>
      <w:r w:rsidR="00124B42" w:rsidRPr="00834B27">
        <w:rPr>
          <w:rFonts w:ascii="Calibri" w:hAnsi="Calibri" w:cs="Calibri"/>
          <w:lang w:val="ro-RO"/>
        </w:rPr>
        <w:t>așa</w:t>
      </w:r>
      <w:r w:rsidR="002615EB" w:rsidRPr="00834B27">
        <w:rPr>
          <w:rFonts w:ascii="Calibri" w:hAnsi="Calibri" w:cs="Calibri"/>
          <w:lang w:val="ro-RO"/>
        </w:rPr>
        <w:t xml:space="preserve"> cum se poate vedea </w:t>
      </w:r>
      <w:r w:rsidR="00124B42" w:rsidRPr="00834B27">
        <w:rPr>
          <w:rFonts w:ascii="Calibri" w:hAnsi="Calibri" w:cs="Calibri"/>
          <w:lang w:val="ro-RO"/>
        </w:rPr>
        <w:t>ș</w:t>
      </w:r>
      <w:r w:rsidR="002615EB" w:rsidRPr="00834B27">
        <w:rPr>
          <w:rFonts w:ascii="Calibri" w:hAnsi="Calibri" w:cs="Calibri"/>
          <w:lang w:val="ro-RO"/>
        </w:rPr>
        <w:t>i din Tabelul 1</w:t>
      </w:r>
      <w:r w:rsidR="00473080" w:rsidRPr="00834B27">
        <w:rPr>
          <w:rFonts w:ascii="Calibri" w:hAnsi="Calibri" w:cs="Calibri"/>
          <w:lang w:val="ro-RO"/>
        </w:rPr>
        <w:t xml:space="preserve">, </w:t>
      </w:r>
      <w:r w:rsidR="00124B42" w:rsidRPr="00834B27">
        <w:rPr>
          <w:rFonts w:ascii="Calibri" w:hAnsi="Calibri" w:cs="Calibri"/>
          <w:lang w:val="ro-RO"/>
        </w:rPr>
        <w:t>înregistrând</w:t>
      </w:r>
      <w:r w:rsidR="00473080" w:rsidRPr="00834B27">
        <w:rPr>
          <w:rFonts w:ascii="Calibri" w:hAnsi="Calibri" w:cs="Calibri"/>
          <w:lang w:val="ro-RO"/>
        </w:rPr>
        <w:t xml:space="preserve"> o </w:t>
      </w:r>
      <w:r w:rsidR="00124B42" w:rsidRPr="00834B27">
        <w:rPr>
          <w:rFonts w:ascii="Calibri" w:hAnsi="Calibri" w:cs="Calibri"/>
          <w:lang w:val="ro-RO"/>
        </w:rPr>
        <w:t>varia</w:t>
      </w:r>
      <w:r w:rsidR="00D77C4B" w:rsidRPr="00834B27">
        <w:rPr>
          <w:rFonts w:ascii="Calibri" w:hAnsi="Calibri" w:cs="Calibri"/>
          <w:lang w:val="ro-RO"/>
        </w:rPr>
        <w:t>ț</w:t>
      </w:r>
      <w:r w:rsidR="00124B42" w:rsidRPr="00834B27">
        <w:rPr>
          <w:rFonts w:ascii="Calibri" w:hAnsi="Calibri" w:cs="Calibri"/>
          <w:lang w:val="ro-RO"/>
        </w:rPr>
        <w:t>ie</w:t>
      </w:r>
      <w:r w:rsidR="00473080" w:rsidRPr="00834B27">
        <w:rPr>
          <w:rFonts w:ascii="Calibri" w:hAnsi="Calibri" w:cs="Calibri"/>
          <w:lang w:val="ro-RO"/>
        </w:rPr>
        <w:t xml:space="preserve"> </w:t>
      </w:r>
      <w:r w:rsidR="005C0924" w:rsidRPr="00834B27">
        <w:rPr>
          <w:rFonts w:ascii="Calibri" w:hAnsi="Calibri" w:cs="Calibri"/>
          <w:lang w:val="ro-RO"/>
        </w:rPr>
        <w:t>foarte</w:t>
      </w:r>
      <w:r w:rsidR="00473080" w:rsidRPr="00834B27">
        <w:rPr>
          <w:rFonts w:ascii="Calibri" w:hAnsi="Calibri" w:cs="Calibri"/>
          <w:lang w:val="ro-RO"/>
        </w:rPr>
        <w:t xml:space="preserve"> mare: </w:t>
      </w:r>
      <w:r w:rsidR="00180E3C" w:rsidRPr="00834B27">
        <w:rPr>
          <w:rFonts w:ascii="Calibri" w:hAnsi="Calibri" w:cs="Calibri"/>
          <w:b/>
          <w:bCs/>
          <w:lang w:val="ro-RO"/>
        </w:rPr>
        <w:t>41,5%</w:t>
      </w:r>
      <w:r w:rsidR="00180E3C" w:rsidRPr="00834B27">
        <w:rPr>
          <w:rFonts w:ascii="Calibri" w:hAnsi="Calibri" w:cs="Calibri"/>
          <w:lang w:val="ro-RO"/>
        </w:rPr>
        <w:t xml:space="preserve"> din venitul brut </w:t>
      </w:r>
      <w:r w:rsidR="00124B42" w:rsidRPr="00834B27">
        <w:rPr>
          <w:rFonts w:ascii="Calibri" w:hAnsi="Calibri" w:cs="Calibri"/>
          <w:lang w:val="ro-RO"/>
        </w:rPr>
        <w:t>î</w:t>
      </w:r>
      <w:r w:rsidR="00180E3C" w:rsidRPr="00834B27">
        <w:rPr>
          <w:rFonts w:ascii="Calibri" w:hAnsi="Calibri" w:cs="Calibri"/>
          <w:lang w:val="ro-RO"/>
        </w:rPr>
        <w:t>n cazul salariilor (</w:t>
      </w:r>
      <w:r w:rsidR="00FC10A4" w:rsidRPr="00834B27">
        <w:rPr>
          <w:rFonts w:ascii="Calibri" w:hAnsi="Calibri" w:cs="Calibri"/>
          <w:lang w:val="ro-RO"/>
        </w:rPr>
        <w:t xml:space="preserve">de fapt, </w:t>
      </w:r>
      <w:r w:rsidR="00124B42" w:rsidRPr="00834B27">
        <w:rPr>
          <w:rFonts w:ascii="Calibri" w:hAnsi="Calibri" w:cs="Calibri"/>
          <w:lang w:val="ro-RO"/>
        </w:rPr>
        <w:t>î</w:t>
      </w:r>
      <w:r w:rsidR="00FC10A4" w:rsidRPr="00834B27">
        <w:rPr>
          <w:rFonts w:ascii="Calibri" w:hAnsi="Calibri" w:cs="Calibri"/>
          <w:lang w:val="ro-RO"/>
        </w:rPr>
        <w:t xml:space="preserve">ntre </w:t>
      </w:r>
      <w:r w:rsidR="00F23A5C" w:rsidRPr="00834B27">
        <w:rPr>
          <w:rFonts w:ascii="Calibri" w:hAnsi="Calibri" w:cs="Calibri"/>
          <w:lang w:val="ro-RO"/>
        </w:rPr>
        <w:t>3</w:t>
      </w:r>
      <w:r w:rsidR="00E31E63" w:rsidRPr="00834B27">
        <w:rPr>
          <w:rFonts w:ascii="Calibri" w:hAnsi="Calibri" w:cs="Calibri"/>
          <w:lang w:val="ro-RO"/>
        </w:rPr>
        <w:t xml:space="preserve">8,575% </w:t>
      </w:r>
      <w:r w:rsidR="00124B42" w:rsidRPr="00834B27">
        <w:rPr>
          <w:rFonts w:ascii="Calibri" w:hAnsi="Calibri" w:cs="Calibri"/>
          <w:lang w:val="ro-RO"/>
        </w:rPr>
        <w:t>î</w:t>
      </w:r>
      <w:r w:rsidR="00E31E63" w:rsidRPr="00834B27">
        <w:rPr>
          <w:rFonts w:ascii="Calibri" w:hAnsi="Calibri" w:cs="Calibri"/>
          <w:lang w:val="ro-RO"/>
        </w:rPr>
        <w:t xml:space="preserve">n cazul persoanelor cu 4 sau mai multe persoane aflate </w:t>
      </w:r>
      <w:r w:rsidR="00124B42" w:rsidRPr="00834B27">
        <w:rPr>
          <w:rFonts w:ascii="Calibri" w:hAnsi="Calibri" w:cs="Calibri"/>
          <w:lang w:val="ro-RO"/>
        </w:rPr>
        <w:t>î</w:t>
      </w:r>
      <w:r w:rsidR="00E31E63" w:rsidRPr="00834B27">
        <w:rPr>
          <w:rFonts w:ascii="Calibri" w:hAnsi="Calibri" w:cs="Calibri"/>
          <w:lang w:val="ro-RO"/>
        </w:rPr>
        <w:t xml:space="preserve">n </w:t>
      </w:r>
      <w:r w:rsidR="00124B42" w:rsidRPr="00834B27">
        <w:rPr>
          <w:rFonts w:ascii="Calibri" w:hAnsi="Calibri" w:cs="Calibri"/>
          <w:lang w:val="ro-RO"/>
        </w:rPr>
        <w:t>între</w:t>
      </w:r>
      <w:r w:rsidR="00D77C4B" w:rsidRPr="00834B27">
        <w:rPr>
          <w:rFonts w:ascii="Calibri" w:hAnsi="Calibri" w:cs="Calibri"/>
          <w:lang w:val="ro-RO"/>
        </w:rPr>
        <w:t>ț</w:t>
      </w:r>
      <w:r w:rsidR="00124B42" w:rsidRPr="00834B27">
        <w:rPr>
          <w:rFonts w:ascii="Calibri" w:hAnsi="Calibri" w:cs="Calibri"/>
          <w:lang w:val="ro-RO"/>
        </w:rPr>
        <w:t>inere</w:t>
      </w:r>
      <w:r w:rsidR="006252B4" w:rsidRPr="00834B27">
        <w:rPr>
          <w:rFonts w:ascii="Calibri" w:hAnsi="Calibri" w:cs="Calibri"/>
          <w:lang w:val="ro-RO"/>
        </w:rPr>
        <w:t xml:space="preserve"> ce </w:t>
      </w:r>
      <w:r w:rsidR="00124B42" w:rsidRPr="00834B27">
        <w:rPr>
          <w:rFonts w:ascii="Calibri" w:hAnsi="Calibri" w:cs="Calibri"/>
          <w:lang w:val="ro-RO"/>
        </w:rPr>
        <w:t>ob</w:t>
      </w:r>
      <w:r w:rsidR="00D77C4B" w:rsidRPr="00834B27">
        <w:rPr>
          <w:rFonts w:ascii="Calibri" w:hAnsi="Calibri" w:cs="Calibri"/>
          <w:lang w:val="ro-RO"/>
        </w:rPr>
        <w:t>ț</w:t>
      </w:r>
      <w:r w:rsidR="00124B42" w:rsidRPr="00834B27">
        <w:rPr>
          <w:rFonts w:ascii="Calibri" w:hAnsi="Calibri" w:cs="Calibri"/>
          <w:lang w:val="ro-RO"/>
        </w:rPr>
        <w:t>in</w:t>
      </w:r>
      <w:r w:rsidR="006252B4" w:rsidRPr="00834B27">
        <w:rPr>
          <w:rFonts w:ascii="Calibri" w:hAnsi="Calibri" w:cs="Calibri"/>
          <w:lang w:val="ro-RO"/>
        </w:rPr>
        <w:t xml:space="preserve"> un salariu brut egal cu SM</w:t>
      </w:r>
      <w:r w:rsidR="00FC10A4" w:rsidRPr="00834B27">
        <w:rPr>
          <w:rFonts w:ascii="Calibri" w:hAnsi="Calibri" w:cs="Calibri"/>
          <w:lang w:val="ro-RO"/>
        </w:rPr>
        <w:t xml:space="preserve"> </w:t>
      </w:r>
      <w:r w:rsidR="00124B42" w:rsidRPr="00834B27">
        <w:rPr>
          <w:rFonts w:ascii="Calibri" w:hAnsi="Calibri" w:cs="Calibri"/>
          <w:lang w:val="ro-RO"/>
        </w:rPr>
        <w:t>ș</w:t>
      </w:r>
      <w:r w:rsidR="00FC10A4" w:rsidRPr="00834B27">
        <w:rPr>
          <w:rFonts w:ascii="Calibri" w:hAnsi="Calibri" w:cs="Calibri"/>
          <w:lang w:val="ro-RO"/>
        </w:rPr>
        <w:t>i 41,5% pentru salarii mai mari de SM + 2.000 lei</w:t>
      </w:r>
      <w:r w:rsidR="00967BDB" w:rsidRPr="00834B27">
        <w:rPr>
          <w:rFonts w:ascii="Calibri" w:hAnsi="Calibri" w:cs="Calibri"/>
          <w:lang w:val="ro-RO"/>
        </w:rPr>
        <w:t>, nivel de la care deducerea personal</w:t>
      </w:r>
      <w:r w:rsidR="00124B42" w:rsidRPr="00834B27">
        <w:rPr>
          <w:rFonts w:ascii="Calibri" w:hAnsi="Calibri" w:cs="Calibri"/>
          <w:lang w:val="ro-RO"/>
        </w:rPr>
        <w:t>ă</w:t>
      </w:r>
      <w:r w:rsidR="00967BDB" w:rsidRPr="00834B27">
        <w:rPr>
          <w:rFonts w:ascii="Calibri" w:hAnsi="Calibri" w:cs="Calibri"/>
          <w:lang w:val="ro-RO"/>
        </w:rPr>
        <w:t xml:space="preserve"> devine egal</w:t>
      </w:r>
      <w:r w:rsidR="00124B42" w:rsidRPr="00834B27">
        <w:rPr>
          <w:rFonts w:ascii="Calibri" w:hAnsi="Calibri" w:cs="Calibri"/>
          <w:lang w:val="ro-RO"/>
        </w:rPr>
        <w:t>ă</w:t>
      </w:r>
      <w:r w:rsidR="00967BDB" w:rsidRPr="00834B27">
        <w:rPr>
          <w:rFonts w:ascii="Calibri" w:hAnsi="Calibri" w:cs="Calibri"/>
          <w:lang w:val="ro-RO"/>
        </w:rPr>
        <w:t xml:space="preserve"> cu zero) </w:t>
      </w:r>
      <w:r w:rsidR="00124B42" w:rsidRPr="00834B27">
        <w:rPr>
          <w:rFonts w:ascii="Calibri" w:hAnsi="Calibri" w:cs="Calibri"/>
          <w:lang w:val="ro-RO"/>
        </w:rPr>
        <w:t>ș</w:t>
      </w:r>
      <w:r w:rsidR="00967BDB" w:rsidRPr="00834B27">
        <w:rPr>
          <w:rFonts w:ascii="Calibri" w:hAnsi="Calibri" w:cs="Calibri"/>
          <w:lang w:val="ro-RO"/>
        </w:rPr>
        <w:t xml:space="preserve">i </w:t>
      </w:r>
      <w:r w:rsidR="00967BDB" w:rsidRPr="00834B27">
        <w:rPr>
          <w:rFonts w:ascii="Calibri" w:hAnsi="Calibri" w:cs="Calibri"/>
          <w:b/>
          <w:bCs/>
          <w:lang w:val="ro-RO"/>
        </w:rPr>
        <w:t>6%</w:t>
      </w:r>
      <w:r w:rsidR="00ED129B" w:rsidRPr="00834B27">
        <w:rPr>
          <w:rFonts w:ascii="Calibri" w:hAnsi="Calibri" w:cs="Calibri"/>
          <w:b/>
          <w:bCs/>
          <w:lang w:val="ro-RO"/>
        </w:rPr>
        <w:t xml:space="preserve"> </w:t>
      </w:r>
      <w:r w:rsidR="00124B42" w:rsidRPr="00834B27">
        <w:rPr>
          <w:rFonts w:ascii="Calibri" w:hAnsi="Calibri" w:cs="Calibri"/>
          <w:lang w:val="ro-RO"/>
        </w:rPr>
        <w:t>î</w:t>
      </w:r>
      <w:r w:rsidR="00ED129B" w:rsidRPr="00834B27">
        <w:rPr>
          <w:rFonts w:ascii="Calibri" w:hAnsi="Calibri" w:cs="Calibri"/>
          <w:lang w:val="ro-RO"/>
        </w:rPr>
        <w:t xml:space="preserve">n cazul veniturilor din drepturi de autor, fiind deci cu </w:t>
      </w:r>
      <w:r w:rsidR="0082533B" w:rsidRPr="00834B27">
        <w:rPr>
          <w:rFonts w:ascii="Calibri" w:hAnsi="Calibri" w:cs="Calibri"/>
          <w:lang w:val="ro-RO"/>
        </w:rPr>
        <w:t xml:space="preserve">până la </w:t>
      </w:r>
      <w:r w:rsidR="0082533B" w:rsidRPr="00834B27">
        <w:rPr>
          <w:rFonts w:ascii="Calibri" w:hAnsi="Calibri" w:cs="Calibri"/>
          <w:b/>
          <w:bCs/>
          <w:lang w:val="ro-RO"/>
        </w:rPr>
        <w:t>5</w:t>
      </w:r>
      <w:r w:rsidR="006B23B8" w:rsidRPr="00834B27">
        <w:rPr>
          <w:rFonts w:ascii="Calibri" w:hAnsi="Calibri" w:cs="Calibri"/>
          <w:b/>
          <w:bCs/>
          <w:lang w:val="ro-RO"/>
        </w:rPr>
        <w:t>92%</w:t>
      </w:r>
      <w:r w:rsidR="0082533B" w:rsidRPr="00834B27">
        <w:rPr>
          <w:rFonts w:ascii="Calibri" w:hAnsi="Calibri" w:cs="Calibri"/>
          <w:b/>
          <w:bCs/>
          <w:lang w:val="ro-RO"/>
        </w:rPr>
        <w:t xml:space="preserve"> </w:t>
      </w:r>
      <w:r w:rsidR="0082533B" w:rsidRPr="00834B27">
        <w:rPr>
          <w:rFonts w:ascii="Calibri" w:hAnsi="Calibri" w:cs="Calibri"/>
          <w:lang w:val="ro-RO"/>
        </w:rPr>
        <w:t>(35,5 puncte procentuale)</w:t>
      </w:r>
      <w:r w:rsidR="006B23B8" w:rsidRPr="00834B27">
        <w:rPr>
          <w:rFonts w:ascii="Calibri" w:hAnsi="Calibri" w:cs="Calibri"/>
          <w:lang w:val="ro-RO"/>
        </w:rPr>
        <w:t xml:space="preserve"> mai mare </w:t>
      </w:r>
      <w:r w:rsidR="00124B42" w:rsidRPr="00834B27">
        <w:rPr>
          <w:rFonts w:ascii="Calibri" w:hAnsi="Calibri" w:cs="Calibri"/>
          <w:lang w:val="ro-RO"/>
        </w:rPr>
        <w:t>î</w:t>
      </w:r>
      <w:r w:rsidR="006B23B8" w:rsidRPr="00834B27">
        <w:rPr>
          <w:rFonts w:ascii="Calibri" w:hAnsi="Calibri" w:cs="Calibri"/>
          <w:lang w:val="ro-RO"/>
        </w:rPr>
        <w:t>n cazul salariilor.</w:t>
      </w:r>
      <w:r w:rsidR="00163A80" w:rsidRPr="00834B27">
        <w:rPr>
          <w:rStyle w:val="Referinnotdesubsol"/>
          <w:rFonts w:ascii="Calibri" w:hAnsi="Calibri" w:cs="Calibri"/>
          <w:lang w:val="ro-RO"/>
        </w:rPr>
        <w:footnoteReference w:id="17"/>
      </w:r>
    </w:p>
    <w:p w14:paraId="0965DFB4" w14:textId="1DBCBB25" w:rsidR="00163A80" w:rsidRPr="00834B27" w:rsidRDefault="00124B42" w:rsidP="006C2301">
      <w:pPr>
        <w:spacing w:line="276" w:lineRule="auto"/>
        <w:jc w:val="both"/>
        <w:rPr>
          <w:rFonts w:ascii="Calibri" w:hAnsi="Calibri" w:cs="Calibri"/>
          <w:lang w:val="ro-RO"/>
        </w:rPr>
      </w:pPr>
      <w:r w:rsidRPr="00834B27">
        <w:rPr>
          <w:rFonts w:ascii="Calibri" w:hAnsi="Calibri" w:cs="Calibri"/>
          <w:lang w:val="ro-RO"/>
        </w:rPr>
        <w:lastRenderedPageBreak/>
        <w:t>Î</w:t>
      </w:r>
      <w:r w:rsidR="00E52A8B" w:rsidRPr="00834B27">
        <w:rPr>
          <w:rFonts w:ascii="Calibri" w:hAnsi="Calibri" w:cs="Calibri"/>
          <w:lang w:val="ro-RO"/>
        </w:rPr>
        <w:t>n acest capitol am analizat reglementarea IV, CAS, CASS pentru veniturile persoanelor</w:t>
      </w:r>
      <w:r w:rsidR="00C81AB5" w:rsidRPr="00834B27">
        <w:rPr>
          <w:rFonts w:ascii="Calibri" w:hAnsi="Calibri" w:cs="Calibri"/>
          <w:lang w:val="ro-RO"/>
        </w:rPr>
        <w:t xml:space="preserve"> fizice</w:t>
      </w:r>
      <w:r w:rsidR="00E52A8B" w:rsidRPr="00834B27">
        <w:rPr>
          <w:rFonts w:ascii="Calibri" w:hAnsi="Calibri" w:cs="Calibri"/>
          <w:lang w:val="ro-RO"/>
        </w:rPr>
        <w:t xml:space="preserve">, nu am analizat </w:t>
      </w:r>
      <w:r w:rsidRPr="00834B27">
        <w:rPr>
          <w:rFonts w:ascii="Calibri" w:hAnsi="Calibri" w:cs="Calibri"/>
          <w:lang w:val="ro-RO"/>
        </w:rPr>
        <w:t>însă</w:t>
      </w:r>
      <w:r w:rsidR="00E52A8B" w:rsidRPr="00834B27">
        <w:rPr>
          <w:rFonts w:ascii="Calibri" w:hAnsi="Calibri" w:cs="Calibri"/>
          <w:lang w:val="ro-RO"/>
        </w:rPr>
        <w:t xml:space="preserve"> </w:t>
      </w:r>
      <w:r w:rsidRPr="00834B27">
        <w:rPr>
          <w:rFonts w:ascii="Calibri" w:hAnsi="Calibri" w:cs="Calibri"/>
          <w:lang w:val="ro-RO"/>
        </w:rPr>
        <w:t>ș</w:t>
      </w:r>
      <w:r w:rsidR="00E52A8B" w:rsidRPr="00834B27">
        <w:rPr>
          <w:rFonts w:ascii="Calibri" w:hAnsi="Calibri" w:cs="Calibri"/>
          <w:lang w:val="ro-RO"/>
        </w:rPr>
        <w:t xml:space="preserve">i regimul </w:t>
      </w:r>
      <w:r w:rsidRPr="00834B27">
        <w:rPr>
          <w:rFonts w:ascii="Calibri" w:hAnsi="Calibri" w:cs="Calibri"/>
          <w:lang w:val="ro-RO"/>
        </w:rPr>
        <w:t>microîntreprinderilor</w:t>
      </w:r>
      <w:r w:rsidR="00E52A8B" w:rsidRPr="00834B27">
        <w:rPr>
          <w:rFonts w:ascii="Calibri" w:hAnsi="Calibri" w:cs="Calibri"/>
          <w:lang w:val="ro-RO"/>
        </w:rPr>
        <w:t xml:space="preserve">, regim </w:t>
      </w:r>
      <w:r w:rsidR="00A71895" w:rsidRPr="00834B27">
        <w:rPr>
          <w:rFonts w:ascii="Calibri" w:hAnsi="Calibri" w:cs="Calibri"/>
          <w:lang w:val="ro-RO"/>
        </w:rPr>
        <w:t xml:space="preserve">folosit </w:t>
      </w:r>
      <w:r w:rsidRPr="00834B27">
        <w:rPr>
          <w:rFonts w:ascii="Calibri" w:hAnsi="Calibri" w:cs="Calibri"/>
          <w:lang w:val="ro-RO"/>
        </w:rPr>
        <w:t>î</w:t>
      </w:r>
      <w:r w:rsidR="00A71895" w:rsidRPr="00834B27">
        <w:rPr>
          <w:rFonts w:ascii="Calibri" w:hAnsi="Calibri" w:cs="Calibri"/>
          <w:lang w:val="ro-RO"/>
        </w:rPr>
        <w:t>n continuare (chiar dac</w:t>
      </w:r>
      <w:r w:rsidRPr="00834B27">
        <w:rPr>
          <w:rFonts w:ascii="Calibri" w:hAnsi="Calibri" w:cs="Calibri"/>
          <w:lang w:val="ro-RO"/>
        </w:rPr>
        <w:t>ă</w:t>
      </w:r>
      <w:r w:rsidR="00A71895" w:rsidRPr="00834B27">
        <w:rPr>
          <w:rFonts w:ascii="Calibri" w:hAnsi="Calibri" w:cs="Calibri"/>
          <w:lang w:val="ro-RO"/>
        </w:rPr>
        <w:t xml:space="preserve"> semnificativ mai pu</w:t>
      </w:r>
      <w:r w:rsidR="00D77C4B" w:rsidRPr="00834B27">
        <w:rPr>
          <w:rFonts w:ascii="Calibri" w:hAnsi="Calibri" w:cs="Calibri"/>
          <w:lang w:val="ro-RO"/>
        </w:rPr>
        <w:t>ț</w:t>
      </w:r>
      <w:r w:rsidR="00A71895" w:rsidRPr="00834B27">
        <w:rPr>
          <w:rFonts w:ascii="Calibri" w:hAnsi="Calibri" w:cs="Calibri"/>
          <w:lang w:val="ro-RO"/>
        </w:rPr>
        <w:t>in dec</w:t>
      </w:r>
      <w:r w:rsidRPr="00834B27">
        <w:rPr>
          <w:rFonts w:ascii="Calibri" w:hAnsi="Calibri" w:cs="Calibri"/>
          <w:lang w:val="ro-RO"/>
        </w:rPr>
        <w:t>â</w:t>
      </w:r>
      <w:r w:rsidR="00A71895" w:rsidRPr="00834B27">
        <w:rPr>
          <w:rFonts w:ascii="Calibri" w:hAnsi="Calibri" w:cs="Calibri"/>
          <w:lang w:val="ro-RO"/>
        </w:rPr>
        <w:t xml:space="preserve">t </w:t>
      </w:r>
      <w:r w:rsidRPr="00834B27">
        <w:rPr>
          <w:rFonts w:ascii="Calibri" w:hAnsi="Calibri" w:cs="Calibri"/>
          <w:lang w:val="ro-RO"/>
        </w:rPr>
        <w:t>î</w:t>
      </w:r>
      <w:r w:rsidR="00A71895" w:rsidRPr="00834B27">
        <w:rPr>
          <w:rFonts w:ascii="Calibri" w:hAnsi="Calibri" w:cs="Calibri"/>
          <w:lang w:val="ro-RO"/>
        </w:rPr>
        <w:t xml:space="preserve">n perioada </w:t>
      </w:r>
      <w:r w:rsidR="008314C9" w:rsidRPr="00834B27">
        <w:rPr>
          <w:rFonts w:ascii="Calibri" w:hAnsi="Calibri" w:cs="Calibri"/>
          <w:lang w:val="ro-RO"/>
        </w:rPr>
        <w:t>de p</w:t>
      </w:r>
      <w:r w:rsidRPr="00834B27">
        <w:rPr>
          <w:rFonts w:ascii="Calibri" w:hAnsi="Calibri" w:cs="Calibri"/>
          <w:lang w:val="ro-RO"/>
        </w:rPr>
        <w:t>â</w:t>
      </w:r>
      <w:r w:rsidR="008314C9" w:rsidRPr="00834B27">
        <w:rPr>
          <w:rFonts w:ascii="Calibri" w:hAnsi="Calibri" w:cs="Calibri"/>
          <w:lang w:val="ro-RO"/>
        </w:rPr>
        <w:t>n</w:t>
      </w:r>
      <w:r w:rsidRPr="00834B27">
        <w:rPr>
          <w:rFonts w:ascii="Calibri" w:hAnsi="Calibri" w:cs="Calibri"/>
          <w:lang w:val="ro-RO"/>
        </w:rPr>
        <w:t>ă</w:t>
      </w:r>
      <w:r w:rsidR="008314C9" w:rsidRPr="00834B27">
        <w:rPr>
          <w:rFonts w:ascii="Calibri" w:hAnsi="Calibri" w:cs="Calibri"/>
          <w:lang w:val="ro-RO"/>
        </w:rPr>
        <w:t xml:space="preserve"> </w:t>
      </w:r>
      <w:r w:rsidRPr="00834B27">
        <w:rPr>
          <w:rFonts w:ascii="Calibri" w:hAnsi="Calibri" w:cs="Calibri"/>
          <w:lang w:val="ro-RO"/>
        </w:rPr>
        <w:t>î</w:t>
      </w:r>
      <w:r w:rsidR="008314C9" w:rsidRPr="00834B27">
        <w:rPr>
          <w:rFonts w:ascii="Calibri" w:hAnsi="Calibri" w:cs="Calibri"/>
          <w:lang w:val="ro-RO"/>
        </w:rPr>
        <w:t xml:space="preserve">n 2007 sau </w:t>
      </w:r>
      <w:r w:rsidRPr="00834B27">
        <w:rPr>
          <w:rFonts w:ascii="Calibri" w:hAnsi="Calibri" w:cs="Calibri"/>
          <w:lang w:val="ro-RO"/>
        </w:rPr>
        <w:t>î</w:t>
      </w:r>
      <w:r w:rsidR="008314C9" w:rsidRPr="00834B27">
        <w:rPr>
          <w:rFonts w:ascii="Calibri" w:hAnsi="Calibri" w:cs="Calibri"/>
          <w:lang w:val="ro-RO"/>
        </w:rPr>
        <w:t xml:space="preserve">ntre 2018 </w:t>
      </w:r>
      <w:r w:rsidRPr="00834B27">
        <w:rPr>
          <w:rFonts w:ascii="Calibri" w:hAnsi="Calibri" w:cs="Calibri"/>
          <w:lang w:val="ro-RO"/>
        </w:rPr>
        <w:t>ș</w:t>
      </w:r>
      <w:r w:rsidR="008314C9" w:rsidRPr="00834B27">
        <w:rPr>
          <w:rFonts w:ascii="Calibri" w:hAnsi="Calibri" w:cs="Calibri"/>
          <w:lang w:val="ro-RO"/>
        </w:rPr>
        <w:t>i 2022)</w:t>
      </w:r>
      <w:r w:rsidR="004064AC" w:rsidRPr="00834B27">
        <w:rPr>
          <w:rStyle w:val="Referinnotdesubsol"/>
          <w:rFonts w:ascii="Calibri" w:hAnsi="Calibri" w:cs="Calibri"/>
          <w:lang w:val="ro-RO"/>
        </w:rPr>
        <w:footnoteReference w:id="18"/>
      </w:r>
      <w:r w:rsidR="008314C9" w:rsidRPr="00834B27">
        <w:rPr>
          <w:rFonts w:ascii="Calibri" w:hAnsi="Calibri" w:cs="Calibri"/>
          <w:lang w:val="ro-RO"/>
        </w:rPr>
        <w:t xml:space="preserve"> pentru arbitra</w:t>
      </w:r>
      <w:r w:rsidR="002D756A" w:rsidRPr="00834B27">
        <w:rPr>
          <w:rFonts w:ascii="Calibri" w:hAnsi="Calibri" w:cs="Calibri"/>
          <w:lang w:val="ro-RO"/>
        </w:rPr>
        <w:t>j fiscal, mai ales c</w:t>
      </w:r>
      <w:r w:rsidRPr="00834B27">
        <w:rPr>
          <w:rFonts w:ascii="Calibri" w:hAnsi="Calibri" w:cs="Calibri"/>
          <w:lang w:val="ro-RO"/>
        </w:rPr>
        <w:t>ă</w:t>
      </w:r>
      <w:r w:rsidR="002D756A" w:rsidRPr="00834B27">
        <w:rPr>
          <w:rFonts w:ascii="Calibri" w:hAnsi="Calibri" w:cs="Calibri"/>
          <w:lang w:val="ro-RO"/>
        </w:rPr>
        <w:t xml:space="preserve"> din 202</w:t>
      </w:r>
      <w:r w:rsidR="00F60DF7" w:rsidRPr="00834B27">
        <w:rPr>
          <w:rFonts w:ascii="Calibri" w:hAnsi="Calibri" w:cs="Calibri"/>
          <w:lang w:val="ro-RO"/>
        </w:rPr>
        <w:t>4</w:t>
      </w:r>
      <w:r w:rsidR="002D756A" w:rsidRPr="00834B27">
        <w:rPr>
          <w:rFonts w:ascii="Calibri" w:hAnsi="Calibri" w:cs="Calibri"/>
          <w:lang w:val="ro-RO"/>
        </w:rPr>
        <w:t xml:space="preserve"> a fost din nou eliminat</w:t>
      </w:r>
      <w:r w:rsidRPr="00834B27">
        <w:rPr>
          <w:rFonts w:ascii="Calibri" w:hAnsi="Calibri" w:cs="Calibri"/>
          <w:lang w:val="ro-RO"/>
        </w:rPr>
        <w:t>ă</w:t>
      </w:r>
      <w:r w:rsidR="002D756A" w:rsidRPr="00834B27">
        <w:rPr>
          <w:rFonts w:ascii="Calibri" w:hAnsi="Calibri" w:cs="Calibri"/>
          <w:lang w:val="ro-RO"/>
        </w:rPr>
        <w:t xml:space="preserve"> </w:t>
      </w:r>
      <w:r w:rsidRPr="00834B27">
        <w:rPr>
          <w:rFonts w:ascii="Calibri" w:hAnsi="Calibri" w:cs="Calibri"/>
          <w:lang w:val="ro-RO"/>
        </w:rPr>
        <w:t>restric</w:t>
      </w:r>
      <w:r w:rsidR="00D77C4B" w:rsidRPr="00834B27">
        <w:rPr>
          <w:rFonts w:ascii="Calibri" w:hAnsi="Calibri" w:cs="Calibri"/>
          <w:lang w:val="ro-RO"/>
        </w:rPr>
        <w:t>ț</w:t>
      </w:r>
      <w:r w:rsidRPr="00834B27">
        <w:rPr>
          <w:rFonts w:ascii="Calibri" w:hAnsi="Calibri" w:cs="Calibri"/>
          <w:lang w:val="ro-RO"/>
        </w:rPr>
        <w:t>ia</w:t>
      </w:r>
      <w:r w:rsidR="00F60DF7" w:rsidRPr="00834B27">
        <w:rPr>
          <w:rFonts w:ascii="Calibri" w:hAnsi="Calibri" w:cs="Calibri"/>
          <w:lang w:val="ro-RO"/>
        </w:rPr>
        <w:t xml:space="preserve"> cu privire la aplicarea regimului </w:t>
      </w:r>
      <w:r w:rsidRPr="00834B27">
        <w:rPr>
          <w:rFonts w:ascii="Calibri" w:hAnsi="Calibri" w:cs="Calibri"/>
          <w:lang w:val="ro-RO"/>
        </w:rPr>
        <w:t>î</w:t>
      </w:r>
      <w:r w:rsidR="00F60DF7" w:rsidRPr="00834B27">
        <w:rPr>
          <w:rFonts w:ascii="Calibri" w:hAnsi="Calibri" w:cs="Calibri"/>
          <w:lang w:val="ro-RO"/>
        </w:rPr>
        <w:t>n cazul serviciilor de consultan</w:t>
      </w:r>
      <w:r w:rsidR="00D77C4B" w:rsidRPr="00834B27">
        <w:rPr>
          <w:rFonts w:ascii="Calibri" w:hAnsi="Calibri" w:cs="Calibri"/>
          <w:lang w:val="ro-RO"/>
        </w:rPr>
        <w:t>ț</w:t>
      </w:r>
      <w:r w:rsidRPr="00834B27">
        <w:rPr>
          <w:rFonts w:ascii="Calibri" w:hAnsi="Calibri" w:cs="Calibri"/>
          <w:lang w:val="ro-RO"/>
        </w:rPr>
        <w:t>ă</w:t>
      </w:r>
      <w:r w:rsidR="00F60DF7" w:rsidRPr="00834B27">
        <w:rPr>
          <w:rFonts w:ascii="Calibri" w:hAnsi="Calibri" w:cs="Calibri"/>
          <w:lang w:val="ro-RO"/>
        </w:rPr>
        <w:t xml:space="preserve"> </w:t>
      </w:r>
      <w:r w:rsidRPr="00834B27">
        <w:rPr>
          <w:rFonts w:ascii="Calibri" w:hAnsi="Calibri" w:cs="Calibri"/>
          <w:lang w:val="ro-RO"/>
        </w:rPr>
        <w:t>ș</w:t>
      </w:r>
      <w:r w:rsidR="00F60DF7" w:rsidRPr="00834B27">
        <w:rPr>
          <w:rFonts w:ascii="Calibri" w:hAnsi="Calibri" w:cs="Calibri"/>
          <w:lang w:val="ro-RO"/>
        </w:rPr>
        <w:t>i management</w:t>
      </w:r>
      <w:r w:rsidR="00F13AAA" w:rsidRPr="00834B27">
        <w:rPr>
          <w:rFonts w:ascii="Calibri" w:hAnsi="Calibri" w:cs="Calibri"/>
          <w:lang w:val="ro-RO"/>
        </w:rPr>
        <w:t xml:space="preserve">. </w:t>
      </w:r>
      <w:r w:rsidRPr="00834B27">
        <w:rPr>
          <w:rFonts w:ascii="Calibri" w:hAnsi="Calibri" w:cs="Calibri"/>
          <w:lang w:val="ro-RO"/>
        </w:rPr>
        <w:t>Î</w:t>
      </w:r>
      <w:r w:rsidR="00F13AAA" w:rsidRPr="00834B27">
        <w:rPr>
          <w:rFonts w:ascii="Calibri" w:hAnsi="Calibri" w:cs="Calibri"/>
          <w:lang w:val="ro-RO"/>
        </w:rPr>
        <w:t>n acest caz, chiar dac</w:t>
      </w:r>
      <w:r w:rsidRPr="00834B27">
        <w:rPr>
          <w:rFonts w:ascii="Calibri" w:hAnsi="Calibri" w:cs="Calibri"/>
          <w:lang w:val="ro-RO"/>
        </w:rPr>
        <w:t>ă</w:t>
      </w:r>
      <w:r w:rsidR="00F13AAA" w:rsidRPr="00834B27">
        <w:rPr>
          <w:rFonts w:ascii="Calibri" w:hAnsi="Calibri" w:cs="Calibri"/>
          <w:lang w:val="ro-RO"/>
        </w:rPr>
        <w:t xml:space="preserve"> aparent SFT</w:t>
      </w:r>
      <w:r w:rsidR="00163A80" w:rsidRPr="00834B27">
        <w:rPr>
          <w:rStyle w:val="Referinnotdesubsol"/>
          <w:rFonts w:ascii="Calibri" w:hAnsi="Calibri" w:cs="Calibri"/>
          <w:lang w:val="ro-RO"/>
        </w:rPr>
        <w:footnoteReference w:id="19"/>
      </w:r>
      <w:r w:rsidR="00F13AAA" w:rsidRPr="00834B27">
        <w:rPr>
          <w:rFonts w:ascii="Calibri" w:hAnsi="Calibri" w:cs="Calibri"/>
          <w:lang w:val="ro-RO"/>
        </w:rPr>
        <w:t xml:space="preserve"> </w:t>
      </w:r>
      <w:r w:rsidR="00D91397" w:rsidRPr="00834B27">
        <w:rPr>
          <w:rFonts w:ascii="Calibri" w:hAnsi="Calibri" w:cs="Calibri"/>
          <w:lang w:val="ro-RO"/>
        </w:rPr>
        <w:t xml:space="preserve">a crescut, practica </w:t>
      </w:r>
      <w:r w:rsidRPr="00834B27">
        <w:rPr>
          <w:rFonts w:ascii="Calibri" w:hAnsi="Calibri" w:cs="Calibri"/>
          <w:lang w:val="ro-RO"/>
        </w:rPr>
        <w:t>înregistrării</w:t>
      </w:r>
      <w:r w:rsidR="00E078FC" w:rsidRPr="00834B27">
        <w:rPr>
          <w:rFonts w:ascii="Calibri" w:hAnsi="Calibri" w:cs="Calibri"/>
          <w:lang w:val="ro-RO"/>
        </w:rPr>
        <w:t xml:space="preserve"> cheltuielilor </w:t>
      </w:r>
      <w:r w:rsidRPr="00834B27">
        <w:rPr>
          <w:rFonts w:ascii="Calibri" w:hAnsi="Calibri" w:cs="Calibri"/>
          <w:lang w:val="ro-RO"/>
        </w:rPr>
        <w:t>î</w:t>
      </w:r>
      <w:r w:rsidR="00E078FC" w:rsidRPr="00834B27">
        <w:rPr>
          <w:rFonts w:ascii="Calibri" w:hAnsi="Calibri" w:cs="Calibri"/>
          <w:lang w:val="ro-RO"/>
        </w:rPr>
        <w:t>n scop personal coroborat</w:t>
      </w:r>
      <w:r w:rsidRPr="00834B27">
        <w:rPr>
          <w:rFonts w:ascii="Calibri" w:hAnsi="Calibri" w:cs="Calibri"/>
          <w:lang w:val="ro-RO"/>
        </w:rPr>
        <w:t>ă</w:t>
      </w:r>
      <w:r w:rsidR="00E078FC" w:rsidRPr="00834B27">
        <w:rPr>
          <w:rFonts w:ascii="Calibri" w:hAnsi="Calibri" w:cs="Calibri"/>
          <w:lang w:val="ro-RO"/>
        </w:rPr>
        <w:t xml:space="preserve"> cu lipsa </w:t>
      </w:r>
      <w:r w:rsidRPr="00834B27">
        <w:rPr>
          <w:rFonts w:ascii="Calibri" w:hAnsi="Calibri" w:cs="Calibri"/>
          <w:lang w:val="ro-RO"/>
        </w:rPr>
        <w:t>ac</w:t>
      </w:r>
      <w:r w:rsidR="00D77C4B" w:rsidRPr="00834B27">
        <w:rPr>
          <w:rFonts w:ascii="Calibri" w:hAnsi="Calibri" w:cs="Calibri"/>
          <w:lang w:val="ro-RO"/>
        </w:rPr>
        <w:t>ț</w:t>
      </w:r>
      <w:r w:rsidRPr="00834B27">
        <w:rPr>
          <w:rFonts w:ascii="Calibri" w:hAnsi="Calibri" w:cs="Calibri"/>
          <w:lang w:val="ro-RO"/>
        </w:rPr>
        <w:t>iunilor</w:t>
      </w:r>
      <w:r w:rsidR="009B0ADB" w:rsidRPr="00834B27">
        <w:rPr>
          <w:rFonts w:ascii="Calibri" w:hAnsi="Calibri" w:cs="Calibri"/>
          <w:lang w:val="ro-RO"/>
        </w:rPr>
        <w:t xml:space="preserve"> ANAF (cel </w:t>
      </w:r>
      <w:r w:rsidRPr="00834B27">
        <w:rPr>
          <w:rFonts w:ascii="Calibri" w:hAnsi="Calibri" w:cs="Calibri"/>
          <w:lang w:val="ro-RO"/>
        </w:rPr>
        <w:t>pu</w:t>
      </w:r>
      <w:r w:rsidR="00D77C4B" w:rsidRPr="00834B27">
        <w:rPr>
          <w:rFonts w:ascii="Calibri" w:hAnsi="Calibri" w:cs="Calibri"/>
          <w:lang w:val="ro-RO"/>
        </w:rPr>
        <w:t>ț</w:t>
      </w:r>
      <w:r w:rsidRPr="00834B27">
        <w:rPr>
          <w:rFonts w:ascii="Calibri" w:hAnsi="Calibri" w:cs="Calibri"/>
          <w:lang w:val="ro-RO"/>
        </w:rPr>
        <w:t>in</w:t>
      </w:r>
      <w:r w:rsidR="009B0ADB" w:rsidRPr="00834B27">
        <w:rPr>
          <w:rFonts w:ascii="Calibri" w:hAnsi="Calibri" w:cs="Calibri"/>
          <w:lang w:val="ro-RO"/>
        </w:rPr>
        <w:t xml:space="preserve"> p</w:t>
      </w:r>
      <w:r w:rsidRPr="00834B27">
        <w:rPr>
          <w:rFonts w:ascii="Calibri" w:hAnsi="Calibri" w:cs="Calibri"/>
          <w:lang w:val="ro-RO"/>
        </w:rPr>
        <w:t>â</w:t>
      </w:r>
      <w:r w:rsidR="009B0ADB" w:rsidRPr="00834B27">
        <w:rPr>
          <w:rFonts w:ascii="Calibri" w:hAnsi="Calibri" w:cs="Calibri"/>
          <w:lang w:val="ro-RO"/>
        </w:rPr>
        <w:t>n</w:t>
      </w:r>
      <w:r w:rsidRPr="00834B27">
        <w:rPr>
          <w:rFonts w:ascii="Calibri" w:hAnsi="Calibri" w:cs="Calibri"/>
          <w:lang w:val="ro-RO"/>
        </w:rPr>
        <w:t>ă</w:t>
      </w:r>
      <w:r w:rsidR="009B0ADB" w:rsidRPr="00834B27">
        <w:rPr>
          <w:rFonts w:ascii="Calibri" w:hAnsi="Calibri" w:cs="Calibri"/>
          <w:lang w:val="ro-RO"/>
        </w:rPr>
        <w:t xml:space="preserve"> de cur</w:t>
      </w:r>
      <w:r w:rsidRPr="00834B27">
        <w:rPr>
          <w:rFonts w:ascii="Calibri" w:hAnsi="Calibri" w:cs="Calibri"/>
          <w:lang w:val="ro-RO"/>
        </w:rPr>
        <w:t>â</w:t>
      </w:r>
      <w:r w:rsidR="009B0ADB" w:rsidRPr="00834B27">
        <w:rPr>
          <w:rFonts w:ascii="Calibri" w:hAnsi="Calibri" w:cs="Calibri"/>
          <w:lang w:val="ro-RO"/>
        </w:rPr>
        <w:t xml:space="preserve">nd) </w:t>
      </w:r>
      <w:r w:rsidRPr="00834B27">
        <w:rPr>
          <w:rFonts w:ascii="Calibri" w:hAnsi="Calibri" w:cs="Calibri"/>
          <w:lang w:val="ro-RO"/>
        </w:rPr>
        <w:t>î</w:t>
      </w:r>
      <w:r w:rsidR="009B0ADB" w:rsidRPr="00834B27">
        <w:rPr>
          <w:rFonts w:ascii="Calibri" w:hAnsi="Calibri" w:cs="Calibri"/>
          <w:lang w:val="ro-RO"/>
        </w:rPr>
        <w:t xml:space="preserve">n scopul </w:t>
      </w:r>
      <w:r w:rsidRPr="00834B27">
        <w:rPr>
          <w:rFonts w:ascii="Calibri" w:hAnsi="Calibri" w:cs="Calibri"/>
          <w:lang w:val="ro-RO"/>
        </w:rPr>
        <w:t>asigurării</w:t>
      </w:r>
      <w:r w:rsidR="009B0ADB" w:rsidRPr="00834B27">
        <w:rPr>
          <w:rFonts w:ascii="Calibri" w:hAnsi="Calibri" w:cs="Calibri"/>
          <w:lang w:val="ro-RO"/>
        </w:rPr>
        <w:t xml:space="preserve"> </w:t>
      </w:r>
      <w:r w:rsidRPr="00834B27">
        <w:rPr>
          <w:rFonts w:ascii="Calibri" w:hAnsi="Calibri" w:cs="Calibri"/>
          <w:lang w:val="ro-RO"/>
        </w:rPr>
        <w:t>conformării</w:t>
      </w:r>
      <w:r w:rsidR="009D53CD" w:rsidRPr="00834B27">
        <w:rPr>
          <w:rFonts w:ascii="Calibri" w:hAnsi="Calibri" w:cs="Calibri"/>
          <w:lang w:val="ro-RO"/>
        </w:rPr>
        <w:t xml:space="preserve"> a putut conduce la o reducere a S</w:t>
      </w:r>
      <w:r w:rsidR="00610B4A" w:rsidRPr="00834B27">
        <w:rPr>
          <w:rFonts w:ascii="Calibri" w:hAnsi="Calibri" w:cs="Calibri"/>
          <w:lang w:val="ro-RO"/>
        </w:rPr>
        <w:t>FT p</w:t>
      </w:r>
      <w:r w:rsidRPr="00834B27">
        <w:rPr>
          <w:rFonts w:ascii="Calibri" w:hAnsi="Calibri" w:cs="Calibri"/>
          <w:lang w:val="ro-RO"/>
        </w:rPr>
        <w:t>â</w:t>
      </w:r>
      <w:r w:rsidR="00610B4A" w:rsidRPr="00834B27">
        <w:rPr>
          <w:rFonts w:ascii="Calibri" w:hAnsi="Calibri" w:cs="Calibri"/>
          <w:lang w:val="ro-RO"/>
        </w:rPr>
        <w:t>n</w:t>
      </w:r>
      <w:r w:rsidRPr="00834B27">
        <w:rPr>
          <w:rFonts w:ascii="Calibri" w:hAnsi="Calibri" w:cs="Calibri"/>
          <w:lang w:val="ro-RO"/>
        </w:rPr>
        <w:t>ă</w:t>
      </w:r>
      <w:r w:rsidR="00610B4A" w:rsidRPr="00834B27">
        <w:rPr>
          <w:rFonts w:ascii="Calibri" w:hAnsi="Calibri" w:cs="Calibri"/>
          <w:lang w:val="ro-RO"/>
        </w:rPr>
        <w:t xml:space="preserve"> spre 3%</w:t>
      </w:r>
      <w:r w:rsidR="00D55C43" w:rsidRPr="00834B27">
        <w:rPr>
          <w:rFonts w:ascii="Calibri" w:hAnsi="Calibri" w:cs="Calibri"/>
          <w:lang w:val="ro-RO"/>
        </w:rPr>
        <w:t>, respectiv 1%</w:t>
      </w:r>
      <w:r w:rsidR="00610B4A" w:rsidRPr="00834B27">
        <w:rPr>
          <w:rFonts w:ascii="Calibri" w:hAnsi="Calibri" w:cs="Calibri"/>
          <w:lang w:val="ro-RO"/>
        </w:rPr>
        <w:t>.</w:t>
      </w:r>
      <w:r w:rsidR="00163A80" w:rsidRPr="00834B27">
        <w:rPr>
          <w:rFonts w:ascii="Calibri" w:hAnsi="Calibri" w:cs="Calibri"/>
          <w:b/>
          <w:bCs/>
          <w:lang w:val="ro-RO"/>
        </w:rPr>
        <w:br w:type="page"/>
      </w:r>
    </w:p>
    <w:p w14:paraId="07785520" w14:textId="46C18707" w:rsidR="00183275" w:rsidRPr="00834B27" w:rsidRDefault="008A49CC" w:rsidP="00B91E74">
      <w:pPr>
        <w:spacing w:line="276" w:lineRule="auto"/>
        <w:jc w:val="both"/>
        <w:rPr>
          <w:rFonts w:ascii="Calibri" w:hAnsi="Calibri" w:cs="Calibri"/>
          <w:b/>
          <w:bCs/>
          <w:lang w:val="ro-RO"/>
        </w:rPr>
      </w:pPr>
      <w:r w:rsidRPr="00834B27">
        <w:rPr>
          <w:rFonts w:ascii="Calibri" w:hAnsi="Calibri" w:cs="Calibri"/>
          <w:b/>
          <w:bCs/>
          <w:lang w:val="ro-RO"/>
        </w:rPr>
        <w:lastRenderedPageBreak/>
        <w:t>Tabelul 1</w:t>
      </w:r>
      <w:r w:rsidR="00C2492F" w:rsidRPr="00834B27">
        <w:rPr>
          <w:rFonts w:ascii="Calibri" w:hAnsi="Calibri" w:cs="Calibri"/>
          <w:b/>
          <w:bCs/>
          <w:lang w:val="ro-RO"/>
        </w:rPr>
        <w:t xml:space="preserve"> – SFT pentru </w:t>
      </w:r>
      <w:r w:rsidR="00321149" w:rsidRPr="00834B27">
        <w:rPr>
          <w:rFonts w:ascii="Calibri" w:hAnsi="Calibri" w:cs="Calibri"/>
          <w:b/>
          <w:bCs/>
          <w:lang w:val="ro-RO"/>
        </w:rPr>
        <w:t>diverse tipuri de venit</w:t>
      </w:r>
    </w:p>
    <w:tbl>
      <w:tblPr>
        <w:tblStyle w:val="Tabelgril"/>
        <w:tblW w:w="0" w:type="auto"/>
        <w:tblLook w:val="04A0" w:firstRow="1" w:lastRow="0" w:firstColumn="1" w:lastColumn="0" w:noHBand="0" w:noVBand="1"/>
      </w:tblPr>
      <w:tblGrid>
        <w:gridCol w:w="1808"/>
        <w:gridCol w:w="2121"/>
        <w:gridCol w:w="1807"/>
        <w:gridCol w:w="1807"/>
        <w:gridCol w:w="1807"/>
      </w:tblGrid>
      <w:tr w:rsidR="00AA3B84" w:rsidRPr="00834B27" w14:paraId="5375800B" w14:textId="77777777" w:rsidTr="00AA3B84">
        <w:trPr>
          <w:trHeight w:val="300"/>
        </w:trPr>
        <w:tc>
          <w:tcPr>
            <w:tcW w:w="1808" w:type="dxa"/>
            <w:shd w:val="clear" w:color="auto" w:fill="ADADAD" w:themeFill="background2" w:themeFillShade="BF"/>
            <w:noWrap/>
            <w:hideMark/>
          </w:tcPr>
          <w:p w14:paraId="340B4092" w14:textId="77777777" w:rsidR="00183275" w:rsidRPr="00834B27" w:rsidRDefault="00183275" w:rsidP="00B91E74">
            <w:pPr>
              <w:spacing w:after="160" w:line="276" w:lineRule="auto"/>
              <w:jc w:val="both"/>
              <w:rPr>
                <w:rFonts w:ascii="Calibri" w:eastAsia="Times New Roman" w:hAnsi="Calibri" w:cs="Calibri"/>
                <w:b/>
                <w:bCs/>
                <w:color w:val="000000"/>
                <w:kern w:val="0"/>
                <w:sz w:val="21"/>
                <w:szCs w:val="21"/>
                <w:lang w:val="ro-RO" w:eastAsia="ro-RO"/>
                <w14:ligatures w14:val="none"/>
              </w:rPr>
            </w:pPr>
            <w:r w:rsidRPr="00834B27">
              <w:rPr>
                <w:rFonts w:ascii="Calibri" w:eastAsia="Times New Roman" w:hAnsi="Calibri" w:cs="Calibri"/>
                <w:b/>
                <w:bCs/>
                <w:color w:val="000000"/>
                <w:kern w:val="0"/>
                <w:sz w:val="21"/>
                <w:szCs w:val="21"/>
                <w:lang w:val="ro-RO" w:eastAsia="ro-RO"/>
                <w14:ligatures w14:val="none"/>
              </w:rPr>
              <w:t xml:space="preserve">Tip Venit </w:t>
            </w:r>
          </w:p>
        </w:tc>
        <w:tc>
          <w:tcPr>
            <w:tcW w:w="2121" w:type="dxa"/>
            <w:shd w:val="clear" w:color="auto" w:fill="ADADAD" w:themeFill="background2" w:themeFillShade="BF"/>
            <w:noWrap/>
            <w:hideMark/>
          </w:tcPr>
          <w:p w14:paraId="2EB8F304" w14:textId="77777777" w:rsidR="00183275" w:rsidRPr="00834B27" w:rsidRDefault="00183275" w:rsidP="00B91E74">
            <w:pPr>
              <w:spacing w:after="160" w:line="276" w:lineRule="auto"/>
              <w:jc w:val="both"/>
              <w:rPr>
                <w:rFonts w:ascii="Calibri" w:eastAsia="Times New Roman" w:hAnsi="Calibri" w:cs="Calibri"/>
                <w:b/>
                <w:bCs/>
                <w:color w:val="000000"/>
                <w:kern w:val="0"/>
                <w:sz w:val="21"/>
                <w:szCs w:val="21"/>
                <w:lang w:val="ro-RO" w:eastAsia="ro-RO"/>
                <w14:ligatures w14:val="none"/>
              </w:rPr>
            </w:pPr>
            <w:r w:rsidRPr="00834B27">
              <w:rPr>
                <w:rFonts w:ascii="Calibri" w:eastAsia="Times New Roman" w:hAnsi="Calibri" w:cs="Calibri"/>
                <w:b/>
                <w:bCs/>
                <w:color w:val="000000"/>
                <w:kern w:val="0"/>
                <w:sz w:val="21"/>
                <w:szCs w:val="21"/>
                <w:lang w:val="ro-RO" w:eastAsia="ro-RO"/>
                <w14:ligatures w14:val="none"/>
              </w:rPr>
              <w:t>IV</w:t>
            </w:r>
          </w:p>
        </w:tc>
        <w:tc>
          <w:tcPr>
            <w:tcW w:w="1807" w:type="dxa"/>
            <w:shd w:val="clear" w:color="auto" w:fill="ADADAD" w:themeFill="background2" w:themeFillShade="BF"/>
            <w:noWrap/>
            <w:hideMark/>
          </w:tcPr>
          <w:p w14:paraId="084F9FFF" w14:textId="77777777" w:rsidR="00183275" w:rsidRPr="00834B27" w:rsidRDefault="00183275" w:rsidP="00B91E74">
            <w:pPr>
              <w:spacing w:after="160" w:line="276" w:lineRule="auto"/>
              <w:jc w:val="both"/>
              <w:rPr>
                <w:rFonts w:ascii="Calibri" w:eastAsia="Times New Roman" w:hAnsi="Calibri" w:cs="Calibri"/>
                <w:b/>
                <w:bCs/>
                <w:color w:val="000000"/>
                <w:kern w:val="0"/>
                <w:sz w:val="21"/>
                <w:szCs w:val="21"/>
                <w:lang w:val="ro-RO" w:eastAsia="ro-RO"/>
                <w14:ligatures w14:val="none"/>
              </w:rPr>
            </w:pPr>
            <w:r w:rsidRPr="00834B27">
              <w:rPr>
                <w:rFonts w:ascii="Calibri" w:eastAsia="Times New Roman" w:hAnsi="Calibri" w:cs="Calibri"/>
                <w:b/>
                <w:bCs/>
                <w:color w:val="000000"/>
                <w:kern w:val="0"/>
                <w:sz w:val="21"/>
                <w:szCs w:val="21"/>
                <w:lang w:val="ro-RO" w:eastAsia="ro-RO"/>
                <w14:ligatures w14:val="none"/>
              </w:rPr>
              <w:t>CAS</w:t>
            </w:r>
          </w:p>
        </w:tc>
        <w:tc>
          <w:tcPr>
            <w:tcW w:w="1807" w:type="dxa"/>
            <w:shd w:val="clear" w:color="auto" w:fill="ADADAD" w:themeFill="background2" w:themeFillShade="BF"/>
            <w:noWrap/>
            <w:hideMark/>
          </w:tcPr>
          <w:p w14:paraId="71B9AE4F" w14:textId="77777777" w:rsidR="00183275" w:rsidRPr="00834B27" w:rsidRDefault="00183275" w:rsidP="00B91E74">
            <w:pPr>
              <w:spacing w:after="160" w:line="276" w:lineRule="auto"/>
              <w:jc w:val="both"/>
              <w:rPr>
                <w:rFonts w:ascii="Calibri" w:eastAsia="Times New Roman" w:hAnsi="Calibri" w:cs="Calibri"/>
                <w:b/>
                <w:bCs/>
                <w:color w:val="000000"/>
                <w:kern w:val="0"/>
                <w:sz w:val="21"/>
                <w:szCs w:val="21"/>
                <w:lang w:val="ro-RO" w:eastAsia="ro-RO"/>
                <w14:ligatures w14:val="none"/>
              </w:rPr>
            </w:pPr>
            <w:r w:rsidRPr="00834B27">
              <w:rPr>
                <w:rFonts w:ascii="Calibri" w:eastAsia="Times New Roman" w:hAnsi="Calibri" w:cs="Calibri"/>
                <w:b/>
                <w:bCs/>
                <w:color w:val="000000"/>
                <w:kern w:val="0"/>
                <w:sz w:val="21"/>
                <w:szCs w:val="21"/>
                <w:lang w:val="ro-RO" w:eastAsia="ro-RO"/>
                <w14:ligatures w14:val="none"/>
              </w:rPr>
              <w:t>CASS</w:t>
            </w:r>
          </w:p>
        </w:tc>
        <w:tc>
          <w:tcPr>
            <w:tcW w:w="1807" w:type="dxa"/>
            <w:shd w:val="clear" w:color="auto" w:fill="ADADAD" w:themeFill="background2" w:themeFillShade="BF"/>
            <w:noWrap/>
            <w:hideMark/>
          </w:tcPr>
          <w:p w14:paraId="7B610122" w14:textId="77777777" w:rsidR="00183275" w:rsidRPr="00834B27" w:rsidRDefault="00183275" w:rsidP="00B91E74">
            <w:pPr>
              <w:spacing w:after="160" w:line="276" w:lineRule="auto"/>
              <w:jc w:val="both"/>
              <w:rPr>
                <w:rFonts w:ascii="Calibri" w:eastAsia="Times New Roman" w:hAnsi="Calibri" w:cs="Calibri"/>
                <w:b/>
                <w:bCs/>
                <w:color w:val="000000"/>
                <w:kern w:val="0"/>
                <w:sz w:val="21"/>
                <w:szCs w:val="21"/>
                <w:lang w:val="ro-RO" w:eastAsia="ro-RO"/>
                <w14:ligatures w14:val="none"/>
              </w:rPr>
            </w:pPr>
            <w:r w:rsidRPr="00834B27">
              <w:rPr>
                <w:rFonts w:ascii="Calibri" w:eastAsia="Times New Roman" w:hAnsi="Calibri" w:cs="Calibri"/>
                <w:b/>
                <w:bCs/>
                <w:color w:val="000000"/>
                <w:kern w:val="0"/>
                <w:sz w:val="21"/>
                <w:szCs w:val="21"/>
                <w:lang w:val="ro-RO" w:eastAsia="ro-RO"/>
                <w14:ligatures w14:val="none"/>
              </w:rPr>
              <w:t>SFT</w:t>
            </w:r>
          </w:p>
        </w:tc>
      </w:tr>
      <w:tr w:rsidR="00183275" w:rsidRPr="00834B27" w14:paraId="14543BB9" w14:textId="77777777" w:rsidTr="00AA3B84">
        <w:trPr>
          <w:trHeight w:val="300"/>
        </w:trPr>
        <w:tc>
          <w:tcPr>
            <w:tcW w:w="1808" w:type="dxa"/>
            <w:noWrap/>
            <w:hideMark/>
          </w:tcPr>
          <w:p w14:paraId="5DBE083A" w14:textId="322E6464" w:rsidR="00183275" w:rsidRPr="00834B27" w:rsidRDefault="00183275" w:rsidP="00B91E74">
            <w:pPr>
              <w:spacing w:after="160" w:line="276" w:lineRule="auto"/>
              <w:jc w:val="both"/>
              <w:rPr>
                <w:rFonts w:ascii="Calibri" w:eastAsia="Times New Roman" w:hAnsi="Calibri" w:cs="Calibri"/>
                <w:color w:val="000000"/>
                <w:kern w:val="0"/>
                <w:sz w:val="21"/>
                <w:szCs w:val="21"/>
                <w:lang w:val="ro-RO" w:eastAsia="ro-RO"/>
                <w14:ligatures w14:val="none"/>
              </w:rPr>
            </w:pPr>
            <w:r w:rsidRPr="00834B27">
              <w:rPr>
                <w:rFonts w:ascii="Calibri" w:eastAsia="Times New Roman" w:hAnsi="Calibri" w:cs="Calibri"/>
                <w:color w:val="000000"/>
                <w:kern w:val="0"/>
                <w:sz w:val="21"/>
                <w:szCs w:val="21"/>
                <w:lang w:val="ro-RO" w:eastAsia="ro-RO"/>
                <w14:ligatures w14:val="none"/>
              </w:rPr>
              <w:t>Activită</w:t>
            </w:r>
            <w:r w:rsidR="00D77C4B" w:rsidRPr="00834B27">
              <w:rPr>
                <w:rFonts w:ascii="Calibri" w:eastAsia="Times New Roman" w:hAnsi="Calibri" w:cs="Calibri"/>
                <w:color w:val="000000"/>
                <w:kern w:val="0"/>
                <w:sz w:val="21"/>
                <w:szCs w:val="21"/>
                <w:lang w:val="ro-RO" w:eastAsia="ro-RO"/>
                <w14:ligatures w14:val="none"/>
              </w:rPr>
              <w:t>ț</w:t>
            </w:r>
            <w:r w:rsidRPr="00834B27">
              <w:rPr>
                <w:rFonts w:ascii="Calibri" w:eastAsia="Times New Roman" w:hAnsi="Calibri" w:cs="Calibri"/>
                <w:color w:val="000000"/>
                <w:kern w:val="0"/>
                <w:sz w:val="21"/>
                <w:szCs w:val="21"/>
                <w:lang w:val="ro-RO" w:eastAsia="ro-RO"/>
                <w14:ligatures w14:val="none"/>
              </w:rPr>
              <w:t>i dependente</w:t>
            </w:r>
          </w:p>
        </w:tc>
        <w:tc>
          <w:tcPr>
            <w:tcW w:w="2121" w:type="dxa"/>
            <w:noWrap/>
            <w:hideMark/>
          </w:tcPr>
          <w:p w14:paraId="5E4E77EE" w14:textId="77777777" w:rsidR="00183275" w:rsidRPr="00834B27" w:rsidRDefault="00183275" w:rsidP="002C034F">
            <w:pPr>
              <w:spacing w:after="160" w:line="276" w:lineRule="auto"/>
              <w:jc w:val="both"/>
              <w:rPr>
                <w:rFonts w:ascii="Calibri" w:eastAsia="Times New Roman" w:hAnsi="Calibri" w:cs="Calibri"/>
                <w:color w:val="000000"/>
                <w:kern w:val="0"/>
                <w:sz w:val="21"/>
                <w:szCs w:val="21"/>
                <w:lang w:val="ro-RO" w:eastAsia="ro-RO"/>
                <w14:ligatures w14:val="none"/>
              </w:rPr>
            </w:pPr>
            <w:r w:rsidRPr="00834B27">
              <w:rPr>
                <w:rFonts w:ascii="Calibri" w:eastAsia="Times New Roman" w:hAnsi="Calibri" w:cs="Calibri"/>
                <w:color w:val="000000"/>
                <w:kern w:val="0"/>
                <w:sz w:val="21"/>
                <w:szCs w:val="21"/>
                <w:lang w:val="ro-RO" w:eastAsia="ro-RO"/>
                <w14:ligatures w14:val="none"/>
              </w:rPr>
              <w:t>10% x (VB - CAS - CASS - DP - Alte deduceri)</w:t>
            </w:r>
          </w:p>
        </w:tc>
        <w:tc>
          <w:tcPr>
            <w:tcW w:w="1807" w:type="dxa"/>
            <w:noWrap/>
            <w:hideMark/>
          </w:tcPr>
          <w:p w14:paraId="035BBDA8" w14:textId="77777777" w:rsidR="00183275" w:rsidRPr="00834B27" w:rsidRDefault="00183275" w:rsidP="002C034F">
            <w:pPr>
              <w:spacing w:after="160" w:line="276" w:lineRule="auto"/>
              <w:jc w:val="both"/>
              <w:rPr>
                <w:rFonts w:ascii="Calibri" w:eastAsia="Times New Roman" w:hAnsi="Calibri" w:cs="Calibri"/>
                <w:color w:val="000000"/>
                <w:kern w:val="0"/>
                <w:sz w:val="21"/>
                <w:szCs w:val="21"/>
                <w:lang w:val="ro-RO" w:eastAsia="ro-RO"/>
                <w14:ligatures w14:val="none"/>
              </w:rPr>
            </w:pPr>
            <w:r w:rsidRPr="00834B27">
              <w:rPr>
                <w:rFonts w:ascii="Calibri" w:eastAsia="Times New Roman" w:hAnsi="Calibri" w:cs="Calibri"/>
                <w:color w:val="000000"/>
                <w:kern w:val="0"/>
                <w:sz w:val="21"/>
                <w:szCs w:val="21"/>
                <w:lang w:val="ro-RO" w:eastAsia="ro-RO"/>
                <w14:ligatures w14:val="none"/>
              </w:rPr>
              <w:t>25%/4%/8% x VB</w:t>
            </w:r>
          </w:p>
        </w:tc>
        <w:tc>
          <w:tcPr>
            <w:tcW w:w="1807" w:type="dxa"/>
            <w:noWrap/>
            <w:hideMark/>
          </w:tcPr>
          <w:p w14:paraId="7187817D" w14:textId="77777777" w:rsidR="00183275" w:rsidRPr="00834B27" w:rsidRDefault="00183275" w:rsidP="002C034F">
            <w:pPr>
              <w:spacing w:after="160" w:line="276" w:lineRule="auto"/>
              <w:jc w:val="both"/>
              <w:rPr>
                <w:rFonts w:ascii="Calibri" w:eastAsia="Times New Roman" w:hAnsi="Calibri" w:cs="Calibri"/>
                <w:color w:val="000000"/>
                <w:kern w:val="0"/>
                <w:sz w:val="21"/>
                <w:szCs w:val="21"/>
                <w:lang w:val="ro-RO" w:eastAsia="ro-RO"/>
                <w14:ligatures w14:val="none"/>
              </w:rPr>
            </w:pPr>
            <w:r w:rsidRPr="00834B27">
              <w:rPr>
                <w:rFonts w:ascii="Calibri" w:eastAsia="Times New Roman" w:hAnsi="Calibri" w:cs="Calibri"/>
                <w:color w:val="000000"/>
                <w:kern w:val="0"/>
                <w:sz w:val="21"/>
                <w:szCs w:val="21"/>
                <w:lang w:val="ro-RO" w:eastAsia="ro-RO"/>
                <w14:ligatures w14:val="none"/>
              </w:rPr>
              <w:t>10% x VB</w:t>
            </w:r>
          </w:p>
        </w:tc>
        <w:tc>
          <w:tcPr>
            <w:tcW w:w="1807" w:type="dxa"/>
            <w:noWrap/>
            <w:hideMark/>
          </w:tcPr>
          <w:p w14:paraId="767F7FBC" w14:textId="77777777" w:rsidR="00183275" w:rsidRPr="00834B27" w:rsidRDefault="00183275" w:rsidP="002C034F">
            <w:pPr>
              <w:spacing w:after="160" w:line="276" w:lineRule="auto"/>
              <w:jc w:val="both"/>
              <w:rPr>
                <w:rFonts w:ascii="Calibri" w:eastAsia="Times New Roman" w:hAnsi="Calibri" w:cs="Calibri"/>
                <w:color w:val="000000"/>
                <w:kern w:val="0"/>
                <w:sz w:val="21"/>
                <w:szCs w:val="21"/>
                <w:lang w:val="ro-RO" w:eastAsia="ro-RO"/>
                <w14:ligatures w14:val="none"/>
              </w:rPr>
            </w:pPr>
            <w:r w:rsidRPr="00834B27">
              <w:rPr>
                <w:rFonts w:ascii="Calibri" w:eastAsia="Times New Roman" w:hAnsi="Calibri" w:cs="Calibri"/>
                <w:color w:val="000000"/>
                <w:kern w:val="0"/>
                <w:sz w:val="21"/>
                <w:szCs w:val="21"/>
                <w:lang w:val="ro-RO" w:eastAsia="ro-RO"/>
                <w14:ligatures w14:val="none"/>
              </w:rPr>
              <w:t>41,5%</w:t>
            </w:r>
          </w:p>
        </w:tc>
      </w:tr>
      <w:tr w:rsidR="00183275" w:rsidRPr="00834B27" w14:paraId="57BF8648" w14:textId="77777777" w:rsidTr="00AA3B84">
        <w:trPr>
          <w:trHeight w:val="300"/>
        </w:trPr>
        <w:tc>
          <w:tcPr>
            <w:tcW w:w="1808" w:type="dxa"/>
            <w:hideMark/>
          </w:tcPr>
          <w:p w14:paraId="7E83D563" w14:textId="56BED61B" w:rsidR="00183275" w:rsidRPr="00834B27" w:rsidRDefault="00183275" w:rsidP="00B91E74">
            <w:pPr>
              <w:spacing w:after="160" w:line="276" w:lineRule="auto"/>
              <w:jc w:val="both"/>
              <w:rPr>
                <w:rFonts w:ascii="Calibri" w:eastAsia="Times New Roman" w:hAnsi="Calibri" w:cs="Calibri"/>
                <w:color w:val="000000"/>
                <w:kern w:val="0"/>
                <w:sz w:val="21"/>
                <w:szCs w:val="21"/>
                <w:lang w:val="ro-RO" w:eastAsia="ro-RO"/>
                <w14:ligatures w14:val="none"/>
              </w:rPr>
            </w:pPr>
            <w:r w:rsidRPr="00834B27">
              <w:rPr>
                <w:rFonts w:ascii="Calibri" w:eastAsia="Times New Roman" w:hAnsi="Calibri" w:cs="Calibri"/>
                <w:color w:val="000000"/>
                <w:kern w:val="0"/>
                <w:sz w:val="21"/>
                <w:szCs w:val="21"/>
                <w:lang w:val="ro-RO" w:eastAsia="ro-RO"/>
                <w14:ligatures w14:val="none"/>
              </w:rPr>
              <w:t>Activită</w:t>
            </w:r>
            <w:r w:rsidR="00D77C4B" w:rsidRPr="00834B27">
              <w:rPr>
                <w:rFonts w:ascii="Calibri" w:eastAsia="Times New Roman" w:hAnsi="Calibri" w:cs="Calibri"/>
                <w:color w:val="000000"/>
                <w:kern w:val="0"/>
                <w:sz w:val="21"/>
                <w:szCs w:val="21"/>
                <w:lang w:val="ro-RO" w:eastAsia="ro-RO"/>
                <w14:ligatures w14:val="none"/>
              </w:rPr>
              <w:t>ț</w:t>
            </w:r>
            <w:r w:rsidRPr="00834B27">
              <w:rPr>
                <w:rFonts w:ascii="Calibri" w:eastAsia="Times New Roman" w:hAnsi="Calibri" w:cs="Calibri"/>
                <w:color w:val="000000"/>
                <w:kern w:val="0"/>
                <w:sz w:val="21"/>
                <w:szCs w:val="21"/>
                <w:lang w:val="ro-RO" w:eastAsia="ro-RO"/>
                <w14:ligatures w14:val="none"/>
              </w:rPr>
              <w:t>i independente</w:t>
            </w:r>
          </w:p>
        </w:tc>
        <w:tc>
          <w:tcPr>
            <w:tcW w:w="2121" w:type="dxa"/>
            <w:noWrap/>
            <w:hideMark/>
          </w:tcPr>
          <w:p w14:paraId="229E251D" w14:textId="77777777" w:rsidR="00183275" w:rsidRPr="00834B27" w:rsidRDefault="00183275" w:rsidP="002C034F">
            <w:pPr>
              <w:spacing w:after="160" w:line="276" w:lineRule="auto"/>
              <w:jc w:val="both"/>
              <w:rPr>
                <w:rFonts w:ascii="Calibri" w:eastAsia="Times New Roman" w:hAnsi="Calibri" w:cs="Calibri"/>
                <w:color w:val="000000"/>
                <w:kern w:val="0"/>
                <w:sz w:val="21"/>
                <w:szCs w:val="21"/>
                <w:lang w:val="ro-RO" w:eastAsia="ro-RO"/>
                <w14:ligatures w14:val="none"/>
              </w:rPr>
            </w:pPr>
            <w:r w:rsidRPr="00834B27">
              <w:rPr>
                <w:rFonts w:ascii="Calibri" w:eastAsia="Times New Roman" w:hAnsi="Calibri" w:cs="Calibri"/>
                <w:color w:val="000000"/>
                <w:kern w:val="0"/>
                <w:sz w:val="21"/>
                <w:szCs w:val="21"/>
                <w:lang w:val="ro-RO" w:eastAsia="ro-RO"/>
                <w14:ligatures w14:val="none"/>
              </w:rPr>
              <w:t>10% x (VB - CAS - CASS)</w:t>
            </w:r>
          </w:p>
        </w:tc>
        <w:tc>
          <w:tcPr>
            <w:tcW w:w="1807" w:type="dxa"/>
            <w:noWrap/>
            <w:hideMark/>
          </w:tcPr>
          <w:p w14:paraId="28027D9D" w14:textId="77777777" w:rsidR="00183275" w:rsidRPr="00834B27" w:rsidRDefault="00183275" w:rsidP="002C034F">
            <w:pPr>
              <w:spacing w:after="160" w:line="276" w:lineRule="auto"/>
              <w:jc w:val="both"/>
              <w:rPr>
                <w:rFonts w:ascii="Calibri" w:eastAsia="Times New Roman" w:hAnsi="Calibri" w:cs="Calibri"/>
                <w:color w:val="000000"/>
                <w:kern w:val="0"/>
                <w:sz w:val="21"/>
                <w:szCs w:val="21"/>
                <w:lang w:val="ro-RO" w:eastAsia="ro-RO"/>
                <w14:ligatures w14:val="none"/>
              </w:rPr>
            </w:pPr>
            <w:r w:rsidRPr="00834B27">
              <w:rPr>
                <w:rFonts w:ascii="Calibri" w:eastAsia="Times New Roman" w:hAnsi="Calibri" w:cs="Calibri"/>
                <w:color w:val="000000"/>
                <w:kern w:val="0"/>
                <w:sz w:val="21"/>
                <w:szCs w:val="21"/>
                <w:lang w:val="ro-RO" w:eastAsia="ro-RO"/>
                <w14:ligatures w14:val="none"/>
              </w:rPr>
              <w:t>25% x 0/12SM/24SM</w:t>
            </w:r>
          </w:p>
        </w:tc>
        <w:tc>
          <w:tcPr>
            <w:tcW w:w="1807" w:type="dxa"/>
            <w:noWrap/>
            <w:hideMark/>
          </w:tcPr>
          <w:p w14:paraId="0299ACBB" w14:textId="77777777" w:rsidR="00183275" w:rsidRPr="00834B27" w:rsidRDefault="00183275" w:rsidP="002C034F">
            <w:pPr>
              <w:spacing w:after="160" w:line="276" w:lineRule="auto"/>
              <w:jc w:val="both"/>
              <w:rPr>
                <w:rFonts w:ascii="Calibri" w:eastAsia="Times New Roman" w:hAnsi="Calibri" w:cs="Calibri"/>
                <w:color w:val="000000"/>
                <w:kern w:val="0"/>
                <w:sz w:val="21"/>
                <w:szCs w:val="21"/>
                <w:lang w:val="ro-RO" w:eastAsia="ro-RO"/>
                <w14:ligatures w14:val="none"/>
              </w:rPr>
            </w:pPr>
            <w:r w:rsidRPr="00834B27">
              <w:rPr>
                <w:rFonts w:ascii="Calibri" w:eastAsia="Times New Roman" w:hAnsi="Calibri" w:cs="Calibri"/>
                <w:color w:val="000000"/>
                <w:kern w:val="0"/>
                <w:sz w:val="21"/>
                <w:szCs w:val="21"/>
                <w:lang w:val="ro-RO" w:eastAsia="ro-RO"/>
                <w14:ligatures w14:val="none"/>
              </w:rPr>
              <w:t>10% x VB/72SM</w:t>
            </w:r>
          </w:p>
        </w:tc>
        <w:tc>
          <w:tcPr>
            <w:tcW w:w="1807" w:type="dxa"/>
            <w:noWrap/>
            <w:hideMark/>
          </w:tcPr>
          <w:p w14:paraId="5C843A5A" w14:textId="77777777" w:rsidR="00183275" w:rsidRPr="00834B27" w:rsidRDefault="00183275" w:rsidP="002C034F">
            <w:pPr>
              <w:spacing w:after="160" w:line="276" w:lineRule="auto"/>
              <w:jc w:val="both"/>
              <w:rPr>
                <w:rFonts w:ascii="Calibri" w:eastAsia="Times New Roman" w:hAnsi="Calibri" w:cs="Calibri"/>
                <w:color w:val="000000"/>
                <w:kern w:val="0"/>
                <w:sz w:val="21"/>
                <w:szCs w:val="21"/>
                <w:lang w:val="ro-RO" w:eastAsia="ro-RO"/>
                <w14:ligatures w14:val="none"/>
              </w:rPr>
            </w:pPr>
            <w:r w:rsidRPr="00834B27">
              <w:rPr>
                <w:rFonts w:ascii="Calibri" w:eastAsia="Times New Roman" w:hAnsi="Calibri" w:cs="Calibri"/>
                <w:color w:val="000000"/>
                <w:kern w:val="0"/>
                <w:sz w:val="21"/>
                <w:szCs w:val="21"/>
                <w:lang w:val="ro-RO" w:eastAsia="ro-RO"/>
                <w14:ligatures w14:val="none"/>
              </w:rPr>
              <w:t>10% - 41,5%</w:t>
            </w:r>
          </w:p>
        </w:tc>
      </w:tr>
      <w:tr w:rsidR="00183275" w:rsidRPr="00834B27" w14:paraId="6F70C738" w14:textId="77777777" w:rsidTr="00AA3B84">
        <w:trPr>
          <w:trHeight w:val="300"/>
        </w:trPr>
        <w:tc>
          <w:tcPr>
            <w:tcW w:w="1808" w:type="dxa"/>
            <w:hideMark/>
          </w:tcPr>
          <w:p w14:paraId="698F651A" w14:textId="77777777" w:rsidR="00183275" w:rsidRPr="00834B27" w:rsidRDefault="00183275" w:rsidP="00B91E74">
            <w:pPr>
              <w:spacing w:after="160" w:line="276" w:lineRule="auto"/>
              <w:jc w:val="both"/>
              <w:rPr>
                <w:rFonts w:ascii="Calibri" w:eastAsia="Times New Roman" w:hAnsi="Calibri" w:cs="Calibri"/>
                <w:color w:val="000000"/>
                <w:kern w:val="0"/>
                <w:sz w:val="21"/>
                <w:szCs w:val="21"/>
                <w:lang w:val="ro-RO" w:eastAsia="ro-RO"/>
                <w14:ligatures w14:val="none"/>
              </w:rPr>
            </w:pPr>
            <w:r w:rsidRPr="00834B27">
              <w:rPr>
                <w:rFonts w:ascii="Calibri" w:eastAsia="Times New Roman" w:hAnsi="Calibri" w:cs="Calibri"/>
                <w:color w:val="000000"/>
                <w:kern w:val="0"/>
                <w:sz w:val="21"/>
                <w:szCs w:val="21"/>
                <w:lang w:val="ro-RO" w:eastAsia="ro-RO"/>
                <w14:ligatures w14:val="none"/>
              </w:rPr>
              <w:t>Drepturi de proprietate intelectuală</w:t>
            </w:r>
          </w:p>
        </w:tc>
        <w:tc>
          <w:tcPr>
            <w:tcW w:w="2121" w:type="dxa"/>
            <w:noWrap/>
            <w:hideMark/>
          </w:tcPr>
          <w:p w14:paraId="3D267455" w14:textId="77777777" w:rsidR="00183275" w:rsidRPr="00834B27" w:rsidRDefault="00183275" w:rsidP="002C034F">
            <w:pPr>
              <w:spacing w:after="160" w:line="276" w:lineRule="auto"/>
              <w:jc w:val="both"/>
              <w:rPr>
                <w:rFonts w:ascii="Calibri" w:eastAsia="Times New Roman" w:hAnsi="Calibri" w:cs="Calibri"/>
                <w:color w:val="000000"/>
                <w:kern w:val="0"/>
                <w:sz w:val="21"/>
                <w:szCs w:val="21"/>
                <w:lang w:val="ro-RO" w:eastAsia="ro-RO"/>
                <w14:ligatures w14:val="none"/>
              </w:rPr>
            </w:pPr>
            <w:r w:rsidRPr="00834B27">
              <w:rPr>
                <w:rFonts w:ascii="Calibri" w:eastAsia="Times New Roman" w:hAnsi="Calibri" w:cs="Calibri"/>
                <w:color w:val="000000"/>
                <w:kern w:val="0"/>
                <w:sz w:val="21"/>
                <w:szCs w:val="21"/>
                <w:lang w:val="ro-RO" w:eastAsia="ro-RO"/>
                <w14:ligatures w14:val="none"/>
              </w:rPr>
              <w:t>10% x (60% x VB)</w:t>
            </w:r>
          </w:p>
        </w:tc>
        <w:tc>
          <w:tcPr>
            <w:tcW w:w="1807" w:type="dxa"/>
            <w:noWrap/>
            <w:hideMark/>
          </w:tcPr>
          <w:p w14:paraId="0749AB36" w14:textId="77777777" w:rsidR="00183275" w:rsidRPr="00834B27" w:rsidRDefault="00183275" w:rsidP="002C034F">
            <w:pPr>
              <w:spacing w:after="160" w:line="276" w:lineRule="auto"/>
              <w:jc w:val="both"/>
              <w:rPr>
                <w:rFonts w:ascii="Calibri" w:eastAsia="Times New Roman" w:hAnsi="Calibri" w:cs="Calibri"/>
                <w:color w:val="000000"/>
                <w:kern w:val="0"/>
                <w:sz w:val="21"/>
                <w:szCs w:val="21"/>
                <w:lang w:val="ro-RO" w:eastAsia="ro-RO"/>
                <w14:ligatures w14:val="none"/>
              </w:rPr>
            </w:pPr>
            <w:r w:rsidRPr="00834B27">
              <w:rPr>
                <w:rFonts w:ascii="Calibri" w:eastAsia="Times New Roman" w:hAnsi="Calibri" w:cs="Calibri"/>
                <w:color w:val="000000"/>
                <w:kern w:val="0"/>
                <w:sz w:val="21"/>
                <w:szCs w:val="21"/>
                <w:lang w:val="ro-RO" w:eastAsia="ro-RO"/>
                <w14:ligatures w14:val="none"/>
              </w:rPr>
              <w:t xml:space="preserve">0%/25% x 0/12SM/24SM </w:t>
            </w:r>
          </w:p>
        </w:tc>
        <w:tc>
          <w:tcPr>
            <w:tcW w:w="1807" w:type="dxa"/>
            <w:noWrap/>
            <w:hideMark/>
          </w:tcPr>
          <w:p w14:paraId="3039F14A" w14:textId="77777777" w:rsidR="00183275" w:rsidRPr="00834B27" w:rsidRDefault="00183275" w:rsidP="002C034F">
            <w:pPr>
              <w:spacing w:after="160" w:line="276" w:lineRule="auto"/>
              <w:jc w:val="both"/>
              <w:rPr>
                <w:rFonts w:ascii="Calibri" w:eastAsia="Times New Roman" w:hAnsi="Calibri" w:cs="Calibri"/>
                <w:color w:val="000000"/>
                <w:kern w:val="0"/>
                <w:sz w:val="21"/>
                <w:szCs w:val="21"/>
                <w:lang w:val="ro-RO" w:eastAsia="ro-RO"/>
                <w14:ligatures w14:val="none"/>
              </w:rPr>
            </w:pPr>
            <w:r w:rsidRPr="00834B27">
              <w:rPr>
                <w:rFonts w:ascii="Calibri" w:eastAsia="Times New Roman" w:hAnsi="Calibri" w:cs="Calibri"/>
                <w:color w:val="000000"/>
                <w:kern w:val="0"/>
                <w:sz w:val="21"/>
                <w:szCs w:val="21"/>
                <w:lang w:val="ro-RO" w:eastAsia="ro-RO"/>
                <w14:ligatures w14:val="none"/>
              </w:rPr>
              <w:t>0%/10% x „Coș venituri” 0/6/12/24SM</w:t>
            </w:r>
          </w:p>
        </w:tc>
        <w:tc>
          <w:tcPr>
            <w:tcW w:w="1807" w:type="dxa"/>
            <w:noWrap/>
            <w:hideMark/>
          </w:tcPr>
          <w:p w14:paraId="39EA5FFA" w14:textId="77777777" w:rsidR="00183275" w:rsidRPr="00834B27" w:rsidRDefault="00183275" w:rsidP="002C034F">
            <w:pPr>
              <w:spacing w:after="160" w:line="276" w:lineRule="auto"/>
              <w:jc w:val="both"/>
              <w:rPr>
                <w:rFonts w:ascii="Calibri" w:eastAsia="Times New Roman" w:hAnsi="Calibri" w:cs="Calibri"/>
                <w:color w:val="000000"/>
                <w:kern w:val="0"/>
                <w:sz w:val="21"/>
                <w:szCs w:val="21"/>
                <w:lang w:val="ro-RO" w:eastAsia="ro-RO"/>
                <w14:ligatures w14:val="none"/>
              </w:rPr>
            </w:pPr>
            <w:r w:rsidRPr="00834B27">
              <w:rPr>
                <w:rFonts w:ascii="Calibri" w:eastAsia="Times New Roman" w:hAnsi="Calibri" w:cs="Calibri"/>
                <w:color w:val="000000"/>
                <w:kern w:val="0"/>
                <w:sz w:val="21"/>
                <w:szCs w:val="21"/>
                <w:lang w:val="ro-RO" w:eastAsia="ro-RO"/>
                <w14:ligatures w14:val="none"/>
              </w:rPr>
              <w:t>6% - 36,3%</w:t>
            </w:r>
          </w:p>
        </w:tc>
      </w:tr>
      <w:tr w:rsidR="00183275" w:rsidRPr="00834B27" w14:paraId="0D296A1D" w14:textId="77777777" w:rsidTr="00AA3B84">
        <w:trPr>
          <w:trHeight w:val="525"/>
        </w:trPr>
        <w:tc>
          <w:tcPr>
            <w:tcW w:w="1808" w:type="dxa"/>
            <w:hideMark/>
          </w:tcPr>
          <w:p w14:paraId="5497A189" w14:textId="08A5D063" w:rsidR="00183275" w:rsidRPr="00834B27" w:rsidRDefault="00183275" w:rsidP="00B91E74">
            <w:pPr>
              <w:spacing w:after="160" w:line="276" w:lineRule="auto"/>
              <w:jc w:val="both"/>
              <w:rPr>
                <w:rFonts w:ascii="Calibri" w:eastAsia="Times New Roman" w:hAnsi="Calibri" w:cs="Calibri"/>
                <w:color w:val="000000"/>
                <w:kern w:val="0"/>
                <w:sz w:val="21"/>
                <w:szCs w:val="21"/>
                <w:lang w:val="ro-RO" w:eastAsia="ro-RO"/>
                <w14:ligatures w14:val="none"/>
              </w:rPr>
            </w:pPr>
            <w:r w:rsidRPr="00834B27">
              <w:rPr>
                <w:rFonts w:ascii="Calibri" w:eastAsia="Times New Roman" w:hAnsi="Calibri" w:cs="Calibri"/>
                <w:color w:val="000000"/>
                <w:kern w:val="0"/>
                <w:sz w:val="21"/>
                <w:szCs w:val="21"/>
                <w:lang w:val="ro-RO" w:eastAsia="ro-RO"/>
                <w14:ligatures w14:val="none"/>
              </w:rPr>
              <w:t>Cedarea folosin</w:t>
            </w:r>
            <w:r w:rsidR="00D77C4B" w:rsidRPr="00834B27">
              <w:rPr>
                <w:rFonts w:ascii="Calibri" w:eastAsia="Times New Roman" w:hAnsi="Calibri" w:cs="Calibri"/>
                <w:color w:val="000000"/>
                <w:kern w:val="0"/>
                <w:sz w:val="21"/>
                <w:szCs w:val="21"/>
                <w:lang w:val="ro-RO" w:eastAsia="ro-RO"/>
                <w14:ligatures w14:val="none"/>
              </w:rPr>
              <w:t>ț</w:t>
            </w:r>
            <w:r w:rsidRPr="00834B27">
              <w:rPr>
                <w:rFonts w:ascii="Calibri" w:eastAsia="Times New Roman" w:hAnsi="Calibri" w:cs="Calibri"/>
                <w:color w:val="000000"/>
                <w:kern w:val="0"/>
                <w:sz w:val="21"/>
                <w:szCs w:val="21"/>
                <w:lang w:val="ro-RO" w:eastAsia="ro-RO"/>
                <w14:ligatures w14:val="none"/>
              </w:rPr>
              <w:t>ei bunurilor (altele decât cele în scop turistic)</w:t>
            </w:r>
            <w:r w:rsidR="005932C5" w:rsidRPr="00834B27">
              <w:rPr>
                <w:rFonts w:ascii="Calibri" w:eastAsia="Times New Roman" w:hAnsi="Calibri" w:cs="Calibri"/>
                <w:color w:val="000000"/>
                <w:kern w:val="0"/>
                <w:sz w:val="21"/>
                <w:szCs w:val="21"/>
                <w:lang w:val="ro-RO" w:eastAsia="ro-RO"/>
                <w14:ligatures w14:val="none"/>
              </w:rPr>
              <w:t>, venituri din arenda</w:t>
            </w:r>
            <w:r w:rsidR="00371325" w:rsidRPr="00834B27">
              <w:rPr>
                <w:rFonts w:ascii="Calibri" w:eastAsia="Times New Roman" w:hAnsi="Calibri" w:cs="Calibri"/>
                <w:color w:val="000000"/>
                <w:kern w:val="0"/>
                <w:sz w:val="21"/>
                <w:szCs w:val="21"/>
                <w:lang w:val="ro-RO" w:eastAsia="ro-RO"/>
                <w14:ligatures w14:val="none"/>
              </w:rPr>
              <w:t>, închirie</w:t>
            </w:r>
            <w:r w:rsidR="000965C0" w:rsidRPr="00834B27">
              <w:rPr>
                <w:rFonts w:ascii="Calibri" w:eastAsia="Times New Roman" w:hAnsi="Calibri" w:cs="Calibri"/>
                <w:color w:val="000000"/>
                <w:kern w:val="0"/>
                <w:sz w:val="21"/>
                <w:szCs w:val="21"/>
                <w:lang w:val="ro-RO" w:eastAsia="ro-RO"/>
                <w14:ligatures w14:val="none"/>
              </w:rPr>
              <w:t>ri termen scurt</w:t>
            </w:r>
          </w:p>
        </w:tc>
        <w:tc>
          <w:tcPr>
            <w:tcW w:w="2121" w:type="dxa"/>
            <w:noWrap/>
            <w:hideMark/>
          </w:tcPr>
          <w:p w14:paraId="581CD7B7" w14:textId="684F9A4F" w:rsidR="00183275" w:rsidRPr="00834B27" w:rsidRDefault="00183275" w:rsidP="002C034F">
            <w:pPr>
              <w:spacing w:after="160" w:line="276" w:lineRule="auto"/>
              <w:jc w:val="both"/>
              <w:rPr>
                <w:rFonts w:ascii="Calibri" w:eastAsia="Times New Roman" w:hAnsi="Calibri" w:cs="Calibri"/>
                <w:color w:val="000000"/>
                <w:kern w:val="0"/>
                <w:sz w:val="21"/>
                <w:szCs w:val="21"/>
                <w:lang w:val="ro-RO" w:eastAsia="ro-RO"/>
                <w14:ligatures w14:val="none"/>
              </w:rPr>
            </w:pPr>
            <w:r w:rsidRPr="00834B27">
              <w:rPr>
                <w:rFonts w:ascii="Calibri" w:eastAsia="Times New Roman" w:hAnsi="Calibri" w:cs="Calibri"/>
                <w:color w:val="000000"/>
                <w:kern w:val="0"/>
                <w:sz w:val="21"/>
                <w:szCs w:val="21"/>
                <w:lang w:val="ro-RO" w:eastAsia="ro-RO"/>
                <w14:ligatures w14:val="none"/>
              </w:rPr>
              <w:t>10% x (80% x VB)/(70% x VB)</w:t>
            </w:r>
          </w:p>
        </w:tc>
        <w:tc>
          <w:tcPr>
            <w:tcW w:w="1807" w:type="dxa"/>
            <w:noWrap/>
            <w:hideMark/>
          </w:tcPr>
          <w:p w14:paraId="658C643D" w14:textId="50DFB306" w:rsidR="00183275" w:rsidRPr="00834B27" w:rsidRDefault="00183275" w:rsidP="002C034F">
            <w:pPr>
              <w:spacing w:after="160" w:line="276" w:lineRule="auto"/>
              <w:jc w:val="both"/>
              <w:rPr>
                <w:rFonts w:ascii="Calibri" w:eastAsia="Times New Roman" w:hAnsi="Calibri" w:cs="Calibri"/>
                <w:color w:val="000000"/>
                <w:kern w:val="0"/>
                <w:sz w:val="21"/>
                <w:szCs w:val="21"/>
                <w:lang w:val="ro-RO" w:eastAsia="ro-RO"/>
                <w14:ligatures w14:val="none"/>
              </w:rPr>
            </w:pPr>
            <w:r w:rsidRPr="00834B27">
              <w:rPr>
                <w:rFonts w:ascii="Calibri" w:eastAsia="Times New Roman" w:hAnsi="Calibri" w:cs="Calibri"/>
                <w:color w:val="000000"/>
                <w:kern w:val="0"/>
                <w:sz w:val="21"/>
                <w:szCs w:val="21"/>
                <w:lang w:val="ro-RO" w:eastAsia="ro-RO"/>
                <w14:ligatures w14:val="none"/>
              </w:rPr>
              <w:t>0%</w:t>
            </w:r>
          </w:p>
        </w:tc>
        <w:tc>
          <w:tcPr>
            <w:tcW w:w="1807" w:type="dxa"/>
            <w:noWrap/>
            <w:hideMark/>
          </w:tcPr>
          <w:p w14:paraId="55EE736B" w14:textId="77777777" w:rsidR="00183275" w:rsidRPr="00834B27" w:rsidRDefault="00183275" w:rsidP="002C034F">
            <w:pPr>
              <w:spacing w:after="160" w:line="276" w:lineRule="auto"/>
              <w:jc w:val="both"/>
              <w:rPr>
                <w:rFonts w:ascii="Calibri" w:eastAsia="Times New Roman" w:hAnsi="Calibri" w:cs="Calibri"/>
                <w:color w:val="000000"/>
                <w:kern w:val="0"/>
                <w:sz w:val="21"/>
                <w:szCs w:val="21"/>
                <w:lang w:val="ro-RO" w:eastAsia="ro-RO"/>
                <w14:ligatures w14:val="none"/>
              </w:rPr>
            </w:pPr>
            <w:r w:rsidRPr="00834B27">
              <w:rPr>
                <w:rFonts w:ascii="Calibri" w:eastAsia="Times New Roman" w:hAnsi="Calibri" w:cs="Calibri"/>
                <w:color w:val="000000"/>
                <w:kern w:val="0"/>
                <w:sz w:val="21"/>
                <w:szCs w:val="21"/>
                <w:lang w:val="ro-RO" w:eastAsia="ro-RO"/>
                <w14:ligatures w14:val="none"/>
              </w:rPr>
              <w:t>10% x „Coș venituri” 0/6/12/24SM sau 10% x VB/72SM</w:t>
            </w:r>
          </w:p>
        </w:tc>
        <w:tc>
          <w:tcPr>
            <w:tcW w:w="1807" w:type="dxa"/>
            <w:noWrap/>
            <w:hideMark/>
          </w:tcPr>
          <w:p w14:paraId="37CEA1FE" w14:textId="30E3BD5B" w:rsidR="00183275" w:rsidRPr="00834B27" w:rsidRDefault="00183275" w:rsidP="002C034F">
            <w:pPr>
              <w:spacing w:after="160" w:line="276" w:lineRule="auto"/>
              <w:jc w:val="both"/>
              <w:rPr>
                <w:rFonts w:ascii="Calibri" w:eastAsia="Times New Roman" w:hAnsi="Calibri" w:cs="Calibri"/>
                <w:color w:val="000000"/>
                <w:kern w:val="0"/>
                <w:sz w:val="21"/>
                <w:szCs w:val="21"/>
                <w:lang w:val="ro-RO" w:eastAsia="ro-RO"/>
                <w14:ligatures w14:val="none"/>
              </w:rPr>
            </w:pPr>
            <w:r w:rsidRPr="00834B27">
              <w:rPr>
                <w:rFonts w:ascii="Calibri" w:eastAsia="Times New Roman" w:hAnsi="Calibri" w:cs="Calibri"/>
                <w:color w:val="000000"/>
                <w:kern w:val="0"/>
                <w:sz w:val="21"/>
                <w:szCs w:val="21"/>
                <w:lang w:val="ro-RO" w:eastAsia="ro-RO"/>
                <w14:ligatures w14:val="none"/>
              </w:rPr>
              <w:t xml:space="preserve">7% - </w:t>
            </w:r>
            <w:r w:rsidR="0085451D" w:rsidRPr="00834B27">
              <w:rPr>
                <w:rFonts w:ascii="Calibri" w:eastAsia="Times New Roman" w:hAnsi="Calibri" w:cs="Calibri"/>
                <w:color w:val="000000"/>
                <w:kern w:val="0"/>
                <w:sz w:val="21"/>
                <w:szCs w:val="21"/>
                <w:lang w:val="ro-RO" w:eastAsia="ro-RO"/>
                <w14:ligatures w14:val="none"/>
              </w:rPr>
              <w:t>16%</w:t>
            </w:r>
            <w:r w:rsidRPr="00834B27">
              <w:rPr>
                <w:rFonts w:ascii="Calibri" w:eastAsia="Times New Roman" w:hAnsi="Calibri" w:cs="Calibri"/>
                <w:color w:val="000000"/>
                <w:kern w:val="0"/>
                <w:sz w:val="21"/>
                <w:szCs w:val="21"/>
                <w:lang w:val="ro-RO" w:eastAsia="ro-RO"/>
                <w14:ligatures w14:val="none"/>
              </w:rPr>
              <w:t>%</w:t>
            </w:r>
          </w:p>
        </w:tc>
      </w:tr>
      <w:tr w:rsidR="00183275" w:rsidRPr="00834B27" w14:paraId="01F4B043" w14:textId="77777777" w:rsidTr="00AA3B84">
        <w:trPr>
          <w:trHeight w:val="300"/>
        </w:trPr>
        <w:tc>
          <w:tcPr>
            <w:tcW w:w="1808" w:type="dxa"/>
            <w:noWrap/>
            <w:hideMark/>
          </w:tcPr>
          <w:p w14:paraId="08D8900A" w14:textId="2B8258B8" w:rsidR="00183275" w:rsidRPr="00834B27" w:rsidRDefault="00183275" w:rsidP="00B91E74">
            <w:pPr>
              <w:spacing w:after="160" w:line="276" w:lineRule="auto"/>
              <w:jc w:val="both"/>
              <w:rPr>
                <w:rFonts w:ascii="Calibri" w:eastAsia="Times New Roman" w:hAnsi="Calibri" w:cs="Calibri"/>
                <w:color w:val="000000"/>
                <w:kern w:val="0"/>
                <w:sz w:val="21"/>
                <w:szCs w:val="21"/>
                <w:lang w:val="ro-RO" w:eastAsia="ro-RO"/>
                <w14:ligatures w14:val="none"/>
              </w:rPr>
            </w:pPr>
            <w:r w:rsidRPr="00834B27">
              <w:rPr>
                <w:rFonts w:ascii="Calibri" w:eastAsia="Times New Roman" w:hAnsi="Calibri" w:cs="Calibri"/>
                <w:color w:val="000000"/>
                <w:kern w:val="0"/>
                <w:sz w:val="21"/>
                <w:szCs w:val="21"/>
                <w:lang w:val="ro-RO" w:eastAsia="ro-RO"/>
                <w14:ligatures w14:val="none"/>
              </w:rPr>
              <w:t>Investi</w:t>
            </w:r>
            <w:r w:rsidR="00D77C4B" w:rsidRPr="00834B27">
              <w:rPr>
                <w:rFonts w:ascii="Calibri" w:eastAsia="Times New Roman" w:hAnsi="Calibri" w:cs="Calibri"/>
                <w:color w:val="000000"/>
                <w:kern w:val="0"/>
                <w:sz w:val="21"/>
                <w:szCs w:val="21"/>
                <w:lang w:val="ro-RO" w:eastAsia="ro-RO"/>
                <w14:ligatures w14:val="none"/>
              </w:rPr>
              <w:t>ț</w:t>
            </w:r>
            <w:r w:rsidRPr="00834B27">
              <w:rPr>
                <w:rFonts w:ascii="Calibri" w:eastAsia="Times New Roman" w:hAnsi="Calibri" w:cs="Calibri"/>
                <w:color w:val="000000"/>
                <w:kern w:val="0"/>
                <w:sz w:val="21"/>
                <w:szCs w:val="21"/>
                <w:lang w:val="ro-RO" w:eastAsia="ro-RO"/>
                <w14:ligatures w14:val="none"/>
              </w:rPr>
              <w:t>ii</w:t>
            </w:r>
          </w:p>
        </w:tc>
        <w:tc>
          <w:tcPr>
            <w:tcW w:w="2121" w:type="dxa"/>
            <w:noWrap/>
            <w:hideMark/>
          </w:tcPr>
          <w:p w14:paraId="771A7744" w14:textId="77777777" w:rsidR="00183275" w:rsidRPr="00834B27" w:rsidRDefault="00183275" w:rsidP="002C034F">
            <w:pPr>
              <w:spacing w:after="160" w:line="276" w:lineRule="auto"/>
              <w:jc w:val="both"/>
              <w:rPr>
                <w:rFonts w:ascii="Calibri" w:eastAsia="Times New Roman" w:hAnsi="Calibri" w:cs="Calibri"/>
                <w:color w:val="000000"/>
                <w:kern w:val="0"/>
                <w:sz w:val="21"/>
                <w:szCs w:val="21"/>
                <w:lang w:val="ro-RO" w:eastAsia="ro-RO"/>
                <w14:ligatures w14:val="none"/>
              </w:rPr>
            </w:pPr>
            <w:r w:rsidRPr="00834B27">
              <w:rPr>
                <w:rFonts w:ascii="Calibri" w:eastAsia="Times New Roman" w:hAnsi="Calibri" w:cs="Calibri"/>
                <w:color w:val="000000"/>
                <w:kern w:val="0"/>
                <w:sz w:val="21"/>
                <w:szCs w:val="21"/>
                <w:lang w:val="ro-RO" w:eastAsia="ro-RO"/>
                <w14:ligatures w14:val="none"/>
              </w:rPr>
              <w:t>0%/1%/3%/10%/16% x VB</w:t>
            </w:r>
          </w:p>
        </w:tc>
        <w:tc>
          <w:tcPr>
            <w:tcW w:w="1807" w:type="dxa"/>
            <w:noWrap/>
            <w:hideMark/>
          </w:tcPr>
          <w:p w14:paraId="4D5E6F47" w14:textId="77777777" w:rsidR="00183275" w:rsidRPr="00834B27" w:rsidRDefault="00183275" w:rsidP="002C034F">
            <w:pPr>
              <w:spacing w:after="160" w:line="276" w:lineRule="auto"/>
              <w:jc w:val="both"/>
              <w:rPr>
                <w:rFonts w:ascii="Calibri" w:eastAsia="Times New Roman" w:hAnsi="Calibri" w:cs="Calibri"/>
                <w:color w:val="000000"/>
                <w:kern w:val="0"/>
                <w:sz w:val="21"/>
                <w:szCs w:val="21"/>
                <w:lang w:val="ro-RO" w:eastAsia="ro-RO"/>
                <w14:ligatures w14:val="none"/>
              </w:rPr>
            </w:pPr>
            <w:r w:rsidRPr="00834B27">
              <w:rPr>
                <w:rFonts w:ascii="Calibri" w:eastAsia="Times New Roman" w:hAnsi="Calibri" w:cs="Calibri"/>
                <w:color w:val="000000"/>
                <w:kern w:val="0"/>
                <w:sz w:val="21"/>
                <w:szCs w:val="21"/>
                <w:lang w:val="ro-RO" w:eastAsia="ro-RO"/>
                <w14:ligatures w14:val="none"/>
              </w:rPr>
              <w:t>0%</w:t>
            </w:r>
          </w:p>
        </w:tc>
        <w:tc>
          <w:tcPr>
            <w:tcW w:w="1807" w:type="dxa"/>
            <w:noWrap/>
            <w:hideMark/>
          </w:tcPr>
          <w:p w14:paraId="3ADFCF22" w14:textId="77777777" w:rsidR="00183275" w:rsidRPr="00834B27" w:rsidRDefault="00183275" w:rsidP="002C034F">
            <w:pPr>
              <w:spacing w:after="160" w:line="276" w:lineRule="auto"/>
              <w:jc w:val="both"/>
              <w:rPr>
                <w:rFonts w:ascii="Calibri" w:eastAsia="Times New Roman" w:hAnsi="Calibri" w:cs="Calibri"/>
                <w:color w:val="000000"/>
                <w:kern w:val="0"/>
                <w:sz w:val="21"/>
                <w:szCs w:val="21"/>
                <w:lang w:val="ro-RO" w:eastAsia="ro-RO"/>
                <w14:ligatures w14:val="none"/>
              </w:rPr>
            </w:pPr>
            <w:r w:rsidRPr="00834B27">
              <w:rPr>
                <w:rFonts w:ascii="Calibri" w:eastAsia="Times New Roman" w:hAnsi="Calibri" w:cs="Calibri"/>
                <w:color w:val="000000"/>
                <w:kern w:val="0"/>
                <w:sz w:val="21"/>
                <w:szCs w:val="21"/>
                <w:lang w:val="ro-RO" w:eastAsia="ro-RO"/>
                <w14:ligatures w14:val="none"/>
              </w:rPr>
              <w:t>10% x „Coș venituri” 0/6/12/24SM</w:t>
            </w:r>
          </w:p>
        </w:tc>
        <w:tc>
          <w:tcPr>
            <w:tcW w:w="1807" w:type="dxa"/>
            <w:noWrap/>
            <w:hideMark/>
          </w:tcPr>
          <w:p w14:paraId="371A2B1C" w14:textId="66DA24E7" w:rsidR="00183275" w:rsidRPr="00834B27" w:rsidRDefault="00183275" w:rsidP="002C034F">
            <w:pPr>
              <w:spacing w:after="160" w:line="276" w:lineRule="auto"/>
              <w:jc w:val="both"/>
              <w:rPr>
                <w:rFonts w:ascii="Calibri" w:eastAsia="Times New Roman" w:hAnsi="Calibri" w:cs="Calibri"/>
                <w:color w:val="000000"/>
                <w:kern w:val="0"/>
                <w:sz w:val="21"/>
                <w:szCs w:val="21"/>
                <w:lang w:val="ro-RO" w:eastAsia="ro-RO"/>
                <w14:ligatures w14:val="none"/>
              </w:rPr>
            </w:pPr>
            <w:r w:rsidRPr="00834B27">
              <w:rPr>
                <w:rFonts w:ascii="Calibri" w:eastAsia="Times New Roman" w:hAnsi="Calibri" w:cs="Calibri"/>
                <w:color w:val="000000"/>
                <w:kern w:val="0"/>
                <w:sz w:val="21"/>
                <w:szCs w:val="21"/>
                <w:lang w:val="ro-RO" w:eastAsia="ro-RO"/>
                <w14:ligatures w14:val="none"/>
              </w:rPr>
              <w:t>0% - 24,</w:t>
            </w:r>
            <w:r w:rsidR="005041A8" w:rsidRPr="00834B27">
              <w:rPr>
                <w:rFonts w:ascii="Calibri" w:eastAsia="Times New Roman" w:hAnsi="Calibri" w:cs="Calibri"/>
                <w:color w:val="000000"/>
                <w:kern w:val="0"/>
                <w:sz w:val="21"/>
                <w:szCs w:val="21"/>
                <w:lang w:val="ro-RO" w:eastAsia="ro-RO"/>
                <w14:ligatures w14:val="none"/>
              </w:rPr>
              <w:t>4</w:t>
            </w:r>
          </w:p>
        </w:tc>
      </w:tr>
      <w:tr w:rsidR="00183275" w:rsidRPr="00834B27" w14:paraId="0069E49B" w14:textId="77777777" w:rsidTr="00AA3B84">
        <w:trPr>
          <w:trHeight w:val="300"/>
        </w:trPr>
        <w:tc>
          <w:tcPr>
            <w:tcW w:w="1808" w:type="dxa"/>
            <w:noWrap/>
            <w:hideMark/>
          </w:tcPr>
          <w:p w14:paraId="231A9AB6" w14:textId="77777777" w:rsidR="00183275" w:rsidRPr="00834B27" w:rsidRDefault="00183275" w:rsidP="00B91E74">
            <w:pPr>
              <w:spacing w:after="160" w:line="276" w:lineRule="auto"/>
              <w:jc w:val="both"/>
              <w:rPr>
                <w:rFonts w:ascii="Calibri" w:eastAsia="Times New Roman" w:hAnsi="Calibri" w:cs="Calibri"/>
                <w:color w:val="000000"/>
                <w:kern w:val="0"/>
                <w:sz w:val="21"/>
                <w:szCs w:val="21"/>
                <w:lang w:val="ro-RO" w:eastAsia="ro-RO"/>
                <w14:ligatures w14:val="none"/>
              </w:rPr>
            </w:pPr>
            <w:r w:rsidRPr="00834B27">
              <w:rPr>
                <w:rFonts w:ascii="Calibri" w:eastAsia="Times New Roman" w:hAnsi="Calibri" w:cs="Calibri"/>
                <w:color w:val="000000"/>
                <w:kern w:val="0"/>
                <w:sz w:val="21"/>
                <w:szCs w:val="21"/>
                <w:lang w:val="ro-RO" w:eastAsia="ro-RO"/>
                <w14:ligatures w14:val="none"/>
              </w:rPr>
              <w:t>Pensii</w:t>
            </w:r>
          </w:p>
        </w:tc>
        <w:tc>
          <w:tcPr>
            <w:tcW w:w="2121" w:type="dxa"/>
            <w:noWrap/>
            <w:hideMark/>
          </w:tcPr>
          <w:p w14:paraId="4EADFD94" w14:textId="77777777" w:rsidR="00183275" w:rsidRPr="00834B27" w:rsidRDefault="00183275" w:rsidP="002C034F">
            <w:pPr>
              <w:spacing w:after="160" w:line="276" w:lineRule="auto"/>
              <w:jc w:val="both"/>
              <w:rPr>
                <w:rFonts w:ascii="Calibri" w:eastAsia="Times New Roman" w:hAnsi="Calibri" w:cs="Calibri"/>
                <w:color w:val="000000"/>
                <w:kern w:val="0"/>
                <w:sz w:val="21"/>
                <w:szCs w:val="21"/>
                <w:lang w:val="ro-RO" w:eastAsia="ro-RO"/>
                <w14:ligatures w14:val="none"/>
              </w:rPr>
            </w:pPr>
            <w:r w:rsidRPr="00834B27">
              <w:rPr>
                <w:rFonts w:ascii="Calibri" w:eastAsia="Times New Roman" w:hAnsi="Calibri" w:cs="Calibri"/>
                <w:color w:val="000000"/>
                <w:kern w:val="0"/>
                <w:sz w:val="21"/>
                <w:szCs w:val="21"/>
                <w:lang w:val="ro-RO" w:eastAsia="ro-RO"/>
                <w14:ligatures w14:val="none"/>
              </w:rPr>
              <w:t>0%/10% x VB</w:t>
            </w:r>
          </w:p>
        </w:tc>
        <w:tc>
          <w:tcPr>
            <w:tcW w:w="1807" w:type="dxa"/>
            <w:noWrap/>
            <w:hideMark/>
          </w:tcPr>
          <w:p w14:paraId="03E5EFDC" w14:textId="77777777" w:rsidR="00183275" w:rsidRPr="00834B27" w:rsidRDefault="00183275" w:rsidP="002C034F">
            <w:pPr>
              <w:spacing w:after="160" w:line="276" w:lineRule="auto"/>
              <w:jc w:val="both"/>
              <w:rPr>
                <w:rFonts w:ascii="Calibri" w:eastAsia="Times New Roman" w:hAnsi="Calibri" w:cs="Calibri"/>
                <w:color w:val="000000"/>
                <w:kern w:val="0"/>
                <w:sz w:val="21"/>
                <w:szCs w:val="21"/>
                <w:lang w:val="ro-RO" w:eastAsia="ro-RO"/>
                <w14:ligatures w14:val="none"/>
              </w:rPr>
            </w:pPr>
            <w:r w:rsidRPr="00834B27">
              <w:rPr>
                <w:rFonts w:ascii="Calibri" w:eastAsia="Times New Roman" w:hAnsi="Calibri" w:cs="Calibri"/>
                <w:color w:val="000000"/>
                <w:kern w:val="0"/>
                <w:sz w:val="21"/>
                <w:szCs w:val="21"/>
                <w:lang w:val="ro-RO" w:eastAsia="ro-RO"/>
                <w14:ligatures w14:val="none"/>
              </w:rPr>
              <w:t>0%</w:t>
            </w:r>
          </w:p>
        </w:tc>
        <w:tc>
          <w:tcPr>
            <w:tcW w:w="1807" w:type="dxa"/>
            <w:noWrap/>
            <w:hideMark/>
          </w:tcPr>
          <w:p w14:paraId="272F7D47" w14:textId="77777777" w:rsidR="00183275" w:rsidRPr="00834B27" w:rsidRDefault="00183275" w:rsidP="002C034F">
            <w:pPr>
              <w:spacing w:after="160" w:line="276" w:lineRule="auto"/>
              <w:jc w:val="both"/>
              <w:rPr>
                <w:rFonts w:ascii="Calibri" w:eastAsia="Times New Roman" w:hAnsi="Calibri" w:cs="Calibri"/>
                <w:color w:val="000000"/>
                <w:kern w:val="0"/>
                <w:sz w:val="21"/>
                <w:szCs w:val="21"/>
                <w:lang w:val="ro-RO" w:eastAsia="ro-RO"/>
                <w14:ligatures w14:val="none"/>
              </w:rPr>
            </w:pPr>
            <w:r w:rsidRPr="00834B27">
              <w:rPr>
                <w:rFonts w:ascii="Calibri" w:eastAsia="Times New Roman" w:hAnsi="Calibri" w:cs="Calibri"/>
                <w:color w:val="000000"/>
                <w:kern w:val="0"/>
                <w:sz w:val="21"/>
                <w:szCs w:val="21"/>
                <w:lang w:val="ro-RO" w:eastAsia="ro-RO"/>
                <w14:ligatures w14:val="none"/>
              </w:rPr>
              <w:t>0%/10%</w:t>
            </w:r>
          </w:p>
        </w:tc>
        <w:tc>
          <w:tcPr>
            <w:tcW w:w="1807" w:type="dxa"/>
            <w:noWrap/>
            <w:hideMark/>
          </w:tcPr>
          <w:p w14:paraId="63E5C2AA" w14:textId="77777777" w:rsidR="00183275" w:rsidRPr="00834B27" w:rsidRDefault="00183275" w:rsidP="002C034F">
            <w:pPr>
              <w:spacing w:after="160" w:line="276" w:lineRule="auto"/>
              <w:jc w:val="both"/>
              <w:rPr>
                <w:rFonts w:ascii="Calibri" w:eastAsia="Times New Roman" w:hAnsi="Calibri" w:cs="Calibri"/>
                <w:color w:val="000000"/>
                <w:kern w:val="0"/>
                <w:sz w:val="21"/>
                <w:szCs w:val="21"/>
                <w:lang w:val="ro-RO" w:eastAsia="ro-RO"/>
                <w14:ligatures w14:val="none"/>
              </w:rPr>
            </w:pPr>
            <w:r w:rsidRPr="00834B27">
              <w:rPr>
                <w:rFonts w:ascii="Calibri" w:eastAsia="Times New Roman" w:hAnsi="Calibri" w:cs="Calibri"/>
                <w:color w:val="000000"/>
                <w:kern w:val="0"/>
                <w:sz w:val="21"/>
                <w:szCs w:val="21"/>
                <w:lang w:val="ro-RO" w:eastAsia="ro-RO"/>
                <w14:ligatures w14:val="none"/>
              </w:rPr>
              <w:t>0% - 19%</w:t>
            </w:r>
          </w:p>
        </w:tc>
      </w:tr>
      <w:tr w:rsidR="00183275" w:rsidRPr="00834B27" w14:paraId="7CD00288" w14:textId="77777777" w:rsidTr="00AA3B84">
        <w:trPr>
          <w:trHeight w:val="300"/>
        </w:trPr>
        <w:tc>
          <w:tcPr>
            <w:tcW w:w="1808" w:type="dxa"/>
            <w:noWrap/>
            <w:hideMark/>
          </w:tcPr>
          <w:p w14:paraId="7973B08C" w14:textId="03057815" w:rsidR="00183275" w:rsidRPr="00834B27" w:rsidRDefault="00183275" w:rsidP="00B91E74">
            <w:pPr>
              <w:spacing w:after="160" w:line="276" w:lineRule="auto"/>
              <w:jc w:val="both"/>
              <w:rPr>
                <w:rFonts w:ascii="Calibri" w:eastAsia="Times New Roman" w:hAnsi="Calibri" w:cs="Calibri"/>
                <w:color w:val="000000"/>
                <w:kern w:val="0"/>
                <w:sz w:val="21"/>
                <w:szCs w:val="21"/>
                <w:lang w:val="ro-RO" w:eastAsia="ro-RO"/>
                <w14:ligatures w14:val="none"/>
              </w:rPr>
            </w:pPr>
            <w:r w:rsidRPr="00834B27">
              <w:rPr>
                <w:rFonts w:ascii="Calibri" w:eastAsia="Times New Roman" w:hAnsi="Calibri" w:cs="Calibri"/>
                <w:color w:val="000000"/>
                <w:kern w:val="0"/>
                <w:sz w:val="21"/>
                <w:szCs w:val="21"/>
                <w:lang w:val="ro-RO" w:eastAsia="ro-RO"/>
                <w14:ligatures w14:val="none"/>
              </w:rPr>
              <w:t>Activită</w:t>
            </w:r>
            <w:r w:rsidR="00D77C4B" w:rsidRPr="00834B27">
              <w:rPr>
                <w:rFonts w:ascii="Calibri" w:eastAsia="Times New Roman" w:hAnsi="Calibri" w:cs="Calibri"/>
                <w:color w:val="000000"/>
                <w:kern w:val="0"/>
                <w:sz w:val="21"/>
                <w:szCs w:val="21"/>
                <w:lang w:val="ro-RO" w:eastAsia="ro-RO"/>
                <w14:ligatures w14:val="none"/>
              </w:rPr>
              <w:t>ț</w:t>
            </w:r>
            <w:r w:rsidRPr="00834B27">
              <w:rPr>
                <w:rFonts w:ascii="Calibri" w:eastAsia="Times New Roman" w:hAnsi="Calibri" w:cs="Calibri"/>
                <w:color w:val="000000"/>
                <w:kern w:val="0"/>
                <w:sz w:val="21"/>
                <w:szCs w:val="21"/>
                <w:lang w:val="ro-RO" w:eastAsia="ro-RO"/>
                <w14:ligatures w14:val="none"/>
              </w:rPr>
              <w:t>i agricole, silvicultură, piscicultură</w:t>
            </w:r>
          </w:p>
        </w:tc>
        <w:tc>
          <w:tcPr>
            <w:tcW w:w="2121" w:type="dxa"/>
            <w:noWrap/>
            <w:hideMark/>
          </w:tcPr>
          <w:p w14:paraId="6648EB70" w14:textId="77777777" w:rsidR="00183275" w:rsidRPr="00834B27" w:rsidRDefault="00183275" w:rsidP="002C034F">
            <w:pPr>
              <w:spacing w:after="160" w:line="276" w:lineRule="auto"/>
              <w:jc w:val="both"/>
              <w:rPr>
                <w:rFonts w:ascii="Calibri" w:eastAsia="Times New Roman" w:hAnsi="Calibri" w:cs="Calibri"/>
                <w:color w:val="000000"/>
                <w:kern w:val="0"/>
                <w:sz w:val="21"/>
                <w:szCs w:val="21"/>
                <w:lang w:val="ro-RO" w:eastAsia="ro-RO"/>
                <w14:ligatures w14:val="none"/>
              </w:rPr>
            </w:pPr>
            <w:r w:rsidRPr="00834B27">
              <w:rPr>
                <w:rFonts w:ascii="Calibri" w:eastAsia="Times New Roman" w:hAnsi="Calibri" w:cs="Calibri"/>
                <w:color w:val="000000"/>
                <w:kern w:val="0"/>
                <w:sz w:val="21"/>
                <w:szCs w:val="21"/>
                <w:lang w:val="ro-RO" w:eastAsia="ro-RO"/>
                <w14:ligatures w14:val="none"/>
              </w:rPr>
              <w:t>10% x norme de venit/venit impozabil din contabilitatea în partidă simplă</w:t>
            </w:r>
          </w:p>
        </w:tc>
        <w:tc>
          <w:tcPr>
            <w:tcW w:w="1807" w:type="dxa"/>
            <w:noWrap/>
            <w:hideMark/>
          </w:tcPr>
          <w:p w14:paraId="167D043A" w14:textId="59C69C8A" w:rsidR="00183275" w:rsidRPr="00834B27" w:rsidRDefault="004A3806" w:rsidP="002C034F">
            <w:pPr>
              <w:spacing w:after="160" w:line="276" w:lineRule="auto"/>
              <w:jc w:val="both"/>
              <w:rPr>
                <w:rFonts w:ascii="Calibri" w:eastAsia="Times New Roman" w:hAnsi="Calibri" w:cs="Calibri"/>
                <w:color w:val="000000"/>
                <w:kern w:val="0"/>
                <w:sz w:val="21"/>
                <w:szCs w:val="21"/>
                <w:lang w:val="ro-RO" w:eastAsia="ro-RO"/>
                <w14:ligatures w14:val="none"/>
              </w:rPr>
            </w:pPr>
            <w:r w:rsidRPr="00834B27">
              <w:rPr>
                <w:rFonts w:ascii="Calibri" w:eastAsia="Times New Roman" w:hAnsi="Calibri" w:cs="Calibri"/>
                <w:color w:val="000000"/>
                <w:kern w:val="0"/>
                <w:sz w:val="21"/>
                <w:szCs w:val="21"/>
                <w:lang w:val="ro-RO" w:eastAsia="ro-RO"/>
                <w14:ligatures w14:val="none"/>
              </w:rPr>
              <w:t>0%</w:t>
            </w:r>
          </w:p>
        </w:tc>
        <w:tc>
          <w:tcPr>
            <w:tcW w:w="1807" w:type="dxa"/>
            <w:noWrap/>
            <w:hideMark/>
          </w:tcPr>
          <w:p w14:paraId="5517E50F" w14:textId="77777777" w:rsidR="00183275" w:rsidRPr="00834B27" w:rsidRDefault="00183275" w:rsidP="002C034F">
            <w:pPr>
              <w:spacing w:after="160" w:line="276" w:lineRule="auto"/>
              <w:jc w:val="both"/>
              <w:rPr>
                <w:rFonts w:ascii="Calibri" w:eastAsia="Times New Roman" w:hAnsi="Calibri" w:cs="Calibri"/>
                <w:color w:val="000000"/>
                <w:kern w:val="0"/>
                <w:sz w:val="21"/>
                <w:szCs w:val="21"/>
                <w:lang w:val="ro-RO" w:eastAsia="ro-RO"/>
                <w14:ligatures w14:val="none"/>
              </w:rPr>
            </w:pPr>
            <w:r w:rsidRPr="00834B27">
              <w:rPr>
                <w:rFonts w:ascii="Calibri" w:eastAsia="Times New Roman" w:hAnsi="Calibri" w:cs="Calibri"/>
                <w:color w:val="000000"/>
                <w:kern w:val="0"/>
                <w:sz w:val="21"/>
                <w:szCs w:val="21"/>
                <w:lang w:val="ro-RO" w:eastAsia="ro-RO"/>
                <w14:ligatures w14:val="none"/>
              </w:rPr>
              <w:t>10% x „Coș venituri” 0/6/12/24SM</w:t>
            </w:r>
          </w:p>
        </w:tc>
        <w:tc>
          <w:tcPr>
            <w:tcW w:w="1807" w:type="dxa"/>
            <w:noWrap/>
            <w:hideMark/>
          </w:tcPr>
          <w:p w14:paraId="10BB4EF0" w14:textId="3370462E" w:rsidR="00183275" w:rsidRPr="00834B27" w:rsidRDefault="00183275" w:rsidP="002C034F">
            <w:pPr>
              <w:spacing w:after="160" w:line="276" w:lineRule="auto"/>
              <w:jc w:val="both"/>
              <w:rPr>
                <w:rFonts w:ascii="Calibri" w:eastAsia="Times New Roman" w:hAnsi="Calibri" w:cs="Calibri"/>
                <w:color w:val="000000"/>
                <w:kern w:val="0"/>
                <w:sz w:val="21"/>
                <w:szCs w:val="21"/>
                <w:lang w:val="ro-RO" w:eastAsia="ro-RO"/>
                <w14:ligatures w14:val="none"/>
              </w:rPr>
            </w:pPr>
            <w:r w:rsidRPr="00834B27">
              <w:rPr>
                <w:rFonts w:ascii="Calibri" w:eastAsia="Times New Roman" w:hAnsi="Calibri" w:cs="Calibri"/>
                <w:color w:val="000000"/>
                <w:kern w:val="0"/>
                <w:sz w:val="21"/>
                <w:szCs w:val="21"/>
                <w:lang w:val="ro-RO" w:eastAsia="ro-RO"/>
                <w14:ligatures w14:val="none"/>
              </w:rPr>
              <w:t xml:space="preserve">10% - </w:t>
            </w:r>
            <w:r w:rsidR="00576C4E" w:rsidRPr="00834B27">
              <w:rPr>
                <w:rFonts w:ascii="Calibri" w:eastAsia="Times New Roman" w:hAnsi="Calibri" w:cs="Calibri"/>
                <w:color w:val="000000"/>
                <w:kern w:val="0"/>
                <w:sz w:val="21"/>
                <w:szCs w:val="21"/>
                <w:lang w:val="ro-RO" w:eastAsia="ro-RO"/>
                <w14:ligatures w14:val="none"/>
              </w:rPr>
              <w:t>20</w:t>
            </w:r>
            <w:r w:rsidRPr="00834B27">
              <w:rPr>
                <w:rFonts w:ascii="Calibri" w:eastAsia="Times New Roman" w:hAnsi="Calibri" w:cs="Calibri"/>
                <w:color w:val="000000"/>
                <w:kern w:val="0"/>
                <w:sz w:val="21"/>
                <w:szCs w:val="21"/>
                <w:lang w:val="ro-RO" w:eastAsia="ro-RO"/>
                <w14:ligatures w14:val="none"/>
              </w:rPr>
              <w:t>%</w:t>
            </w:r>
          </w:p>
        </w:tc>
      </w:tr>
      <w:tr w:rsidR="00183275" w:rsidRPr="00834B27" w14:paraId="1533A7DD" w14:textId="77777777" w:rsidTr="00AA3B84">
        <w:trPr>
          <w:trHeight w:val="300"/>
        </w:trPr>
        <w:tc>
          <w:tcPr>
            <w:tcW w:w="1808" w:type="dxa"/>
            <w:noWrap/>
            <w:hideMark/>
          </w:tcPr>
          <w:p w14:paraId="52FE2832" w14:textId="77777777" w:rsidR="00183275" w:rsidRPr="00834B27" w:rsidRDefault="00183275" w:rsidP="00B91E74">
            <w:pPr>
              <w:spacing w:after="160" w:line="276" w:lineRule="auto"/>
              <w:jc w:val="both"/>
              <w:rPr>
                <w:rFonts w:ascii="Calibri" w:eastAsia="Times New Roman" w:hAnsi="Calibri" w:cs="Calibri"/>
                <w:color w:val="000000"/>
                <w:kern w:val="0"/>
                <w:sz w:val="21"/>
                <w:szCs w:val="21"/>
                <w:lang w:val="ro-RO" w:eastAsia="ro-RO"/>
                <w14:ligatures w14:val="none"/>
              </w:rPr>
            </w:pPr>
            <w:r w:rsidRPr="00834B27">
              <w:rPr>
                <w:rFonts w:ascii="Calibri" w:eastAsia="Times New Roman" w:hAnsi="Calibri" w:cs="Calibri"/>
                <w:color w:val="000000"/>
                <w:kern w:val="0"/>
                <w:sz w:val="21"/>
                <w:szCs w:val="21"/>
                <w:lang w:val="ro-RO" w:eastAsia="ro-RO"/>
                <w14:ligatures w14:val="none"/>
              </w:rPr>
              <w:t>Premii și jocuri de noroc</w:t>
            </w:r>
          </w:p>
        </w:tc>
        <w:tc>
          <w:tcPr>
            <w:tcW w:w="2121" w:type="dxa"/>
            <w:noWrap/>
            <w:hideMark/>
          </w:tcPr>
          <w:p w14:paraId="7B58EBB0" w14:textId="77777777" w:rsidR="00183275" w:rsidRPr="00834B27" w:rsidRDefault="00183275" w:rsidP="002C034F">
            <w:pPr>
              <w:spacing w:after="160" w:line="276" w:lineRule="auto"/>
              <w:jc w:val="both"/>
              <w:rPr>
                <w:rFonts w:ascii="Calibri" w:eastAsia="Times New Roman" w:hAnsi="Calibri" w:cs="Calibri"/>
                <w:color w:val="000000"/>
                <w:kern w:val="0"/>
                <w:sz w:val="21"/>
                <w:szCs w:val="21"/>
                <w:lang w:val="ro-RO" w:eastAsia="ro-RO"/>
                <w14:ligatures w14:val="none"/>
              </w:rPr>
            </w:pPr>
            <w:r w:rsidRPr="00834B27">
              <w:rPr>
                <w:rFonts w:ascii="Calibri" w:eastAsia="Times New Roman" w:hAnsi="Calibri" w:cs="Calibri"/>
                <w:color w:val="000000"/>
                <w:kern w:val="0"/>
                <w:sz w:val="21"/>
                <w:szCs w:val="21"/>
                <w:lang w:val="ro-RO" w:eastAsia="ro-RO"/>
                <w14:ligatures w14:val="none"/>
              </w:rPr>
              <w:t>0% - 40% x VB</w:t>
            </w:r>
          </w:p>
        </w:tc>
        <w:tc>
          <w:tcPr>
            <w:tcW w:w="1807" w:type="dxa"/>
            <w:noWrap/>
            <w:hideMark/>
          </w:tcPr>
          <w:p w14:paraId="1D56C3DD" w14:textId="77777777" w:rsidR="00183275" w:rsidRPr="00834B27" w:rsidRDefault="00183275" w:rsidP="002C034F">
            <w:pPr>
              <w:spacing w:after="160" w:line="276" w:lineRule="auto"/>
              <w:jc w:val="both"/>
              <w:rPr>
                <w:rFonts w:ascii="Calibri" w:eastAsia="Times New Roman" w:hAnsi="Calibri" w:cs="Calibri"/>
                <w:color w:val="000000"/>
                <w:kern w:val="0"/>
                <w:sz w:val="21"/>
                <w:szCs w:val="21"/>
                <w:lang w:val="ro-RO" w:eastAsia="ro-RO"/>
                <w14:ligatures w14:val="none"/>
              </w:rPr>
            </w:pPr>
            <w:r w:rsidRPr="00834B27">
              <w:rPr>
                <w:rFonts w:ascii="Calibri" w:eastAsia="Times New Roman" w:hAnsi="Calibri" w:cs="Calibri"/>
                <w:color w:val="000000"/>
                <w:kern w:val="0"/>
                <w:sz w:val="21"/>
                <w:szCs w:val="21"/>
                <w:lang w:val="ro-RO" w:eastAsia="ro-RO"/>
                <w14:ligatures w14:val="none"/>
              </w:rPr>
              <w:t>0%</w:t>
            </w:r>
          </w:p>
        </w:tc>
        <w:tc>
          <w:tcPr>
            <w:tcW w:w="1807" w:type="dxa"/>
            <w:noWrap/>
            <w:hideMark/>
          </w:tcPr>
          <w:p w14:paraId="24A4B1C1" w14:textId="77777777" w:rsidR="00183275" w:rsidRPr="00834B27" w:rsidRDefault="00183275" w:rsidP="002C034F">
            <w:pPr>
              <w:spacing w:after="160" w:line="276" w:lineRule="auto"/>
              <w:jc w:val="both"/>
              <w:rPr>
                <w:rFonts w:ascii="Calibri" w:eastAsia="Times New Roman" w:hAnsi="Calibri" w:cs="Calibri"/>
                <w:color w:val="000000"/>
                <w:kern w:val="0"/>
                <w:sz w:val="21"/>
                <w:szCs w:val="21"/>
                <w:lang w:val="ro-RO" w:eastAsia="ro-RO"/>
                <w14:ligatures w14:val="none"/>
              </w:rPr>
            </w:pPr>
            <w:r w:rsidRPr="00834B27">
              <w:rPr>
                <w:rFonts w:ascii="Calibri" w:eastAsia="Times New Roman" w:hAnsi="Calibri" w:cs="Calibri"/>
                <w:color w:val="000000"/>
                <w:kern w:val="0"/>
                <w:sz w:val="21"/>
                <w:szCs w:val="21"/>
                <w:lang w:val="ro-RO" w:eastAsia="ro-RO"/>
                <w14:ligatures w14:val="none"/>
              </w:rPr>
              <w:t>0%</w:t>
            </w:r>
          </w:p>
        </w:tc>
        <w:tc>
          <w:tcPr>
            <w:tcW w:w="1807" w:type="dxa"/>
            <w:noWrap/>
            <w:hideMark/>
          </w:tcPr>
          <w:p w14:paraId="5D4402FE" w14:textId="77777777" w:rsidR="00183275" w:rsidRPr="00834B27" w:rsidRDefault="00183275" w:rsidP="002C034F">
            <w:pPr>
              <w:spacing w:after="160" w:line="276" w:lineRule="auto"/>
              <w:jc w:val="both"/>
              <w:rPr>
                <w:rFonts w:ascii="Calibri" w:eastAsia="Times New Roman" w:hAnsi="Calibri" w:cs="Calibri"/>
                <w:color w:val="000000"/>
                <w:kern w:val="0"/>
                <w:sz w:val="21"/>
                <w:szCs w:val="21"/>
                <w:lang w:val="ro-RO" w:eastAsia="ro-RO"/>
                <w14:ligatures w14:val="none"/>
              </w:rPr>
            </w:pPr>
            <w:r w:rsidRPr="00834B27">
              <w:rPr>
                <w:rFonts w:ascii="Calibri" w:eastAsia="Times New Roman" w:hAnsi="Calibri" w:cs="Calibri"/>
                <w:color w:val="000000"/>
                <w:kern w:val="0"/>
                <w:sz w:val="21"/>
                <w:szCs w:val="21"/>
                <w:lang w:val="ro-RO" w:eastAsia="ro-RO"/>
                <w14:ligatures w14:val="none"/>
              </w:rPr>
              <w:t>0% - 40%</w:t>
            </w:r>
          </w:p>
        </w:tc>
      </w:tr>
      <w:tr w:rsidR="00183275" w:rsidRPr="00834B27" w14:paraId="1FA07701" w14:textId="77777777" w:rsidTr="00AA3B84">
        <w:trPr>
          <w:trHeight w:val="300"/>
        </w:trPr>
        <w:tc>
          <w:tcPr>
            <w:tcW w:w="1808" w:type="dxa"/>
            <w:noWrap/>
            <w:hideMark/>
          </w:tcPr>
          <w:p w14:paraId="79BB77BD" w14:textId="77777777" w:rsidR="00183275" w:rsidRPr="00834B27" w:rsidRDefault="00183275" w:rsidP="00B91E74">
            <w:pPr>
              <w:spacing w:after="160" w:line="276" w:lineRule="auto"/>
              <w:jc w:val="both"/>
              <w:rPr>
                <w:rFonts w:ascii="Calibri" w:eastAsia="Times New Roman" w:hAnsi="Calibri" w:cs="Calibri"/>
                <w:color w:val="000000"/>
                <w:kern w:val="0"/>
                <w:sz w:val="21"/>
                <w:szCs w:val="21"/>
                <w:lang w:val="ro-RO" w:eastAsia="ro-RO"/>
                <w14:ligatures w14:val="none"/>
              </w:rPr>
            </w:pPr>
            <w:r w:rsidRPr="00834B27">
              <w:rPr>
                <w:rFonts w:ascii="Calibri" w:eastAsia="Times New Roman" w:hAnsi="Calibri" w:cs="Calibri"/>
                <w:color w:val="000000"/>
                <w:kern w:val="0"/>
                <w:sz w:val="21"/>
                <w:szCs w:val="21"/>
                <w:lang w:val="ro-RO" w:eastAsia="ro-RO"/>
                <w14:ligatures w14:val="none"/>
              </w:rPr>
              <w:t>Imobile personale</w:t>
            </w:r>
          </w:p>
        </w:tc>
        <w:tc>
          <w:tcPr>
            <w:tcW w:w="2121" w:type="dxa"/>
            <w:noWrap/>
            <w:hideMark/>
          </w:tcPr>
          <w:p w14:paraId="27ED7F2E" w14:textId="77777777" w:rsidR="00183275" w:rsidRPr="00834B27" w:rsidRDefault="00183275" w:rsidP="002C034F">
            <w:pPr>
              <w:spacing w:after="160" w:line="276" w:lineRule="auto"/>
              <w:jc w:val="both"/>
              <w:rPr>
                <w:rFonts w:ascii="Calibri" w:eastAsia="Times New Roman" w:hAnsi="Calibri" w:cs="Calibri"/>
                <w:color w:val="000000"/>
                <w:kern w:val="0"/>
                <w:sz w:val="21"/>
                <w:szCs w:val="21"/>
                <w:lang w:val="ro-RO" w:eastAsia="ro-RO"/>
                <w14:ligatures w14:val="none"/>
              </w:rPr>
            </w:pPr>
            <w:r w:rsidRPr="00834B27">
              <w:rPr>
                <w:rFonts w:ascii="Calibri" w:eastAsia="Times New Roman" w:hAnsi="Calibri" w:cs="Calibri"/>
                <w:color w:val="000000"/>
                <w:kern w:val="0"/>
                <w:sz w:val="21"/>
                <w:szCs w:val="21"/>
                <w:lang w:val="ro-RO" w:eastAsia="ro-RO"/>
                <w14:ligatures w14:val="none"/>
              </w:rPr>
              <w:t>1% - 3% x VB</w:t>
            </w:r>
          </w:p>
        </w:tc>
        <w:tc>
          <w:tcPr>
            <w:tcW w:w="1807" w:type="dxa"/>
            <w:noWrap/>
            <w:hideMark/>
          </w:tcPr>
          <w:p w14:paraId="5D34C261" w14:textId="77777777" w:rsidR="00183275" w:rsidRPr="00834B27" w:rsidRDefault="00183275" w:rsidP="002C034F">
            <w:pPr>
              <w:spacing w:after="160" w:line="276" w:lineRule="auto"/>
              <w:jc w:val="both"/>
              <w:rPr>
                <w:rFonts w:ascii="Calibri" w:eastAsia="Times New Roman" w:hAnsi="Calibri" w:cs="Calibri"/>
                <w:color w:val="000000"/>
                <w:kern w:val="0"/>
                <w:sz w:val="21"/>
                <w:szCs w:val="21"/>
                <w:lang w:val="ro-RO" w:eastAsia="ro-RO"/>
                <w14:ligatures w14:val="none"/>
              </w:rPr>
            </w:pPr>
            <w:r w:rsidRPr="00834B27">
              <w:rPr>
                <w:rFonts w:ascii="Calibri" w:eastAsia="Times New Roman" w:hAnsi="Calibri" w:cs="Calibri"/>
                <w:color w:val="000000"/>
                <w:kern w:val="0"/>
                <w:sz w:val="21"/>
                <w:szCs w:val="21"/>
                <w:lang w:val="ro-RO" w:eastAsia="ro-RO"/>
                <w14:ligatures w14:val="none"/>
              </w:rPr>
              <w:t>0%</w:t>
            </w:r>
          </w:p>
        </w:tc>
        <w:tc>
          <w:tcPr>
            <w:tcW w:w="1807" w:type="dxa"/>
            <w:noWrap/>
            <w:hideMark/>
          </w:tcPr>
          <w:p w14:paraId="4C11E5B2" w14:textId="77777777" w:rsidR="00183275" w:rsidRPr="00834B27" w:rsidRDefault="00183275" w:rsidP="002C034F">
            <w:pPr>
              <w:spacing w:after="160" w:line="276" w:lineRule="auto"/>
              <w:jc w:val="both"/>
              <w:rPr>
                <w:rFonts w:ascii="Calibri" w:eastAsia="Times New Roman" w:hAnsi="Calibri" w:cs="Calibri"/>
                <w:color w:val="000000"/>
                <w:kern w:val="0"/>
                <w:sz w:val="21"/>
                <w:szCs w:val="21"/>
                <w:lang w:val="ro-RO" w:eastAsia="ro-RO"/>
                <w14:ligatures w14:val="none"/>
              </w:rPr>
            </w:pPr>
            <w:r w:rsidRPr="00834B27">
              <w:rPr>
                <w:rFonts w:ascii="Calibri" w:eastAsia="Times New Roman" w:hAnsi="Calibri" w:cs="Calibri"/>
                <w:color w:val="000000"/>
                <w:kern w:val="0"/>
                <w:sz w:val="21"/>
                <w:szCs w:val="21"/>
                <w:lang w:val="ro-RO" w:eastAsia="ro-RO"/>
                <w14:ligatures w14:val="none"/>
              </w:rPr>
              <w:t>0%</w:t>
            </w:r>
          </w:p>
        </w:tc>
        <w:tc>
          <w:tcPr>
            <w:tcW w:w="1807" w:type="dxa"/>
            <w:noWrap/>
            <w:hideMark/>
          </w:tcPr>
          <w:p w14:paraId="65A5AB10" w14:textId="77777777" w:rsidR="00183275" w:rsidRPr="00834B27" w:rsidRDefault="00183275" w:rsidP="002C034F">
            <w:pPr>
              <w:spacing w:after="160" w:line="276" w:lineRule="auto"/>
              <w:jc w:val="both"/>
              <w:rPr>
                <w:rFonts w:ascii="Calibri" w:eastAsia="Times New Roman" w:hAnsi="Calibri" w:cs="Calibri"/>
                <w:color w:val="000000"/>
                <w:kern w:val="0"/>
                <w:sz w:val="21"/>
                <w:szCs w:val="21"/>
                <w:lang w:val="ro-RO" w:eastAsia="ro-RO"/>
                <w14:ligatures w14:val="none"/>
              </w:rPr>
            </w:pPr>
            <w:r w:rsidRPr="00834B27">
              <w:rPr>
                <w:rFonts w:ascii="Calibri" w:eastAsia="Times New Roman" w:hAnsi="Calibri" w:cs="Calibri"/>
                <w:color w:val="000000"/>
                <w:kern w:val="0"/>
                <w:sz w:val="21"/>
                <w:szCs w:val="21"/>
                <w:lang w:val="ro-RO" w:eastAsia="ro-RO"/>
                <w14:ligatures w14:val="none"/>
              </w:rPr>
              <w:t>1% - 3%</w:t>
            </w:r>
          </w:p>
        </w:tc>
      </w:tr>
      <w:tr w:rsidR="00183275" w:rsidRPr="00834B27" w14:paraId="7FC552A4" w14:textId="77777777" w:rsidTr="00AA3B84">
        <w:trPr>
          <w:trHeight w:val="300"/>
        </w:trPr>
        <w:tc>
          <w:tcPr>
            <w:tcW w:w="1808" w:type="dxa"/>
            <w:noWrap/>
            <w:hideMark/>
          </w:tcPr>
          <w:p w14:paraId="6A02344F" w14:textId="77777777" w:rsidR="00183275" w:rsidRPr="00834B27" w:rsidRDefault="00183275" w:rsidP="00B91E74">
            <w:pPr>
              <w:spacing w:after="160" w:line="276" w:lineRule="auto"/>
              <w:jc w:val="both"/>
              <w:rPr>
                <w:rFonts w:ascii="Calibri" w:eastAsia="Times New Roman" w:hAnsi="Calibri" w:cs="Calibri"/>
                <w:color w:val="000000"/>
                <w:kern w:val="0"/>
                <w:sz w:val="21"/>
                <w:szCs w:val="21"/>
                <w:lang w:val="ro-RO" w:eastAsia="ro-RO"/>
                <w14:ligatures w14:val="none"/>
              </w:rPr>
            </w:pPr>
            <w:r w:rsidRPr="00834B27">
              <w:rPr>
                <w:rFonts w:ascii="Calibri" w:eastAsia="Times New Roman" w:hAnsi="Calibri" w:cs="Calibri"/>
                <w:color w:val="000000"/>
                <w:kern w:val="0"/>
                <w:sz w:val="21"/>
                <w:szCs w:val="21"/>
                <w:lang w:val="ro-RO" w:eastAsia="ro-RO"/>
                <w14:ligatures w14:val="none"/>
              </w:rPr>
              <w:t>Alte surse</w:t>
            </w:r>
          </w:p>
        </w:tc>
        <w:tc>
          <w:tcPr>
            <w:tcW w:w="2121" w:type="dxa"/>
            <w:noWrap/>
            <w:hideMark/>
          </w:tcPr>
          <w:p w14:paraId="719D9775" w14:textId="77777777" w:rsidR="00183275" w:rsidRPr="00834B27" w:rsidRDefault="00183275" w:rsidP="002C034F">
            <w:pPr>
              <w:spacing w:after="160" w:line="276" w:lineRule="auto"/>
              <w:jc w:val="both"/>
              <w:rPr>
                <w:rFonts w:ascii="Calibri" w:eastAsia="Times New Roman" w:hAnsi="Calibri" w:cs="Calibri"/>
                <w:color w:val="000000"/>
                <w:kern w:val="0"/>
                <w:sz w:val="21"/>
                <w:szCs w:val="21"/>
                <w:lang w:val="ro-RO" w:eastAsia="ro-RO"/>
                <w14:ligatures w14:val="none"/>
              </w:rPr>
            </w:pPr>
            <w:r w:rsidRPr="00834B27">
              <w:rPr>
                <w:rFonts w:ascii="Calibri" w:eastAsia="Times New Roman" w:hAnsi="Calibri" w:cs="Calibri"/>
                <w:color w:val="000000"/>
                <w:kern w:val="0"/>
                <w:sz w:val="21"/>
                <w:szCs w:val="21"/>
                <w:lang w:val="ro-RO" w:eastAsia="ro-RO"/>
                <w14:ligatures w14:val="none"/>
              </w:rPr>
              <w:t>10%/16% x VB</w:t>
            </w:r>
          </w:p>
        </w:tc>
        <w:tc>
          <w:tcPr>
            <w:tcW w:w="1807" w:type="dxa"/>
            <w:noWrap/>
            <w:hideMark/>
          </w:tcPr>
          <w:p w14:paraId="45C85EC3" w14:textId="77777777" w:rsidR="00183275" w:rsidRPr="00834B27" w:rsidRDefault="00183275" w:rsidP="002C034F">
            <w:pPr>
              <w:spacing w:after="160" w:line="276" w:lineRule="auto"/>
              <w:jc w:val="both"/>
              <w:rPr>
                <w:rFonts w:ascii="Calibri" w:eastAsia="Times New Roman" w:hAnsi="Calibri" w:cs="Calibri"/>
                <w:color w:val="000000"/>
                <w:kern w:val="0"/>
                <w:sz w:val="21"/>
                <w:szCs w:val="21"/>
                <w:lang w:val="ro-RO" w:eastAsia="ro-RO"/>
                <w14:ligatures w14:val="none"/>
              </w:rPr>
            </w:pPr>
            <w:r w:rsidRPr="00834B27">
              <w:rPr>
                <w:rFonts w:ascii="Calibri" w:eastAsia="Times New Roman" w:hAnsi="Calibri" w:cs="Calibri"/>
                <w:color w:val="000000"/>
                <w:kern w:val="0"/>
                <w:sz w:val="21"/>
                <w:szCs w:val="21"/>
                <w:lang w:val="ro-RO" w:eastAsia="ro-RO"/>
                <w14:ligatures w14:val="none"/>
              </w:rPr>
              <w:t>0%</w:t>
            </w:r>
          </w:p>
        </w:tc>
        <w:tc>
          <w:tcPr>
            <w:tcW w:w="1807" w:type="dxa"/>
            <w:noWrap/>
            <w:hideMark/>
          </w:tcPr>
          <w:p w14:paraId="32E8310A" w14:textId="77777777" w:rsidR="00183275" w:rsidRPr="00834B27" w:rsidRDefault="00183275" w:rsidP="002C034F">
            <w:pPr>
              <w:spacing w:after="160" w:line="276" w:lineRule="auto"/>
              <w:jc w:val="both"/>
              <w:rPr>
                <w:rFonts w:ascii="Calibri" w:eastAsia="Times New Roman" w:hAnsi="Calibri" w:cs="Calibri"/>
                <w:color w:val="000000"/>
                <w:kern w:val="0"/>
                <w:sz w:val="21"/>
                <w:szCs w:val="21"/>
                <w:lang w:val="ro-RO" w:eastAsia="ro-RO"/>
                <w14:ligatures w14:val="none"/>
              </w:rPr>
            </w:pPr>
            <w:r w:rsidRPr="00834B27">
              <w:rPr>
                <w:rFonts w:ascii="Calibri" w:eastAsia="Times New Roman" w:hAnsi="Calibri" w:cs="Calibri"/>
                <w:color w:val="000000"/>
                <w:kern w:val="0"/>
                <w:sz w:val="21"/>
                <w:szCs w:val="21"/>
                <w:lang w:val="ro-RO" w:eastAsia="ro-RO"/>
                <w14:ligatures w14:val="none"/>
              </w:rPr>
              <w:t>10% x „Coș venituri” 0/6/12/24SM</w:t>
            </w:r>
          </w:p>
        </w:tc>
        <w:tc>
          <w:tcPr>
            <w:tcW w:w="1807" w:type="dxa"/>
            <w:noWrap/>
            <w:hideMark/>
          </w:tcPr>
          <w:p w14:paraId="10AE0A14" w14:textId="754129B3" w:rsidR="00183275" w:rsidRPr="00834B27" w:rsidRDefault="00183275" w:rsidP="002C034F">
            <w:pPr>
              <w:spacing w:after="160" w:line="276" w:lineRule="auto"/>
              <w:jc w:val="both"/>
              <w:rPr>
                <w:rFonts w:ascii="Calibri" w:eastAsia="Times New Roman" w:hAnsi="Calibri" w:cs="Calibri"/>
                <w:color w:val="000000"/>
                <w:kern w:val="0"/>
                <w:sz w:val="21"/>
                <w:szCs w:val="21"/>
                <w:lang w:val="ro-RO" w:eastAsia="ro-RO"/>
                <w14:ligatures w14:val="none"/>
              </w:rPr>
            </w:pPr>
            <w:r w:rsidRPr="00834B27">
              <w:rPr>
                <w:rFonts w:ascii="Calibri" w:eastAsia="Times New Roman" w:hAnsi="Calibri" w:cs="Calibri"/>
                <w:color w:val="000000"/>
                <w:kern w:val="0"/>
                <w:sz w:val="21"/>
                <w:szCs w:val="21"/>
                <w:lang w:val="ro-RO" w:eastAsia="ro-RO"/>
                <w14:ligatures w14:val="none"/>
              </w:rPr>
              <w:t>10% - 2</w:t>
            </w:r>
            <w:r w:rsidR="00922F31" w:rsidRPr="00834B27">
              <w:rPr>
                <w:rFonts w:ascii="Calibri" w:eastAsia="Times New Roman" w:hAnsi="Calibri" w:cs="Calibri"/>
                <w:color w:val="000000"/>
                <w:kern w:val="0"/>
                <w:sz w:val="21"/>
                <w:szCs w:val="21"/>
                <w:lang w:val="ro-RO" w:eastAsia="ro-RO"/>
                <w14:ligatures w14:val="none"/>
              </w:rPr>
              <w:t>6</w:t>
            </w:r>
            <w:r w:rsidRPr="00834B27">
              <w:rPr>
                <w:rFonts w:ascii="Calibri" w:eastAsia="Times New Roman" w:hAnsi="Calibri" w:cs="Calibri"/>
                <w:color w:val="000000"/>
                <w:kern w:val="0"/>
                <w:sz w:val="21"/>
                <w:szCs w:val="21"/>
                <w:lang w:val="ro-RO" w:eastAsia="ro-RO"/>
                <w14:ligatures w14:val="none"/>
              </w:rPr>
              <w:t>%</w:t>
            </w:r>
          </w:p>
        </w:tc>
      </w:tr>
      <w:tr w:rsidR="00183275" w:rsidRPr="00834B27" w14:paraId="00A55938" w14:textId="77777777" w:rsidTr="00AA3B84">
        <w:trPr>
          <w:trHeight w:val="300"/>
        </w:trPr>
        <w:tc>
          <w:tcPr>
            <w:tcW w:w="1808" w:type="dxa"/>
            <w:noWrap/>
            <w:hideMark/>
          </w:tcPr>
          <w:p w14:paraId="50005251" w14:textId="77777777" w:rsidR="00183275" w:rsidRPr="00834B27" w:rsidRDefault="00183275" w:rsidP="00B91E74">
            <w:pPr>
              <w:spacing w:after="160" w:line="276" w:lineRule="auto"/>
              <w:jc w:val="both"/>
              <w:rPr>
                <w:rFonts w:ascii="Calibri" w:eastAsia="Times New Roman" w:hAnsi="Calibri" w:cs="Calibri"/>
                <w:color w:val="000000"/>
                <w:kern w:val="0"/>
                <w:sz w:val="21"/>
                <w:szCs w:val="21"/>
                <w:lang w:val="ro-RO" w:eastAsia="ro-RO"/>
                <w14:ligatures w14:val="none"/>
              </w:rPr>
            </w:pPr>
            <w:r w:rsidRPr="00834B27">
              <w:rPr>
                <w:rFonts w:ascii="Calibri" w:eastAsia="Times New Roman" w:hAnsi="Calibri" w:cs="Calibri"/>
                <w:color w:val="000000"/>
                <w:kern w:val="0"/>
                <w:sz w:val="21"/>
                <w:szCs w:val="21"/>
                <w:lang w:val="ro-RO" w:eastAsia="ro-RO"/>
                <w14:ligatures w14:val="none"/>
              </w:rPr>
              <w:t>Sume ce nu pot fi justificate</w:t>
            </w:r>
          </w:p>
        </w:tc>
        <w:tc>
          <w:tcPr>
            <w:tcW w:w="2121" w:type="dxa"/>
            <w:noWrap/>
            <w:hideMark/>
          </w:tcPr>
          <w:p w14:paraId="3762C744" w14:textId="77777777" w:rsidR="00183275" w:rsidRPr="00834B27" w:rsidRDefault="00183275" w:rsidP="002C034F">
            <w:pPr>
              <w:spacing w:after="160" w:line="276" w:lineRule="auto"/>
              <w:jc w:val="both"/>
              <w:rPr>
                <w:rFonts w:ascii="Calibri" w:eastAsia="Times New Roman" w:hAnsi="Calibri" w:cs="Calibri"/>
                <w:color w:val="000000"/>
                <w:kern w:val="0"/>
                <w:sz w:val="21"/>
                <w:szCs w:val="21"/>
                <w:lang w:val="ro-RO" w:eastAsia="ro-RO"/>
                <w14:ligatures w14:val="none"/>
              </w:rPr>
            </w:pPr>
            <w:r w:rsidRPr="00834B27">
              <w:rPr>
                <w:rFonts w:ascii="Calibri" w:eastAsia="Times New Roman" w:hAnsi="Calibri" w:cs="Calibri"/>
                <w:color w:val="000000"/>
                <w:kern w:val="0"/>
                <w:sz w:val="21"/>
                <w:szCs w:val="21"/>
                <w:lang w:val="ro-RO" w:eastAsia="ro-RO"/>
                <w14:ligatures w14:val="none"/>
              </w:rPr>
              <w:t>70% x VB</w:t>
            </w:r>
          </w:p>
        </w:tc>
        <w:tc>
          <w:tcPr>
            <w:tcW w:w="1807" w:type="dxa"/>
            <w:noWrap/>
            <w:hideMark/>
          </w:tcPr>
          <w:p w14:paraId="63834D60" w14:textId="77777777" w:rsidR="00183275" w:rsidRPr="00834B27" w:rsidRDefault="00183275" w:rsidP="002C034F">
            <w:pPr>
              <w:spacing w:after="160" w:line="276" w:lineRule="auto"/>
              <w:jc w:val="both"/>
              <w:rPr>
                <w:rFonts w:ascii="Calibri" w:eastAsia="Times New Roman" w:hAnsi="Calibri" w:cs="Calibri"/>
                <w:color w:val="000000"/>
                <w:kern w:val="0"/>
                <w:sz w:val="21"/>
                <w:szCs w:val="21"/>
                <w:lang w:val="ro-RO" w:eastAsia="ro-RO"/>
                <w14:ligatures w14:val="none"/>
              </w:rPr>
            </w:pPr>
            <w:r w:rsidRPr="00834B27">
              <w:rPr>
                <w:rFonts w:ascii="Calibri" w:eastAsia="Times New Roman" w:hAnsi="Calibri" w:cs="Calibri"/>
                <w:color w:val="000000"/>
                <w:kern w:val="0"/>
                <w:sz w:val="21"/>
                <w:szCs w:val="21"/>
                <w:lang w:val="ro-RO" w:eastAsia="ro-RO"/>
                <w14:ligatures w14:val="none"/>
              </w:rPr>
              <w:t>N/A</w:t>
            </w:r>
          </w:p>
        </w:tc>
        <w:tc>
          <w:tcPr>
            <w:tcW w:w="1807" w:type="dxa"/>
            <w:noWrap/>
            <w:hideMark/>
          </w:tcPr>
          <w:p w14:paraId="3F3C3544" w14:textId="77777777" w:rsidR="00183275" w:rsidRPr="00834B27" w:rsidRDefault="00183275" w:rsidP="002C034F">
            <w:pPr>
              <w:spacing w:after="160" w:line="276" w:lineRule="auto"/>
              <w:jc w:val="both"/>
              <w:rPr>
                <w:rFonts w:ascii="Calibri" w:eastAsia="Times New Roman" w:hAnsi="Calibri" w:cs="Calibri"/>
                <w:color w:val="000000"/>
                <w:kern w:val="0"/>
                <w:sz w:val="21"/>
                <w:szCs w:val="21"/>
                <w:lang w:val="ro-RO" w:eastAsia="ro-RO"/>
                <w14:ligatures w14:val="none"/>
              </w:rPr>
            </w:pPr>
            <w:r w:rsidRPr="00834B27">
              <w:rPr>
                <w:rFonts w:ascii="Calibri" w:eastAsia="Times New Roman" w:hAnsi="Calibri" w:cs="Calibri"/>
                <w:color w:val="000000"/>
                <w:kern w:val="0"/>
                <w:sz w:val="21"/>
                <w:szCs w:val="21"/>
                <w:lang w:val="ro-RO" w:eastAsia="ro-RO"/>
                <w14:ligatures w14:val="none"/>
              </w:rPr>
              <w:t>N/A</w:t>
            </w:r>
          </w:p>
        </w:tc>
        <w:tc>
          <w:tcPr>
            <w:tcW w:w="1807" w:type="dxa"/>
            <w:noWrap/>
            <w:hideMark/>
          </w:tcPr>
          <w:p w14:paraId="03D43FEF" w14:textId="77777777" w:rsidR="00183275" w:rsidRPr="00834B27" w:rsidRDefault="00183275" w:rsidP="002C034F">
            <w:pPr>
              <w:spacing w:after="160" w:line="276" w:lineRule="auto"/>
              <w:jc w:val="both"/>
              <w:rPr>
                <w:rFonts w:ascii="Calibri" w:eastAsia="Times New Roman" w:hAnsi="Calibri" w:cs="Calibri"/>
                <w:color w:val="000000"/>
                <w:kern w:val="0"/>
                <w:sz w:val="21"/>
                <w:szCs w:val="21"/>
                <w:lang w:val="ro-RO" w:eastAsia="ro-RO"/>
                <w14:ligatures w14:val="none"/>
              </w:rPr>
            </w:pPr>
            <w:r w:rsidRPr="00834B27">
              <w:rPr>
                <w:rFonts w:ascii="Calibri" w:eastAsia="Times New Roman" w:hAnsi="Calibri" w:cs="Calibri"/>
                <w:color w:val="000000"/>
                <w:kern w:val="0"/>
                <w:sz w:val="21"/>
                <w:szCs w:val="21"/>
                <w:lang w:val="ro-RO" w:eastAsia="ro-RO"/>
                <w14:ligatures w14:val="none"/>
              </w:rPr>
              <w:t>70%</w:t>
            </w:r>
          </w:p>
        </w:tc>
      </w:tr>
    </w:tbl>
    <w:p w14:paraId="69590682" w14:textId="77777777" w:rsidR="008A49CC" w:rsidRPr="00834B27" w:rsidRDefault="008A49CC" w:rsidP="00B91E74">
      <w:pPr>
        <w:spacing w:line="276" w:lineRule="auto"/>
        <w:jc w:val="both"/>
        <w:rPr>
          <w:rFonts w:ascii="Calibri" w:hAnsi="Calibri" w:cs="Calibri"/>
          <w:lang w:val="ro-RO"/>
        </w:rPr>
      </w:pPr>
    </w:p>
    <w:p w14:paraId="2E440364" w14:textId="5551ACD7" w:rsidR="008A49CC" w:rsidRPr="00834B27" w:rsidRDefault="00594355" w:rsidP="00F21165">
      <w:pPr>
        <w:keepNext/>
        <w:spacing w:line="276" w:lineRule="auto"/>
        <w:jc w:val="both"/>
        <w:rPr>
          <w:rFonts w:ascii="Calibri" w:hAnsi="Calibri" w:cs="Calibri"/>
          <w:lang w:val="ro-RO"/>
        </w:rPr>
      </w:pPr>
      <w:r w:rsidRPr="00834B27">
        <w:rPr>
          <w:rFonts w:ascii="Calibri" w:hAnsi="Calibri" w:cs="Calibri"/>
          <w:lang w:val="ro-RO"/>
        </w:rPr>
        <w:lastRenderedPageBreak/>
        <w:t>O astfel de fragmentare</w:t>
      </w:r>
      <w:r w:rsidR="001E14A6" w:rsidRPr="00834B27">
        <w:rPr>
          <w:rFonts w:ascii="Calibri" w:hAnsi="Calibri" w:cs="Calibri"/>
          <w:lang w:val="ro-RO"/>
        </w:rPr>
        <w:t xml:space="preserve"> prezint</w:t>
      </w:r>
      <w:r w:rsidR="00124B42" w:rsidRPr="00834B27">
        <w:rPr>
          <w:rFonts w:ascii="Calibri" w:hAnsi="Calibri" w:cs="Calibri"/>
          <w:lang w:val="ro-RO"/>
        </w:rPr>
        <w:t>ă</w:t>
      </w:r>
      <w:r w:rsidR="001E14A6" w:rsidRPr="00834B27">
        <w:rPr>
          <w:rFonts w:ascii="Calibri" w:hAnsi="Calibri" w:cs="Calibri"/>
          <w:lang w:val="ro-RO"/>
        </w:rPr>
        <w:t xml:space="preserve"> </w:t>
      </w:r>
      <w:r w:rsidR="00124B42" w:rsidRPr="00834B27">
        <w:rPr>
          <w:rFonts w:ascii="Calibri" w:hAnsi="Calibri" w:cs="Calibri"/>
          <w:lang w:val="ro-RO"/>
        </w:rPr>
        <w:t>câteva</w:t>
      </w:r>
      <w:r w:rsidR="001E14A6" w:rsidRPr="00834B27">
        <w:rPr>
          <w:rFonts w:ascii="Calibri" w:hAnsi="Calibri" w:cs="Calibri"/>
          <w:lang w:val="ro-RO"/>
        </w:rPr>
        <w:t xml:space="preserve"> dezavantaje majore:</w:t>
      </w:r>
    </w:p>
    <w:p w14:paraId="50648717" w14:textId="0E31D26B" w:rsidR="001E14A6" w:rsidRPr="00834B27" w:rsidRDefault="00124B42" w:rsidP="00F21165">
      <w:pPr>
        <w:pStyle w:val="Listparagraf"/>
        <w:keepNext/>
        <w:numPr>
          <w:ilvl w:val="0"/>
          <w:numId w:val="1"/>
        </w:numPr>
        <w:spacing w:line="276" w:lineRule="auto"/>
        <w:ind w:left="360"/>
        <w:contextualSpacing w:val="0"/>
        <w:jc w:val="both"/>
        <w:rPr>
          <w:rFonts w:ascii="Calibri" w:hAnsi="Calibri" w:cs="Calibri"/>
          <w:lang w:val="ro-RO"/>
        </w:rPr>
      </w:pPr>
      <w:r w:rsidRPr="00834B27">
        <w:rPr>
          <w:rFonts w:ascii="Calibri" w:hAnsi="Calibri" w:cs="Calibri"/>
          <w:lang w:val="ro-RO"/>
        </w:rPr>
        <w:t>Î</w:t>
      </w:r>
      <w:r w:rsidR="002A49DB" w:rsidRPr="00834B27">
        <w:rPr>
          <w:rFonts w:ascii="Calibri" w:hAnsi="Calibri" w:cs="Calibri"/>
          <w:lang w:val="ro-RO"/>
        </w:rPr>
        <w:t xml:space="preserve">n primul </w:t>
      </w:r>
      <w:r w:rsidRPr="00834B27">
        <w:rPr>
          <w:rFonts w:ascii="Calibri" w:hAnsi="Calibri" w:cs="Calibri"/>
          <w:lang w:val="ro-RO"/>
        </w:rPr>
        <w:t>rând</w:t>
      </w:r>
      <w:r w:rsidR="002A49DB" w:rsidRPr="00834B27">
        <w:rPr>
          <w:rFonts w:ascii="Calibri" w:hAnsi="Calibri" w:cs="Calibri"/>
          <w:lang w:val="ro-RO"/>
        </w:rPr>
        <w:t xml:space="preserve">, </w:t>
      </w:r>
      <w:r w:rsidRPr="00834B27">
        <w:rPr>
          <w:rFonts w:ascii="Calibri" w:hAnsi="Calibri" w:cs="Calibri"/>
          <w:lang w:val="ro-RO"/>
        </w:rPr>
        <w:t>creează</w:t>
      </w:r>
      <w:r w:rsidR="002A49DB" w:rsidRPr="00834B27">
        <w:rPr>
          <w:rFonts w:ascii="Calibri" w:hAnsi="Calibri" w:cs="Calibri"/>
          <w:lang w:val="ro-RO"/>
        </w:rPr>
        <w:t xml:space="preserve"> </w:t>
      </w:r>
      <w:r w:rsidRPr="00834B27">
        <w:rPr>
          <w:rFonts w:ascii="Calibri" w:hAnsi="Calibri" w:cs="Calibri"/>
          <w:lang w:val="ro-RO"/>
        </w:rPr>
        <w:t>discriminări</w:t>
      </w:r>
      <w:r w:rsidR="002A49DB" w:rsidRPr="00834B27">
        <w:rPr>
          <w:rFonts w:ascii="Calibri" w:hAnsi="Calibri" w:cs="Calibri"/>
          <w:lang w:val="ro-RO"/>
        </w:rPr>
        <w:t xml:space="preserve"> </w:t>
      </w:r>
      <w:r w:rsidRPr="00834B27">
        <w:rPr>
          <w:rFonts w:ascii="Calibri" w:hAnsi="Calibri" w:cs="Calibri"/>
          <w:lang w:val="ro-RO"/>
        </w:rPr>
        <w:t>î</w:t>
      </w:r>
      <w:r w:rsidR="00385F1C" w:rsidRPr="00834B27">
        <w:rPr>
          <w:rFonts w:ascii="Calibri" w:hAnsi="Calibri" w:cs="Calibri"/>
          <w:lang w:val="ro-RO"/>
        </w:rPr>
        <w:t xml:space="preserve">ntre </w:t>
      </w:r>
      <w:r w:rsidR="00910BAE" w:rsidRPr="00834B27">
        <w:rPr>
          <w:rFonts w:ascii="Calibri" w:hAnsi="Calibri" w:cs="Calibri"/>
          <w:lang w:val="ro-RO"/>
        </w:rPr>
        <w:t>contribuabilii</w:t>
      </w:r>
      <w:r w:rsidR="00385F1C" w:rsidRPr="00834B27">
        <w:rPr>
          <w:rFonts w:ascii="Calibri" w:hAnsi="Calibri" w:cs="Calibri"/>
          <w:lang w:val="ro-RO"/>
        </w:rPr>
        <w:t xml:space="preserve"> care – la </w:t>
      </w:r>
      <w:r w:rsidRPr="00834B27">
        <w:rPr>
          <w:rFonts w:ascii="Calibri" w:hAnsi="Calibri" w:cs="Calibri"/>
          <w:lang w:val="ro-RO"/>
        </w:rPr>
        <w:t>același</w:t>
      </w:r>
      <w:r w:rsidR="00385F1C" w:rsidRPr="00834B27">
        <w:rPr>
          <w:rFonts w:ascii="Calibri" w:hAnsi="Calibri" w:cs="Calibri"/>
          <w:lang w:val="ro-RO"/>
        </w:rPr>
        <w:t xml:space="preserve"> venit impozabil</w:t>
      </w:r>
      <w:r w:rsidR="004E4818" w:rsidRPr="00834B27">
        <w:rPr>
          <w:rFonts w:ascii="Calibri" w:hAnsi="Calibri" w:cs="Calibri"/>
          <w:lang w:val="ro-RO"/>
        </w:rPr>
        <w:t xml:space="preserve"> –</w:t>
      </w:r>
      <w:r w:rsidR="00385F1C" w:rsidRPr="00834B27">
        <w:rPr>
          <w:rFonts w:ascii="Calibri" w:hAnsi="Calibri" w:cs="Calibri"/>
          <w:lang w:val="ro-RO"/>
        </w:rPr>
        <w:t xml:space="preserve"> suport</w:t>
      </w:r>
      <w:r w:rsidR="004E4818" w:rsidRPr="00834B27">
        <w:rPr>
          <w:rFonts w:ascii="Calibri" w:hAnsi="Calibri" w:cs="Calibri"/>
          <w:lang w:val="ro-RO"/>
        </w:rPr>
        <w:t xml:space="preserve">ă </w:t>
      </w:r>
      <w:r w:rsidR="00385F1C" w:rsidRPr="00834B27">
        <w:rPr>
          <w:rFonts w:ascii="Calibri" w:hAnsi="Calibri" w:cs="Calibri"/>
          <w:lang w:val="ro-RO"/>
        </w:rPr>
        <w:t xml:space="preserve">o SFT semnificativ mai mare </w:t>
      </w:r>
      <w:r w:rsidR="00910BAE" w:rsidRPr="00834B27">
        <w:rPr>
          <w:rFonts w:ascii="Calibri" w:hAnsi="Calibri" w:cs="Calibri"/>
          <w:lang w:val="ro-RO"/>
        </w:rPr>
        <w:t>(</w:t>
      </w:r>
      <w:r w:rsidR="00163A80" w:rsidRPr="00834B27">
        <w:rPr>
          <w:rFonts w:ascii="Calibri" w:hAnsi="Calibri" w:cs="Calibri"/>
          <w:lang w:val="ro-RO"/>
        </w:rPr>
        <w:t>de exemplu,</w:t>
      </w:r>
      <w:r w:rsidR="00FE4ECB" w:rsidRPr="00834B27">
        <w:rPr>
          <w:rFonts w:ascii="Calibri" w:hAnsi="Calibri" w:cs="Calibri"/>
          <w:lang w:val="ro-RO"/>
        </w:rPr>
        <w:t xml:space="preserve"> 41,5%) </w:t>
      </w:r>
      <w:r w:rsidRPr="00834B27">
        <w:rPr>
          <w:rFonts w:ascii="Calibri" w:hAnsi="Calibri" w:cs="Calibri"/>
          <w:lang w:val="ro-RO"/>
        </w:rPr>
        <w:t>decât</w:t>
      </w:r>
      <w:r w:rsidR="00385F1C" w:rsidRPr="00834B27">
        <w:rPr>
          <w:rFonts w:ascii="Calibri" w:hAnsi="Calibri" w:cs="Calibri"/>
          <w:lang w:val="ro-RO"/>
        </w:rPr>
        <w:t xml:space="preserve"> </w:t>
      </w:r>
      <w:r w:rsidRPr="00834B27">
        <w:rPr>
          <w:rFonts w:ascii="Calibri" w:hAnsi="Calibri" w:cs="Calibri"/>
          <w:lang w:val="ro-RO"/>
        </w:rPr>
        <w:t>al</w:t>
      </w:r>
      <w:r w:rsidR="00D77C4B" w:rsidRPr="00834B27">
        <w:rPr>
          <w:rFonts w:ascii="Calibri" w:hAnsi="Calibri" w:cs="Calibri"/>
          <w:lang w:val="ro-RO"/>
        </w:rPr>
        <w:t>ț</w:t>
      </w:r>
      <w:r w:rsidRPr="00834B27">
        <w:rPr>
          <w:rFonts w:ascii="Calibri" w:hAnsi="Calibri" w:cs="Calibri"/>
          <w:lang w:val="ro-RO"/>
        </w:rPr>
        <w:t>i</w:t>
      </w:r>
      <w:r w:rsidR="00910BAE" w:rsidRPr="00834B27">
        <w:rPr>
          <w:rFonts w:ascii="Calibri" w:hAnsi="Calibri" w:cs="Calibri"/>
          <w:lang w:val="ro-RO"/>
        </w:rPr>
        <w:t xml:space="preserve"> contribuabili</w:t>
      </w:r>
      <w:r w:rsidR="003A1B12" w:rsidRPr="00834B27">
        <w:rPr>
          <w:rFonts w:ascii="Calibri" w:hAnsi="Calibri" w:cs="Calibri"/>
          <w:lang w:val="ro-RO"/>
        </w:rPr>
        <w:t xml:space="preserve"> (</w:t>
      </w:r>
      <w:r w:rsidR="00163A80" w:rsidRPr="00834B27">
        <w:rPr>
          <w:rFonts w:ascii="Calibri" w:hAnsi="Calibri" w:cs="Calibri"/>
          <w:lang w:val="ro-RO"/>
        </w:rPr>
        <w:t xml:space="preserve">de exemplu, </w:t>
      </w:r>
      <w:r w:rsidR="003A1B12" w:rsidRPr="00834B27">
        <w:rPr>
          <w:rFonts w:ascii="Calibri" w:hAnsi="Calibri" w:cs="Calibri"/>
          <w:lang w:val="ro-RO"/>
        </w:rPr>
        <w:t xml:space="preserve">6%). O astfel de </w:t>
      </w:r>
      <w:r w:rsidRPr="00834B27">
        <w:rPr>
          <w:rFonts w:ascii="Calibri" w:hAnsi="Calibri" w:cs="Calibri"/>
          <w:lang w:val="ro-RO"/>
        </w:rPr>
        <w:t>așezare</w:t>
      </w:r>
      <w:r w:rsidR="003A1B12" w:rsidRPr="00834B27">
        <w:rPr>
          <w:rFonts w:ascii="Calibri" w:hAnsi="Calibri" w:cs="Calibri"/>
          <w:lang w:val="ro-RO"/>
        </w:rPr>
        <w:t xml:space="preserve"> a SFT, </w:t>
      </w:r>
      <w:r w:rsidRPr="00834B27">
        <w:rPr>
          <w:rFonts w:ascii="Calibri" w:hAnsi="Calibri" w:cs="Calibri"/>
          <w:lang w:val="ro-RO"/>
        </w:rPr>
        <w:t>î</w:t>
      </w:r>
      <w:r w:rsidR="003A1B12" w:rsidRPr="00834B27">
        <w:rPr>
          <w:rFonts w:ascii="Calibri" w:hAnsi="Calibri" w:cs="Calibri"/>
          <w:lang w:val="ro-RO"/>
        </w:rPr>
        <w:t xml:space="preserve">n </w:t>
      </w:r>
      <w:r w:rsidRPr="00834B27">
        <w:rPr>
          <w:rFonts w:ascii="Calibri" w:hAnsi="Calibri" w:cs="Calibri"/>
          <w:lang w:val="ro-RO"/>
        </w:rPr>
        <w:t>func</w:t>
      </w:r>
      <w:r w:rsidR="00D77C4B" w:rsidRPr="00834B27">
        <w:rPr>
          <w:rFonts w:ascii="Calibri" w:hAnsi="Calibri" w:cs="Calibri"/>
          <w:lang w:val="ro-RO"/>
        </w:rPr>
        <w:t>ț</w:t>
      </w:r>
      <w:r w:rsidRPr="00834B27">
        <w:rPr>
          <w:rFonts w:ascii="Calibri" w:hAnsi="Calibri" w:cs="Calibri"/>
          <w:lang w:val="ro-RO"/>
        </w:rPr>
        <w:t>ie</w:t>
      </w:r>
      <w:r w:rsidR="003A1B12" w:rsidRPr="00834B27">
        <w:rPr>
          <w:rFonts w:ascii="Calibri" w:hAnsi="Calibri" w:cs="Calibri"/>
          <w:lang w:val="ro-RO"/>
        </w:rPr>
        <w:t xml:space="preserve"> de tipul </w:t>
      </w:r>
      <w:r w:rsidR="003F652C" w:rsidRPr="00834B27">
        <w:rPr>
          <w:rFonts w:ascii="Calibri" w:hAnsi="Calibri" w:cs="Calibri"/>
          <w:lang w:val="ro-RO"/>
        </w:rPr>
        <w:t xml:space="preserve">venitului </w:t>
      </w:r>
      <w:r w:rsidRPr="00834B27">
        <w:rPr>
          <w:rFonts w:ascii="Calibri" w:hAnsi="Calibri" w:cs="Calibri"/>
          <w:lang w:val="ro-RO"/>
        </w:rPr>
        <w:t>afectează</w:t>
      </w:r>
      <w:r w:rsidR="003F652C" w:rsidRPr="00834B27">
        <w:rPr>
          <w:rFonts w:ascii="Calibri" w:hAnsi="Calibri" w:cs="Calibri"/>
          <w:lang w:val="ro-RO"/>
        </w:rPr>
        <w:t xml:space="preserve"> chiar contractul social </w:t>
      </w:r>
      <w:r w:rsidR="00BF14D7" w:rsidRPr="00834B27">
        <w:rPr>
          <w:rFonts w:ascii="Calibri" w:hAnsi="Calibri" w:cs="Calibri"/>
          <w:lang w:val="ro-RO"/>
        </w:rPr>
        <w:t>care st</w:t>
      </w:r>
      <w:r w:rsidRPr="00834B27">
        <w:rPr>
          <w:rFonts w:ascii="Calibri" w:hAnsi="Calibri" w:cs="Calibri"/>
          <w:lang w:val="ro-RO"/>
        </w:rPr>
        <w:t>ă</w:t>
      </w:r>
      <w:r w:rsidR="00BF14D7" w:rsidRPr="00834B27">
        <w:rPr>
          <w:rFonts w:ascii="Calibri" w:hAnsi="Calibri" w:cs="Calibri"/>
          <w:lang w:val="ro-RO"/>
        </w:rPr>
        <w:t xml:space="preserve"> la baza </w:t>
      </w:r>
      <w:r w:rsidRPr="00834B27">
        <w:rPr>
          <w:rFonts w:ascii="Calibri" w:hAnsi="Calibri" w:cs="Calibri"/>
          <w:lang w:val="ro-RO"/>
        </w:rPr>
        <w:t>func</w:t>
      </w:r>
      <w:r w:rsidR="00D77C4B" w:rsidRPr="00834B27">
        <w:rPr>
          <w:rFonts w:ascii="Calibri" w:hAnsi="Calibri" w:cs="Calibri"/>
          <w:lang w:val="ro-RO"/>
        </w:rPr>
        <w:t>ț</w:t>
      </w:r>
      <w:r w:rsidRPr="00834B27">
        <w:rPr>
          <w:rFonts w:ascii="Calibri" w:hAnsi="Calibri" w:cs="Calibri"/>
          <w:lang w:val="ro-RO"/>
        </w:rPr>
        <w:t>ionării</w:t>
      </w:r>
      <w:r w:rsidR="00BF14D7" w:rsidRPr="00834B27">
        <w:rPr>
          <w:rFonts w:ascii="Calibri" w:hAnsi="Calibri" w:cs="Calibri"/>
          <w:lang w:val="ro-RO"/>
        </w:rPr>
        <w:t xml:space="preserve"> statului </w:t>
      </w:r>
      <w:r w:rsidR="00C63469" w:rsidRPr="00834B27">
        <w:rPr>
          <w:rFonts w:ascii="Calibri" w:hAnsi="Calibri" w:cs="Calibri"/>
          <w:lang w:val="ro-RO"/>
        </w:rPr>
        <w:t xml:space="preserve">(contribuim cu impozite </w:t>
      </w:r>
      <w:r w:rsidRPr="00834B27">
        <w:rPr>
          <w:rFonts w:ascii="Calibri" w:hAnsi="Calibri" w:cs="Calibri"/>
          <w:lang w:val="ro-RO"/>
        </w:rPr>
        <w:t>ș</w:t>
      </w:r>
      <w:r w:rsidR="00C63469" w:rsidRPr="00834B27">
        <w:rPr>
          <w:rFonts w:ascii="Calibri" w:hAnsi="Calibri" w:cs="Calibri"/>
          <w:lang w:val="ro-RO"/>
        </w:rPr>
        <w:t xml:space="preserve">i </w:t>
      </w:r>
      <w:r w:rsidRPr="00834B27">
        <w:rPr>
          <w:rFonts w:ascii="Calibri" w:hAnsi="Calibri" w:cs="Calibri"/>
          <w:lang w:val="ro-RO"/>
        </w:rPr>
        <w:t>contribu</w:t>
      </w:r>
      <w:r w:rsidR="00D77C4B" w:rsidRPr="00834B27">
        <w:rPr>
          <w:rFonts w:ascii="Calibri" w:hAnsi="Calibri" w:cs="Calibri"/>
          <w:lang w:val="ro-RO"/>
        </w:rPr>
        <w:t>ț</w:t>
      </w:r>
      <w:r w:rsidRPr="00834B27">
        <w:rPr>
          <w:rFonts w:ascii="Calibri" w:hAnsi="Calibri" w:cs="Calibri"/>
          <w:lang w:val="ro-RO"/>
        </w:rPr>
        <w:t>ii</w:t>
      </w:r>
      <w:r w:rsidR="00C63469" w:rsidRPr="00834B27">
        <w:rPr>
          <w:rFonts w:ascii="Calibri" w:hAnsi="Calibri" w:cs="Calibri"/>
          <w:lang w:val="ro-RO"/>
        </w:rPr>
        <w:t xml:space="preserve"> la buna </w:t>
      </w:r>
      <w:r w:rsidRPr="00834B27">
        <w:rPr>
          <w:rFonts w:ascii="Calibri" w:hAnsi="Calibri" w:cs="Calibri"/>
          <w:lang w:val="ro-RO"/>
        </w:rPr>
        <w:t>func</w:t>
      </w:r>
      <w:r w:rsidR="00D77C4B" w:rsidRPr="00834B27">
        <w:rPr>
          <w:rFonts w:ascii="Calibri" w:hAnsi="Calibri" w:cs="Calibri"/>
          <w:lang w:val="ro-RO"/>
        </w:rPr>
        <w:t>ț</w:t>
      </w:r>
      <w:r w:rsidRPr="00834B27">
        <w:rPr>
          <w:rFonts w:ascii="Calibri" w:hAnsi="Calibri" w:cs="Calibri"/>
          <w:lang w:val="ro-RO"/>
        </w:rPr>
        <w:t>ionare</w:t>
      </w:r>
      <w:r w:rsidR="00C63469" w:rsidRPr="00834B27">
        <w:rPr>
          <w:rFonts w:ascii="Calibri" w:hAnsi="Calibri" w:cs="Calibri"/>
          <w:lang w:val="ro-RO"/>
        </w:rPr>
        <w:t xml:space="preserve"> a statului</w:t>
      </w:r>
      <w:r w:rsidR="00D55C43" w:rsidRPr="00834B27">
        <w:rPr>
          <w:rFonts w:ascii="Calibri" w:hAnsi="Calibri" w:cs="Calibri"/>
          <w:lang w:val="ro-RO"/>
        </w:rPr>
        <w:t xml:space="preserve">, </w:t>
      </w:r>
      <w:r w:rsidR="007F38A1" w:rsidRPr="00834B27">
        <w:rPr>
          <w:rFonts w:ascii="Calibri" w:hAnsi="Calibri" w:cs="Calibri"/>
          <w:lang w:val="ro-RO"/>
        </w:rPr>
        <w:t>î</w:t>
      </w:r>
      <w:r w:rsidR="00D55C43" w:rsidRPr="00834B27">
        <w:rPr>
          <w:rFonts w:ascii="Calibri" w:hAnsi="Calibri" w:cs="Calibri"/>
          <w:lang w:val="ro-RO"/>
        </w:rPr>
        <w:t xml:space="preserve">n </w:t>
      </w:r>
      <w:r w:rsidR="007F38A1" w:rsidRPr="00834B27">
        <w:rPr>
          <w:rFonts w:ascii="Calibri" w:hAnsi="Calibri" w:cs="Calibri"/>
          <w:lang w:val="ro-RO"/>
        </w:rPr>
        <w:t>func</w:t>
      </w:r>
      <w:r w:rsidR="00D77C4B" w:rsidRPr="00834B27">
        <w:rPr>
          <w:rFonts w:ascii="Calibri" w:hAnsi="Calibri" w:cs="Calibri"/>
          <w:lang w:val="ro-RO"/>
        </w:rPr>
        <w:t>ț</w:t>
      </w:r>
      <w:r w:rsidR="007F38A1" w:rsidRPr="00834B27">
        <w:rPr>
          <w:rFonts w:ascii="Calibri" w:hAnsi="Calibri" w:cs="Calibri"/>
          <w:lang w:val="ro-RO"/>
        </w:rPr>
        <w:t>ie</w:t>
      </w:r>
      <w:r w:rsidR="00D55C43" w:rsidRPr="00834B27">
        <w:rPr>
          <w:rFonts w:ascii="Calibri" w:hAnsi="Calibri" w:cs="Calibri"/>
          <w:lang w:val="ro-RO"/>
        </w:rPr>
        <w:t xml:space="preserve"> de c</w:t>
      </w:r>
      <w:r w:rsidR="007F38A1" w:rsidRPr="00834B27">
        <w:rPr>
          <w:rFonts w:ascii="Calibri" w:hAnsi="Calibri" w:cs="Calibri"/>
          <w:lang w:val="ro-RO"/>
        </w:rPr>
        <w:t>â</w:t>
      </w:r>
      <w:r w:rsidR="00D55C43" w:rsidRPr="00834B27">
        <w:rPr>
          <w:rFonts w:ascii="Calibri" w:hAnsi="Calibri" w:cs="Calibri"/>
          <w:lang w:val="ro-RO"/>
        </w:rPr>
        <w:t xml:space="preserve">t </w:t>
      </w:r>
      <w:r w:rsidR="007F38A1" w:rsidRPr="00834B27">
        <w:rPr>
          <w:rFonts w:ascii="Calibri" w:hAnsi="Calibri" w:cs="Calibri"/>
          <w:lang w:val="ro-RO"/>
        </w:rPr>
        <w:t>câștigăm</w:t>
      </w:r>
      <w:r w:rsidR="00D55C43" w:rsidRPr="00834B27">
        <w:rPr>
          <w:rFonts w:ascii="Calibri" w:hAnsi="Calibri" w:cs="Calibri"/>
          <w:lang w:val="ro-RO"/>
        </w:rPr>
        <w:t>)</w:t>
      </w:r>
      <w:r w:rsidR="00C63469" w:rsidRPr="00834B27">
        <w:rPr>
          <w:rFonts w:ascii="Calibri" w:hAnsi="Calibri" w:cs="Calibri"/>
          <w:lang w:val="ro-RO"/>
        </w:rPr>
        <w:t xml:space="preserve"> </w:t>
      </w:r>
      <w:r w:rsidRPr="00834B27">
        <w:rPr>
          <w:rFonts w:ascii="Calibri" w:hAnsi="Calibri" w:cs="Calibri"/>
          <w:lang w:val="ro-RO"/>
        </w:rPr>
        <w:t>ș</w:t>
      </w:r>
      <w:r w:rsidR="00C63469" w:rsidRPr="00834B27">
        <w:rPr>
          <w:rFonts w:ascii="Calibri" w:hAnsi="Calibri" w:cs="Calibri"/>
          <w:lang w:val="ro-RO"/>
        </w:rPr>
        <w:t xml:space="preserve">i </w:t>
      </w:r>
      <w:r w:rsidRPr="00834B27">
        <w:rPr>
          <w:rFonts w:ascii="Calibri" w:hAnsi="Calibri" w:cs="Calibri"/>
          <w:lang w:val="ro-RO"/>
        </w:rPr>
        <w:t>subminează</w:t>
      </w:r>
      <w:r w:rsidR="00C63469" w:rsidRPr="00834B27">
        <w:rPr>
          <w:rFonts w:ascii="Calibri" w:hAnsi="Calibri" w:cs="Calibri"/>
          <w:lang w:val="ro-RO"/>
        </w:rPr>
        <w:t xml:space="preserve"> principiul </w:t>
      </w:r>
      <w:r w:rsidRPr="00834B27">
        <w:rPr>
          <w:rFonts w:ascii="Calibri" w:hAnsi="Calibri" w:cs="Calibri"/>
          <w:lang w:val="ro-RO"/>
        </w:rPr>
        <w:t>solidarită</w:t>
      </w:r>
      <w:r w:rsidR="00D77C4B" w:rsidRPr="00834B27">
        <w:rPr>
          <w:rFonts w:ascii="Calibri" w:hAnsi="Calibri" w:cs="Calibri"/>
          <w:lang w:val="ro-RO"/>
        </w:rPr>
        <w:t>ț</w:t>
      </w:r>
      <w:r w:rsidRPr="00834B27">
        <w:rPr>
          <w:rFonts w:ascii="Calibri" w:hAnsi="Calibri" w:cs="Calibri"/>
          <w:lang w:val="ro-RO"/>
        </w:rPr>
        <w:t>ii</w:t>
      </w:r>
      <w:r w:rsidR="00C63469" w:rsidRPr="00834B27">
        <w:rPr>
          <w:rFonts w:ascii="Calibri" w:hAnsi="Calibri" w:cs="Calibri"/>
          <w:lang w:val="ro-RO"/>
        </w:rPr>
        <w:t xml:space="preserve"> care st</w:t>
      </w:r>
      <w:r w:rsidRPr="00834B27">
        <w:rPr>
          <w:rFonts w:ascii="Calibri" w:hAnsi="Calibri" w:cs="Calibri"/>
          <w:lang w:val="ro-RO"/>
        </w:rPr>
        <w:t>ă</w:t>
      </w:r>
      <w:r w:rsidR="00C63469" w:rsidRPr="00834B27">
        <w:rPr>
          <w:rFonts w:ascii="Calibri" w:hAnsi="Calibri" w:cs="Calibri"/>
          <w:lang w:val="ro-RO"/>
        </w:rPr>
        <w:t xml:space="preserve"> la</w:t>
      </w:r>
      <w:r w:rsidRPr="00834B27">
        <w:rPr>
          <w:rFonts w:ascii="Calibri" w:hAnsi="Calibri" w:cs="Calibri"/>
          <w:lang w:val="ro-RO"/>
        </w:rPr>
        <w:t xml:space="preserve"> </w:t>
      </w:r>
      <w:r w:rsidR="00C63469" w:rsidRPr="00834B27">
        <w:rPr>
          <w:rFonts w:ascii="Calibri" w:hAnsi="Calibri" w:cs="Calibri"/>
          <w:lang w:val="ro-RO"/>
        </w:rPr>
        <w:t>baza modului de calcul al CAS (solidaritate inte</w:t>
      </w:r>
      <w:r w:rsidRPr="00834B27">
        <w:rPr>
          <w:rFonts w:ascii="Calibri" w:hAnsi="Calibri" w:cs="Calibri"/>
          <w:lang w:val="ro-RO"/>
        </w:rPr>
        <w:t>r</w:t>
      </w:r>
      <w:r w:rsidR="00C63469" w:rsidRPr="00834B27">
        <w:rPr>
          <w:rFonts w:ascii="Calibri" w:hAnsi="Calibri" w:cs="Calibri"/>
          <w:lang w:val="ro-RO"/>
        </w:rPr>
        <w:t>-genera</w:t>
      </w:r>
      <w:r w:rsidR="00D77C4B" w:rsidRPr="00834B27">
        <w:rPr>
          <w:rFonts w:ascii="Calibri" w:hAnsi="Calibri" w:cs="Calibri"/>
          <w:lang w:val="ro-RO"/>
        </w:rPr>
        <w:t>ț</w:t>
      </w:r>
      <w:r w:rsidR="00C63469" w:rsidRPr="00834B27">
        <w:rPr>
          <w:rFonts w:ascii="Calibri" w:hAnsi="Calibri" w:cs="Calibri"/>
          <w:lang w:val="ro-RO"/>
        </w:rPr>
        <w:t>ional</w:t>
      </w:r>
      <w:r w:rsidRPr="00834B27">
        <w:rPr>
          <w:rFonts w:ascii="Calibri" w:hAnsi="Calibri" w:cs="Calibri"/>
          <w:lang w:val="ro-RO"/>
        </w:rPr>
        <w:t>ă</w:t>
      </w:r>
      <w:r w:rsidR="00C63469" w:rsidRPr="00834B27">
        <w:rPr>
          <w:rFonts w:ascii="Calibri" w:hAnsi="Calibri" w:cs="Calibri"/>
          <w:lang w:val="ro-RO"/>
        </w:rPr>
        <w:t xml:space="preserve">) </w:t>
      </w:r>
      <w:r w:rsidRPr="00834B27">
        <w:rPr>
          <w:rFonts w:ascii="Calibri" w:hAnsi="Calibri" w:cs="Calibri"/>
          <w:lang w:val="ro-RO"/>
        </w:rPr>
        <w:t>ș</w:t>
      </w:r>
      <w:r w:rsidR="00C63469" w:rsidRPr="00834B27">
        <w:rPr>
          <w:rFonts w:ascii="Calibri" w:hAnsi="Calibri" w:cs="Calibri"/>
          <w:lang w:val="ro-RO"/>
        </w:rPr>
        <w:t xml:space="preserve">i al CASS (solidaritate </w:t>
      </w:r>
      <w:r w:rsidR="00022104" w:rsidRPr="00834B27">
        <w:rPr>
          <w:rFonts w:ascii="Calibri" w:hAnsi="Calibri" w:cs="Calibri"/>
          <w:lang w:val="ro-RO"/>
        </w:rPr>
        <w:t>prezent</w:t>
      </w:r>
      <w:r w:rsidRPr="00834B27">
        <w:rPr>
          <w:rFonts w:ascii="Calibri" w:hAnsi="Calibri" w:cs="Calibri"/>
          <w:lang w:val="ro-RO"/>
        </w:rPr>
        <w:t>ă</w:t>
      </w:r>
      <w:r w:rsidR="00022104" w:rsidRPr="00834B27">
        <w:rPr>
          <w:rFonts w:ascii="Calibri" w:hAnsi="Calibri" w:cs="Calibri"/>
          <w:lang w:val="ro-RO"/>
        </w:rPr>
        <w:t>);</w:t>
      </w:r>
    </w:p>
    <w:p w14:paraId="017C55BB" w14:textId="387D8189" w:rsidR="00022104" w:rsidRPr="00834B27" w:rsidRDefault="00124B42" w:rsidP="00F21165">
      <w:pPr>
        <w:pStyle w:val="Listparagraf"/>
        <w:numPr>
          <w:ilvl w:val="0"/>
          <w:numId w:val="1"/>
        </w:numPr>
        <w:spacing w:line="276" w:lineRule="auto"/>
        <w:ind w:left="360"/>
        <w:contextualSpacing w:val="0"/>
        <w:jc w:val="both"/>
        <w:rPr>
          <w:rFonts w:ascii="Calibri" w:hAnsi="Calibri" w:cs="Calibri"/>
          <w:lang w:val="ro-RO"/>
        </w:rPr>
      </w:pPr>
      <w:r w:rsidRPr="00834B27">
        <w:rPr>
          <w:rFonts w:ascii="Calibri" w:hAnsi="Calibri" w:cs="Calibri"/>
          <w:lang w:val="ro-RO"/>
        </w:rPr>
        <w:t>Î</w:t>
      </w:r>
      <w:r w:rsidR="00022104" w:rsidRPr="00834B27">
        <w:rPr>
          <w:rFonts w:ascii="Calibri" w:hAnsi="Calibri" w:cs="Calibri"/>
          <w:lang w:val="ro-RO"/>
        </w:rPr>
        <w:t xml:space="preserve">n al doilea </w:t>
      </w:r>
      <w:r w:rsidRPr="00834B27">
        <w:rPr>
          <w:rFonts w:ascii="Calibri" w:hAnsi="Calibri" w:cs="Calibri"/>
          <w:lang w:val="ro-RO"/>
        </w:rPr>
        <w:t>rând</w:t>
      </w:r>
      <w:r w:rsidR="00610B4A" w:rsidRPr="00834B27">
        <w:rPr>
          <w:rFonts w:ascii="Calibri" w:hAnsi="Calibri" w:cs="Calibri"/>
          <w:lang w:val="ro-RO"/>
        </w:rPr>
        <w:t>, implic</w:t>
      </w:r>
      <w:r w:rsidRPr="00834B27">
        <w:rPr>
          <w:rFonts w:ascii="Calibri" w:hAnsi="Calibri" w:cs="Calibri"/>
          <w:lang w:val="ro-RO"/>
        </w:rPr>
        <w:t>ă și</w:t>
      </w:r>
      <w:r w:rsidR="00610B4A" w:rsidRPr="00834B27">
        <w:rPr>
          <w:rFonts w:ascii="Calibri" w:hAnsi="Calibri" w:cs="Calibri"/>
          <w:lang w:val="ro-RO"/>
        </w:rPr>
        <w:t xml:space="preserve"> costuri de administrare semnificativ mai mari</w:t>
      </w:r>
      <w:r w:rsidR="007D022E" w:rsidRPr="00834B27">
        <w:rPr>
          <w:rFonts w:ascii="Calibri" w:hAnsi="Calibri" w:cs="Calibri"/>
          <w:lang w:val="ro-RO"/>
        </w:rPr>
        <w:t xml:space="preserve">, o mare parte din controalele ANAF fiind </w:t>
      </w:r>
      <w:r w:rsidRPr="00834B27">
        <w:rPr>
          <w:rFonts w:ascii="Calibri" w:hAnsi="Calibri" w:cs="Calibri"/>
          <w:lang w:val="ro-RO"/>
        </w:rPr>
        <w:t>direc</w:t>
      </w:r>
      <w:r w:rsidR="00D77C4B" w:rsidRPr="00834B27">
        <w:rPr>
          <w:rFonts w:ascii="Calibri" w:hAnsi="Calibri" w:cs="Calibri"/>
          <w:lang w:val="ro-RO"/>
        </w:rPr>
        <w:t>ț</w:t>
      </w:r>
      <w:r w:rsidRPr="00834B27">
        <w:rPr>
          <w:rFonts w:ascii="Calibri" w:hAnsi="Calibri" w:cs="Calibri"/>
          <w:lang w:val="ro-RO"/>
        </w:rPr>
        <w:t>ionate</w:t>
      </w:r>
      <w:r w:rsidR="007D022E" w:rsidRPr="00834B27">
        <w:rPr>
          <w:rFonts w:ascii="Calibri" w:hAnsi="Calibri" w:cs="Calibri"/>
          <w:lang w:val="ro-RO"/>
        </w:rPr>
        <w:t xml:space="preserve"> spre a verifica </w:t>
      </w:r>
      <w:r w:rsidRPr="00834B27">
        <w:rPr>
          <w:rFonts w:ascii="Calibri" w:hAnsi="Calibri" w:cs="Calibri"/>
          <w:lang w:val="ro-RO"/>
        </w:rPr>
        <w:t>condi</w:t>
      </w:r>
      <w:r w:rsidR="00D77C4B" w:rsidRPr="00834B27">
        <w:rPr>
          <w:rFonts w:ascii="Calibri" w:hAnsi="Calibri" w:cs="Calibri"/>
          <w:lang w:val="ro-RO"/>
        </w:rPr>
        <w:t>ț</w:t>
      </w:r>
      <w:r w:rsidRPr="00834B27">
        <w:rPr>
          <w:rFonts w:ascii="Calibri" w:hAnsi="Calibri" w:cs="Calibri"/>
          <w:lang w:val="ro-RO"/>
        </w:rPr>
        <w:t>iile</w:t>
      </w:r>
      <w:r w:rsidR="007D022E" w:rsidRPr="00834B27">
        <w:rPr>
          <w:rFonts w:ascii="Calibri" w:hAnsi="Calibri" w:cs="Calibri"/>
          <w:lang w:val="ro-RO"/>
        </w:rPr>
        <w:t xml:space="preserve"> de </w:t>
      </w:r>
      <w:r w:rsidRPr="00834B27">
        <w:rPr>
          <w:rFonts w:ascii="Calibri" w:hAnsi="Calibri" w:cs="Calibri"/>
          <w:lang w:val="ro-RO"/>
        </w:rPr>
        <w:t>încadrare</w:t>
      </w:r>
      <w:r w:rsidR="007D022E" w:rsidRPr="00834B27">
        <w:rPr>
          <w:rFonts w:ascii="Calibri" w:hAnsi="Calibri" w:cs="Calibri"/>
          <w:lang w:val="ro-RO"/>
        </w:rPr>
        <w:t xml:space="preserve"> </w:t>
      </w:r>
      <w:r w:rsidRPr="00834B27">
        <w:rPr>
          <w:rFonts w:ascii="Calibri" w:hAnsi="Calibri" w:cs="Calibri"/>
          <w:lang w:val="ro-RO"/>
        </w:rPr>
        <w:t>î</w:t>
      </w:r>
      <w:r w:rsidR="007D022E" w:rsidRPr="00834B27">
        <w:rPr>
          <w:rFonts w:ascii="Calibri" w:hAnsi="Calibri" w:cs="Calibri"/>
          <w:lang w:val="ro-RO"/>
        </w:rPr>
        <w:t xml:space="preserve">n </w:t>
      </w:r>
      <w:r w:rsidR="00AA2BF5" w:rsidRPr="00834B27">
        <w:rPr>
          <w:rFonts w:ascii="Calibri" w:hAnsi="Calibri" w:cs="Calibri"/>
          <w:lang w:val="ro-RO"/>
        </w:rPr>
        <w:t>tipurile de venituri cu SFT mai mic</w:t>
      </w:r>
      <w:r w:rsidRPr="00834B27">
        <w:rPr>
          <w:rFonts w:ascii="Calibri" w:hAnsi="Calibri" w:cs="Calibri"/>
          <w:lang w:val="ro-RO"/>
        </w:rPr>
        <w:t>ă</w:t>
      </w:r>
      <w:r w:rsidR="00AA2BF5" w:rsidRPr="00834B27">
        <w:rPr>
          <w:rFonts w:ascii="Calibri" w:hAnsi="Calibri" w:cs="Calibri"/>
          <w:lang w:val="ro-RO"/>
        </w:rPr>
        <w:t xml:space="preserve"> </w:t>
      </w:r>
      <w:r w:rsidRPr="00834B27">
        <w:rPr>
          <w:rFonts w:ascii="Calibri" w:hAnsi="Calibri" w:cs="Calibri"/>
          <w:lang w:val="ro-RO"/>
        </w:rPr>
        <w:t>decât</w:t>
      </w:r>
      <w:r w:rsidR="00AA2BF5" w:rsidRPr="00834B27">
        <w:rPr>
          <w:rFonts w:ascii="Calibri" w:hAnsi="Calibri" w:cs="Calibri"/>
          <w:lang w:val="ro-RO"/>
        </w:rPr>
        <w:t xml:space="preserve"> cea a salariilor </w:t>
      </w:r>
      <w:r w:rsidR="00440DB0" w:rsidRPr="00834B27">
        <w:rPr>
          <w:rFonts w:ascii="Calibri" w:hAnsi="Calibri" w:cs="Calibri"/>
          <w:lang w:val="ro-RO"/>
        </w:rPr>
        <w:t>(</w:t>
      </w:r>
      <w:r w:rsidR="00163A80" w:rsidRPr="00834B27">
        <w:rPr>
          <w:rFonts w:ascii="Calibri" w:hAnsi="Calibri" w:cs="Calibri"/>
          <w:lang w:val="ro-RO"/>
        </w:rPr>
        <w:t>de exemplu,</w:t>
      </w:r>
      <w:r w:rsidR="00440DB0" w:rsidRPr="00834B27">
        <w:rPr>
          <w:rFonts w:ascii="Calibri" w:hAnsi="Calibri" w:cs="Calibri"/>
          <w:lang w:val="ro-RO"/>
        </w:rPr>
        <w:t xml:space="preserve"> re</w:t>
      </w:r>
      <w:r w:rsidRPr="00834B27">
        <w:rPr>
          <w:rFonts w:ascii="Calibri" w:hAnsi="Calibri" w:cs="Calibri"/>
          <w:lang w:val="ro-RO"/>
        </w:rPr>
        <w:t>î</w:t>
      </w:r>
      <w:r w:rsidR="00440DB0" w:rsidRPr="00834B27">
        <w:rPr>
          <w:rFonts w:ascii="Calibri" w:hAnsi="Calibri" w:cs="Calibri"/>
          <w:lang w:val="ro-RO"/>
        </w:rPr>
        <w:t>ncadrarea veniturilor din activit</w:t>
      </w:r>
      <w:r w:rsidRPr="00834B27">
        <w:rPr>
          <w:rFonts w:ascii="Calibri" w:hAnsi="Calibri" w:cs="Calibri"/>
          <w:lang w:val="ro-RO"/>
        </w:rPr>
        <w:t>ă</w:t>
      </w:r>
      <w:r w:rsidR="00D77C4B" w:rsidRPr="00834B27">
        <w:rPr>
          <w:rFonts w:ascii="Calibri" w:hAnsi="Calibri" w:cs="Calibri"/>
          <w:lang w:val="ro-RO"/>
        </w:rPr>
        <w:t>ț</w:t>
      </w:r>
      <w:r w:rsidR="00440DB0" w:rsidRPr="00834B27">
        <w:rPr>
          <w:rFonts w:ascii="Calibri" w:hAnsi="Calibri" w:cs="Calibri"/>
          <w:lang w:val="ro-RO"/>
        </w:rPr>
        <w:t xml:space="preserve">i independente sau </w:t>
      </w:r>
      <w:r w:rsidR="00617DD8" w:rsidRPr="00834B27">
        <w:rPr>
          <w:rFonts w:ascii="Calibri" w:hAnsi="Calibri" w:cs="Calibri"/>
          <w:lang w:val="ro-RO"/>
        </w:rPr>
        <w:t>din micro</w:t>
      </w:r>
      <w:r w:rsidRPr="00834B27">
        <w:rPr>
          <w:rFonts w:ascii="Calibri" w:hAnsi="Calibri" w:cs="Calibri"/>
          <w:lang w:val="ro-RO"/>
        </w:rPr>
        <w:t>î</w:t>
      </w:r>
      <w:r w:rsidR="00617DD8" w:rsidRPr="00834B27">
        <w:rPr>
          <w:rFonts w:ascii="Calibri" w:hAnsi="Calibri" w:cs="Calibri"/>
          <w:lang w:val="ro-RO"/>
        </w:rPr>
        <w:t>ntr</w:t>
      </w:r>
      <w:r w:rsidRPr="00834B27">
        <w:rPr>
          <w:rFonts w:ascii="Calibri" w:hAnsi="Calibri" w:cs="Calibri"/>
          <w:lang w:val="ro-RO"/>
        </w:rPr>
        <w:t>e</w:t>
      </w:r>
      <w:r w:rsidR="00617DD8" w:rsidRPr="00834B27">
        <w:rPr>
          <w:rFonts w:ascii="Calibri" w:hAnsi="Calibri" w:cs="Calibri"/>
          <w:lang w:val="ro-RO"/>
        </w:rPr>
        <w:t xml:space="preserve">prinderi </w:t>
      </w:r>
      <w:r w:rsidRPr="00834B27">
        <w:rPr>
          <w:rFonts w:ascii="Calibri" w:hAnsi="Calibri" w:cs="Calibri"/>
          <w:lang w:val="ro-RO"/>
        </w:rPr>
        <w:t>î</w:t>
      </w:r>
      <w:r w:rsidR="00617DD8" w:rsidRPr="00834B27">
        <w:rPr>
          <w:rFonts w:ascii="Calibri" w:hAnsi="Calibri" w:cs="Calibri"/>
          <w:lang w:val="ro-RO"/>
        </w:rPr>
        <w:t xml:space="preserve">n venituri din </w:t>
      </w:r>
      <w:r w:rsidRPr="00834B27">
        <w:rPr>
          <w:rFonts w:ascii="Calibri" w:hAnsi="Calibri" w:cs="Calibri"/>
          <w:lang w:val="ro-RO"/>
        </w:rPr>
        <w:t>activită</w:t>
      </w:r>
      <w:r w:rsidR="00D77C4B" w:rsidRPr="00834B27">
        <w:rPr>
          <w:rFonts w:ascii="Calibri" w:hAnsi="Calibri" w:cs="Calibri"/>
          <w:lang w:val="ro-RO"/>
        </w:rPr>
        <w:t>ț</w:t>
      </w:r>
      <w:r w:rsidRPr="00834B27">
        <w:rPr>
          <w:rFonts w:ascii="Calibri" w:hAnsi="Calibri" w:cs="Calibri"/>
          <w:lang w:val="ro-RO"/>
        </w:rPr>
        <w:t>i</w:t>
      </w:r>
      <w:r w:rsidR="00617DD8" w:rsidRPr="00834B27">
        <w:rPr>
          <w:rFonts w:ascii="Calibri" w:hAnsi="Calibri" w:cs="Calibri"/>
          <w:lang w:val="ro-RO"/>
        </w:rPr>
        <w:t xml:space="preserve"> </w:t>
      </w:r>
      <w:r w:rsidRPr="00834B27">
        <w:rPr>
          <w:rFonts w:ascii="Calibri" w:hAnsi="Calibri" w:cs="Calibri"/>
          <w:lang w:val="ro-RO"/>
        </w:rPr>
        <w:t>dependente</w:t>
      </w:r>
      <w:r w:rsidR="00617DD8" w:rsidRPr="00834B27">
        <w:rPr>
          <w:rFonts w:ascii="Calibri" w:hAnsi="Calibri" w:cs="Calibri"/>
          <w:lang w:val="ro-RO"/>
        </w:rPr>
        <w:t>);</w:t>
      </w:r>
    </w:p>
    <w:p w14:paraId="761175DC" w14:textId="45265524" w:rsidR="00910EF8" w:rsidRPr="00834B27" w:rsidRDefault="00124B42" w:rsidP="00F21165">
      <w:pPr>
        <w:pStyle w:val="Listparagraf"/>
        <w:numPr>
          <w:ilvl w:val="0"/>
          <w:numId w:val="1"/>
        </w:numPr>
        <w:spacing w:line="276" w:lineRule="auto"/>
        <w:ind w:left="360"/>
        <w:contextualSpacing w:val="0"/>
        <w:jc w:val="both"/>
        <w:rPr>
          <w:rFonts w:ascii="Calibri" w:hAnsi="Calibri" w:cs="Calibri"/>
          <w:lang w:val="ro-RO"/>
        </w:rPr>
      </w:pPr>
      <w:r w:rsidRPr="00834B27">
        <w:rPr>
          <w:rFonts w:ascii="Calibri" w:hAnsi="Calibri" w:cs="Calibri"/>
          <w:lang w:val="ro-RO"/>
        </w:rPr>
        <w:t>Astfel</w:t>
      </w:r>
      <w:r w:rsidR="00BE672D" w:rsidRPr="00834B27">
        <w:rPr>
          <w:rFonts w:ascii="Calibri" w:hAnsi="Calibri" w:cs="Calibri"/>
          <w:lang w:val="ro-RO"/>
        </w:rPr>
        <w:t xml:space="preserve"> de controale ANAF au dus </w:t>
      </w:r>
      <w:r w:rsidRPr="00834B27">
        <w:rPr>
          <w:rFonts w:ascii="Calibri" w:hAnsi="Calibri" w:cs="Calibri"/>
          <w:lang w:val="ro-RO"/>
        </w:rPr>
        <w:t>ș</w:t>
      </w:r>
      <w:r w:rsidR="00BE672D" w:rsidRPr="00834B27">
        <w:rPr>
          <w:rFonts w:ascii="Calibri" w:hAnsi="Calibri" w:cs="Calibri"/>
          <w:lang w:val="ro-RO"/>
        </w:rPr>
        <w:t xml:space="preserve">i duc </w:t>
      </w:r>
      <w:r w:rsidRPr="00834B27">
        <w:rPr>
          <w:rFonts w:ascii="Calibri" w:hAnsi="Calibri" w:cs="Calibri"/>
          <w:lang w:val="ro-RO"/>
        </w:rPr>
        <w:t>î</w:t>
      </w:r>
      <w:r w:rsidR="00BE672D" w:rsidRPr="00834B27">
        <w:rPr>
          <w:rFonts w:ascii="Calibri" w:hAnsi="Calibri" w:cs="Calibri"/>
          <w:lang w:val="ro-RO"/>
        </w:rPr>
        <w:t>n continuare la contestarea de c</w:t>
      </w:r>
      <w:r w:rsidRPr="00834B27">
        <w:rPr>
          <w:rFonts w:ascii="Calibri" w:hAnsi="Calibri" w:cs="Calibri"/>
          <w:lang w:val="ro-RO"/>
        </w:rPr>
        <w:t>ă</w:t>
      </w:r>
      <w:r w:rsidR="00BE672D" w:rsidRPr="00834B27">
        <w:rPr>
          <w:rFonts w:ascii="Calibri" w:hAnsi="Calibri" w:cs="Calibri"/>
          <w:lang w:val="ro-RO"/>
        </w:rPr>
        <w:t>tre contribuabili a deciziilor de impu</w:t>
      </w:r>
      <w:r w:rsidR="00931A34" w:rsidRPr="00834B27">
        <w:rPr>
          <w:rFonts w:ascii="Calibri" w:hAnsi="Calibri" w:cs="Calibri"/>
          <w:lang w:val="ro-RO"/>
        </w:rPr>
        <w:t>nere emis</w:t>
      </w:r>
      <w:r w:rsidRPr="00834B27">
        <w:rPr>
          <w:rFonts w:ascii="Calibri" w:hAnsi="Calibri" w:cs="Calibri"/>
          <w:lang w:val="ro-RO"/>
        </w:rPr>
        <w:t>e</w:t>
      </w:r>
      <w:r w:rsidR="00931A34" w:rsidRPr="00834B27">
        <w:rPr>
          <w:rFonts w:ascii="Calibri" w:hAnsi="Calibri" w:cs="Calibri"/>
          <w:lang w:val="ro-RO"/>
        </w:rPr>
        <w:t xml:space="preserve"> de ANAF, cu </w:t>
      </w:r>
      <w:r w:rsidRPr="00834B27">
        <w:rPr>
          <w:rFonts w:ascii="Calibri" w:hAnsi="Calibri" w:cs="Calibri"/>
          <w:lang w:val="ro-RO"/>
        </w:rPr>
        <w:t>consecin</w:t>
      </w:r>
      <w:r w:rsidR="00D77C4B" w:rsidRPr="00834B27">
        <w:rPr>
          <w:rFonts w:ascii="Calibri" w:hAnsi="Calibri" w:cs="Calibri"/>
          <w:lang w:val="ro-RO"/>
        </w:rPr>
        <w:t>ț</w:t>
      </w:r>
      <w:r w:rsidRPr="00834B27">
        <w:rPr>
          <w:rFonts w:ascii="Calibri" w:hAnsi="Calibri" w:cs="Calibri"/>
          <w:lang w:val="ro-RO"/>
        </w:rPr>
        <w:t>a</w:t>
      </w:r>
      <w:r w:rsidR="00931A34" w:rsidRPr="00834B27">
        <w:rPr>
          <w:rFonts w:ascii="Calibri" w:hAnsi="Calibri" w:cs="Calibri"/>
          <w:lang w:val="ro-RO"/>
        </w:rPr>
        <w:t xml:space="preserve"> </w:t>
      </w:r>
      <w:r w:rsidRPr="00834B27">
        <w:rPr>
          <w:rFonts w:ascii="Calibri" w:hAnsi="Calibri" w:cs="Calibri"/>
          <w:lang w:val="ro-RO"/>
        </w:rPr>
        <w:t>aglomerării</w:t>
      </w:r>
      <w:r w:rsidR="00931A34" w:rsidRPr="00834B27">
        <w:rPr>
          <w:rFonts w:ascii="Calibri" w:hAnsi="Calibri" w:cs="Calibri"/>
          <w:lang w:val="ro-RO"/>
        </w:rPr>
        <w:t xml:space="preserve"> inutile </w:t>
      </w:r>
      <w:r w:rsidRPr="00834B27">
        <w:rPr>
          <w:rFonts w:ascii="Calibri" w:hAnsi="Calibri" w:cs="Calibri"/>
          <w:lang w:val="ro-RO"/>
        </w:rPr>
        <w:t>atât</w:t>
      </w:r>
      <w:r w:rsidR="00931A34" w:rsidRPr="00834B27">
        <w:rPr>
          <w:rFonts w:ascii="Calibri" w:hAnsi="Calibri" w:cs="Calibri"/>
          <w:lang w:val="ro-RO"/>
        </w:rPr>
        <w:t xml:space="preserve"> a </w:t>
      </w:r>
      <w:r w:rsidRPr="00834B27">
        <w:rPr>
          <w:rFonts w:ascii="Calibri" w:hAnsi="Calibri" w:cs="Calibri"/>
          <w:lang w:val="ro-RO"/>
        </w:rPr>
        <w:t>direc</w:t>
      </w:r>
      <w:r w:rsidR="00D77C4B" w:rsidRPr="00834B27">
        <w:rPr>
          <w:rFonts w:ascii="Calibri" w:hAnsi="Calibri" w:cs="Calibri"/>
          <w:lang w:val="ro-RO"/>
        </w:rPr>
        <w:t>ț</w:t>
      </w:r>
      <w:r w:rsidRPr="00834B27">
        <w:rPr>
          <w:rFonts w:ascii="Calibri" w:hAnsi="Calibri" w:cs="Calibri"/>
          <w:lang w:val="ro-RO"/>
        </w:rPr>
        <w:t>iei</w:t>
      </w:r>
      <w:r w:rsidR="00931A34" w:rsidRPr="00834B27">
        <w:rPr>
          <w:rFonts w:ascii="Calibri" w:hAnsi="Calibri" w:cs="Calibri"/>
          <w:lang w:val="ro-RO"/>
        </w:rPr>
        <w:t xml:space="preserve"> de </w:t>
      </w:r>
      <w:r w:rsidRPr="00834B27">
        <w:rPr>
          <w:rFonts w:ascii="Calibri" w:hAnsi="Calibri" w:cs="Calibri"/>
          <w:lang w:val="ro-RO"/>
        </w:rPr>
        <w:t>solu</w:t>
      </w:r>
      <w:r w:rsidR="00D77C4B" w:rsidRPr="00834B27">
        <w:rPr>
          <w:rFonts w:ascii="Calibri" w:hAnsi="Calibri" w:cs="Calibri"/>
          <w:lang w:val="ro-RO"/>
        </w:rPr>
        <w:t>ț</w:t>
      </w:r>
      <w:r w:rsidRPr="00834B27">
        <w:rPr>
          <w:rFonts w:ascii="Calibri" w:hAnsi="Calibri" w:cs="Calibri"/>
          <w:lang w:val="ro-RO"/>
        </w:rPr>
        <w:t>ionare</w:t>
      </w:r>
      <w:r w:rsidR="00931A34" w:rsidRPr="00834B27">
        <w:rPr>
          <w:rFonts w:ascii="Calibri" w:hAnsi="Calibri" w:cs="Calibri"/>
          <w:lang w:val="ro-RO"/>
        </w:rPr>
        <w:t xml:space="preserve"> a </w:t>
      </w:r>
      <w:r w:rsidRPr="00834B27">
        <w:rPr>
          <w:rFonts w:ascii="Calibri" w:hAnsi="Calibri" w:cs="Calibri"/>
          <w:lang w:val="ro-RO"/>
        </w:rPr>
        <w:t>contesta</w:t>
      </w:r>
      <w:r w:rsidR="00D77C4B" w:rsidRPr="00834B27">
        <w:rPr>
          <w:rFonts w:ascii="Calibri" w:hAnsi="Calibri" w:cs="Calibri"/>
          <w:lang w:val="ro-RO"/>
        </w:rPr>
        <w:t>ț</w:t>
      </w:r>
      <w:r w:rsidRPr="00834B27">
        <w:rPr>
          <w:rFonts w:ascii="Calibri" w:hAnsi="Calibri" w:cs="Calibri"/>
          <w:lang w:val="ro-RO"/>
        </w:rPr>
        <w:t>iilor</w:t>
      </w:r>
      <w:r w:rsidR="00931A34" w:rsidRPr="00834B27">
        <w:rPr>
          <w:rFonts w:ascii="Calibri" w:hAnsi="Calibri" w:cs="Calibri"/>
          <w:lang w:val="ro-RO"/>
        </w:rPr>
        <w:t xml:space="preserve"> din cadrul MF, c</w:t>
      </w:r>
      <w:r w:rsidRPr="00834B27">
        <w:rPr>
          <w:rFonts w:ascii="Calibri" w:hAnsi="Calibri" w:cs="Calibri"/>
          <w:lang w:val="ro-RO"/>
        </w:rPr>
        <w:t>â</w:t>
      </w:r>
      <w:r w:rsidR="00931A34" w:rsidRPr="00834B27">
        <w:rPr>
          <w:rFonts w:ascii="Calibri" w:hAnsi="Calibri" w:cs="Calibri"/>
          <w:lang w:val="ro-RO"/>
        </w:rPr>
        <w:t xml:space="preserve">t </w:t>
      </w:r>
      <w:r w:rsidRPr="00834B27">
        <w:rPr>
          <w:rFonts w:ascii="Calibri" w:hAnsi="Calibri" w:cs="Calibri"/>
          <w:lang w:val="ro-RO"/>
        </w:rPr>
        <w:t>ș</w:t>
      </w:r>
      <w:r w:rsidR="00931A34" w:rsidRPr="00834B27">
        <w:rPr>
          <w:rFonts w:ascii="Calibri" w:hAnsi="Calibri" w:cs="Calibri"/>
          <w:lang w:val="ro-RO"/>
        </w:rPr>
        <w:t xml:space="preserve">i a </w:t>
      </w:r>
      <w:r w:rsidRPr="00834B27">
        <w:rPr>
          <w:rFonts w:ascii="Calibri" w:hAnsi="Calibri" w:cs="Calibri"/>
          <w:lang w:val="ro-RO"/>
        </w:rPr>
        <w:t>instan</w:t>
      </w:r>
      <w:r w:rsidR="00D77C4B" w:rsidRPr="00834B27">
        <w:rPr>
          <w:rFonts w:ascii="Calibri" w:hAnsi="Calibri" w:cs="Calibri"/>
          <w:lang w:val="ro-RO"/>
        </w:rPr>
        <w:t>ț</w:t>
      </w:r>
      <w:r w:rsidRPr="00834B27">
        <w:rPr>
          <w:rFonts w:ascii="Calibri" w:hAnsi="Calibri" w:cs="Calibri"/>
          <w:lang w:val="ro-RO"/>
        </w:rPr>
        <w:t>elor</w:t>
      </w:r>
      <w:r w:rsidR="00931A34" w:rsidRPr="00834B27">
        <w:rPr>
          <w:rFonts w:ascii="Calibri" w:hAnsi="Calibri" w:cs="Calibri"/>
          <w:lang w:val="ro-RO"/>
        </w:rPr>
        <w:t xml:space="preserve"> de judecat</w:t>
      </w:r>
      <w:r w:rsidRPr="00834B27">
        <w:rPr>
          <w:rFonts w:ascii="Calibri" w:hAnsi="Calibri" w:cs="Calibri"/>
          <w:lang w:val="ro-RO"/>
        </w:rPr>
        <w:t>ă</w:t>
      </w:r>
      <w:r w:rsidR="00DE09FD" w:rsidRPr="00834B27">
        <w:rPr>
          <w:rFonts w:ascii="Calibri" w:hAnsi="Calibri" w:cs="Calibri"/>
          <w:lang w:val="ro-RO"/>
        </w:rPr>
        <w:t xml:space="preserve"> (Tribunal</w:t>
      </w:r>
      <w:r w:rsidR="00092E47" w:rsidRPr="00834B27">
        <w:rPr>
          <w:rFonts w:ascii="Calibri" w:hAnsi="Calibri" w:cs="Calibri"/>
          <w:lang w:val="ro-RO"/>
        </w:rPr>
        <w:t>e/</w:t>
      </w:r>
      <w:r w:rsidR="00DE09FD" w:rsidRPr="00834B27">
        <w:rPr>
          <w:rFonts w:ascii="Calibri" w:hAnsi="Calibri" w:cs="Calibri"/>
          <w:lang w:val="ro-RO"/>
        </w:rPr>
        <w:t>Cur</w:t>
      </w:r>
      <w:r w:rsidR="00D77C4B" w:rsidRPr="00834B27">
        <w:rPr>
          <w:rFonts w:ascii="Calibri" w:hAnsi="Calibri" w:cs="Calibri"/>
          <w:lang w:val="ro-RO"/>
        </w:rPr>
        <w:t>ț</w:t>
      </w:r>
      <w:r w:rsidR="00DE09FD" w:rsidRPr="00834B27">
        <w:rPr>
          <w:rFonts w:ascii="Calibri" w:hAnsi="Calibri" w:cs="Calibri"/>
          <w:lang w:val="ro-RO"/>
        </w:rPr>
        <w:t xml:space="preserve">i de </w:t>
      </w:r>
      <w:r w:rsidR="007F38A1" w:rsidRPr="00834B27">
        <w:rPr>
          <w:rFonts w:ascii="Calibri" w:hAnsi="Calibri" w:cs="Calibri"/>
          <w:lang w:val="ro-RO"/>
        </w:rPr>
        <w:t>A</w:t>
      </w:r>
      <w:r w:rsidR="00DE09FD" w:rsidRPr="00834B27">
        <w:rPr>
          <w:rFonts w:ascii="Calibri" w:hAnsi="Calibri" w:cs="Calibri"/>
          <w:lang w:val="ro-RO"/>
        </w:rPr>
        <w:t xml:space="preserve">pel, </w:t>
      </w:r>
      <w:r w:rsidR="007F38A1" w:rsidRPr="00834B27">
        <w:rPr>
          <w:rFonts w:ascii="Calibri" w:hAnsi="Calibri" w:cs="Calibri"/>
          <w:lang w:val="ro-RO"/>
        </w:rPr>
        <w:t>Cur</w:t>
      </w:r>
      <w:r w:rsidR="00D77C4B" w:rsidRPr="00834B27">
        <w:rPr>
          <w:rFonts w:ascii="Calibri" w:hAnsi="Calibri" w:cs="Calibri"/>
          <w:lang w:val="ro-RO"/>
        </w:rPr>
        <w:t>ț</w:t>
      </w:r>
      <w:r w:rsidR="007F38A1" w:rsidRPr="00834B27">
        <w:rPr>
          <w:rFonts w:ascii="Calibri" w:hAnsi="Calibri" w:cs="Calibri"/>
          <w:lang w:val="ro-RO"/>
        </w:rPr>
        <w:t>i</w:t>
      </w:r>
      <w:r w:rsidR="00092E47" w:rsidRPr="00834B27">
        <w:rPr>
          <w:rFonts w:ascii="Calibri" w:hAnsi="Calibri" w:cs="Calibri"/>
          <w:lang w:val="ro-RO"/>
        </w:rPr>
        <w:t xml:space="preserve"> de </w:t>
      </w:r>
      <w:r w:rsidR="007F38A1" w:rsidRPr="00834B27">
        <w:rPr>
          <w:rFonts w:ascii="Calibri" w:hAnsi="Calibri" w:cs="Calibri"/>
          <w:lang w:val="ro-RO"/>
        </w:rPr>
        <w:t>A</w:t>
      </w:r>
      <w:r w:rsidR="00020727" w:rsidRPr="00834B27">
        <w:rPr>
          <w:rFonts w:ascii="Calibri" w:hAnsi="Calibri" w:cs="Calibri"/>
          <w:lang w:val="ro-RO"/>
        </w:rPr>
        <w:t>pel/</w:t>
      </w:r>
      <w:r w:rsidR="007F38A1" w:rsidRPr="00834B27">
        <w:rPr>
          <w:rFonts w:ascii="Calibri" w:hAnsi="Calibri" w:cs="Calibri"/>
          <w:lang w:val="ro-RO"/>
        </w:rPr>
        <w:t>Înalta</w:t>
      </w:r>
      <w:r w:rsidR="00DE09FD" w:rsidRPr="00834B27">
        <w:rPr>
          <w:rFonts w:ascii="Calibri" w:hAnsi="Calibri" w:cs="Calibri"/>
          <w:lang w:val="ro-RO"/>
        </w:rPr>
        <w:t xml:space="preserve"> Curte de </w:t>
      </w:r>
      <w:r w:rsidR="007F38A1" w:rsidRPr="00834B27">
        <w:rPr>
          <w:rFonts w:ascii="Calibri" w:hAnsi="Calibri" w:cs="Calibri"/>
          <w:lang w:val="ro-RO"/>
        </w:rPr>
        <w:t>Casa</w:t>
      </w:r>
      <w:r w:rsidR="00D77C4B" w:rsidRPr="00834B27">
        <w:rPr>
          <w:rFonts w:ascii="Calibri" w:hAnsi="Calibri" w:cs="Calibri"/>
          <w:lang w:val="ro-RO"/>
        </w:rPr>
        <w:t>ț</w:t>
      </w:r>
      <w:r w:rsidR="007F38A1" w:rsidRPr="00834B27">
        <w:rPr>
          <w:rFonts w:ascii="Calibri" w:hAnsi="Calibri" w:cs="Calibri"/>
          <w:lang w:val="ro-RO"/>
        </w:rPr>
        <w:t>ie</w:t>
      </w:r>
      <w:r w:rsidR="00DE09FD" w:rsidRPr="00834B27">
        <w:rPr>
          <w:rFonts w:ascii="Calibri" w:hAnsi="Calibri" w:cs="Calibri"/>
          <w:lang w:val="ro-RO"/>
        </w:rPr>
        <w:t xml:space="preserve"> </w:t>
      </w:r>
      <w:r w:rsidR="007F38A1" w:rsidRPr="00834B27">
        <w:rPr>
          <w:rFonts w:ascii="Calibri" w:hAnsi="Calibri" w:cs="Calibri"/>
          <w:lang w:val="ro-RO"/>
        </w:rPr>
        <w:t>ș</w:t>
      </w:r>
      <w:r w:rsidR="00DE09FD" w:rsidRPr="00834B27">
        <w:rPr>
          <w:rFonts w:ascii="Calibri" w:hAnsi="Calibri" w:cs="Calibri"/>
          <w:lang w:val="ro-RO"/>
        </w:rPr>
        <w:t xml:space="preserve">i </w:t>
      </w:r>
      <w:r w:rsidR="007F38A1" w:rsidRPr="00834B27">
        <w:rPr>
          <w:rFonts w:ascii="Calibri" w:hAnsi="Calibri" w:cs="Calibri"/>
          <w:lang w:val="ro-RO"/>
        </w:rPr>
        <w:t>Justi</w:t>
      </w:r>
      <w:r w:rsidR="00D77C4B" w:rsidRPr="00834B27">
        <w:rPr>
          <w:rFonts w:ascii="Calibri" w:hAnsi="Calibri" w:cs="Calibri"/>
          <w:lang w:val="ro-RO"/>
        </w:rPr>
        <w:t>ț</w:t>
      </w:r>
      <w:r w:rsidR="007F38A1" w:rsidRPr="00834B27">
        <w:rPr>
          <w:rFonts w:ascii="Calibri" w:hAnsi="Calibri" w:cs="Calibri"/>
          <w:lang w:val="ro-RO"/>
        </w:rPr>
        <w:t>ie</w:t>
      </w:r>
      <w:r w:rsidR="00020727" w:rsidRPr="00834B27">
        <w:rPr>
          <w:rFonts w:ascii="Calibri" w:hAnsi="Calibri" w:cs="Calibri"/>
          <w:lang w:val="ro-RO"/>
        </w:rPr>
        <w:t xml:space="preserve">, </w:t>
      </w:r>
      <w:r w:rsidR="007F38A1" w:rsidRPr="00834B27">
        <w:rPr>
          <w:rFonts w:ascii="Calibri" w:hAnsi="Calibri" w:cs="Calibri"/>
          <w:lang w:val="ro-RO"/>
        </w:rPr>
        <w:t>î</w:t>
      </w:r>
      <w:r w:rsidR="00020727" w:rsidRPr="00834B27">
        <w:rPr>
          <w:rFonts w:ascii="Calibri" w:hAnsi="Calibri" w:cs="Calibri"/>
          <w:lang w:val="ro-RO"/>
        </w:rPr>
        <w:t xml:space="preserve">n </w:t>
      </w:r>
      <w:r w:rsidR="007F38A1" w:rsidRPr="00834B27">
        <w:rPr>
          <w:rFonts w:ascii="Calibri" w:hAnsi="Calibri" w:cs="Calibri"/>
          <w:lang w:val="ro-RO"/>
        </w:rPr>
        <w:t>func</w:t>
      </w:r>
      <w:r w:rsidR="00D77C4B" w:rsidRPr="00834B27">
        <w:rPr>
          <w:rFonts w:ascii="Calibri" w:hAnsi="Calibri" w:cs="Calibri"/>
          <w:lang w:val="ro-RO"/>
        </w:rPr>
        <w:t>ț</w:t>
      </w:r>
      <w:r w:rsidR="007F38A1" w:rsidRPr="00834B27">
        <w:rPr>
          <w:rFonts w:ascii="Calibri" w:hAnsi="Calibri" w:cs="Calibri"/>
          <w:lang w:val="ro-RO"/>
        </w:rPr>
        <w:t>ie</w:t>
      </w:r>
      <w:r w:rsidR="00020727" w:rsidRPr="00834B27">
        <w:rPr>
          <w:rFonts w:ascii="Calibri" w:hAnsi="Calibri" w:cs="Calibri"/>
          <w:lang w:val="ro-RO"/>
        </w:rPr>
        <w:t xml:space="preserve"> de valoare</w:t>
      </w:r>
      <w:r w:rsidR="00DE09FD" w:rsidRPr="00834B27">
        <w:rPr>
          <w:rFonts w:ascii="Calibri" w:hAnsi="Calibri" w:cs="Calibri"/>
          <w:lang w:val="ro-RO"/>
        </w:rPr>
        <w:t>)</w:t>
      </w:r>
      <w:r w:rsidR="003E0FC5" w:rsidRPr="00834B27">
        <w:rPr>
          <w:rFonts w:ascii="Calibri" w:hAnsi="Calibri" w:cs="Calibri"/>
          <w:lang w:val="ro-RO"/>
        </w:rPr>
        <w:t>;</w:t>
      </w:r>
    </w:p>
    <w:p w14:paraId="0BE969DF" w14:textId="10DF3309" w:rsidR="00D6247C" w:rsidRPr="00834B27" w:rsidRDefault="00D6247C" w:rsidP="00F21165">
      <w:pPr>
        <w:pStyle w:val="Listparagraf"/>
        <w:numPr>
          <w:ilvl w:val="0"/>
          <w:numId w:val="1"/>
        </w:numPr>
        <w:spacing w:line="276" w:lineRule="auto"/>
        <w:ind w:left="360"/>
        <w:contextualSpacing w:val="0"/>
        <w:jc w:val="both"/>
        <w:rPr>
          <w:rFonts w:ascii="Calibri" w:hAnsi="Calibri" w:cs="Calibri"/>
          <w:lang w:val="ro-RO"/>
        </w:rPr>
      </w:pPr>
      <w:r w:rsidRPr="00834B27">
        <w:rPr>
          <w:rFonts w:ascii="Calibri" w:hAnsi="Calibri" w:cs="Calibri"/>
          <w:lang w:val="ro-RO"/>
        </w:rPr>
        <w:t>F</w:t>
      </w:r>
      <w:r w:rsidR="003E0FC5" w:rsidRPr="00834B27">
        <w:rPr>
          <w:rFonts w:ascii="Calibri" w:hAnsi="Calibri" w:cs="Calibri"/>
          <w:lang w:val="ro-RO"/>
        </w:rPr>
        <w:t>ragmentarea reglement</w:t>
      </w:r>
      <w:r w:rsidR="00124B42" w:rsidRPr="00834B27">
        <w:rPr>
          <w:rFonts w:ascii="Calibri" w:hAnsi="Calibri" w:cs="Calibri"/>
          <w:lang w:val="ro-RO"/>
        </w:rPr>
        <w:t>ă</w:t>
      </w:r>
      <w:r w:rsidR="003E0FC5" w:rsidRPr="00834B27">
        <w:rPr>
          <w:rFonts w:ascii="Calibri" w:hAnsi="Calibri" w:cs="Calibri"/>
          <w:lang w:val="ro-RO"/>
        </w:rPr>
        <w:t xml:space="preserve">rilor fiscale duce </w:t>
      </w:r>
      <w:r w:rsidR="00124B42" w:rsidRPr="00834B27">
        <w:rPr>
          <w:rFonts w:ascii="Calibri" w:hAnsi="Calibri" w:cs="Calibri"/>
          <w:lang w:val="ro-RO"/>
        </w:rPr>
        <w:t>ș</w:t>
      </w:r>
      <w:r w:rsidR="003E0FC5" w:rsidRPr="00834B27">
        <w:rPr>
          <w:rFonts w:ascii="Calibri" w:hAnsi="Calibri" w:cs="Calibri"/>
          <w:lang w:val="ro-RO"/>
        </w:rPr>
        <w:t xml:space="preserve">i la </w:t>
      </w:r>
      <w:r w:rsidR="00102A3E" w:rsidRPr="00834B27">
        <w:rPr>
          <w:rFonts w:ascii="Calibri" w:hAnsi="Calibri" w:cs="Calibri"/>
          <w:lang w:val="ro-RO"/>
        </w:rPr>
        <w:t xml:space="preserve">limitarea </w:t>
      </w:r>
      <w:r w:rsidR="00124B42" w:rsidRPr="00834B27">
        <w:rPr>
          <w:rFonts w:ascii="Calibri" w:hAnsi="Calibri" w:cs="Calibri"/>
          <w:lang w:val="ro-RO"/>
        </w:rPr>
        <w:t>posibilită</w:t>
      </w:r>
      <w:r w:rsidR="00D77C4B" w:rsidRPr="00834B27">
        <w:rPr>
          <w:rFonts w:ascii="Calibri" w:hAnsi="Calibri" w:cs="Calibri"/>
          <w:lang w:val="ro-RO"/>
        </w:rPr>
        <w:t>ț</w:t>
      </w:r>
      <w:r w:rsidR="00124B42" w:rsidRPr="00834B27">
        <w:rPr>
          <w:rFonts w:ascii="Calibri" w:hAnsi="Calibri" w:cs="Calibri"/>
          <w:lang w:val="ro-RO"/>
        </w:rPr>
        <w:t>ii</w:t>
      </w:r>
      <w:r w:rsidR="00102A3E" w:rsidRPr="00834B27">
        <w:rPr>
          <w:rFonts w:ascii="Calibri" w:hAnsi="Calibri" w:cs="Calibri"/>
          <w:lang w:val="ro-RO"/>
        </w:rPr>
        <w:t xml:space="preserve"> de a </w:t>
      </w:r>
      <w:r w:rsidR="00E26C73" w:rsidRPr="00834B27">
        <w:rPr>
          <w:rFonts w:ascii="Calibri" w:hAnsi="Calibri" w:cs="Calibri"/>
          <w:lang w:val="ro-RO"/>
        </w:rPr>
        <w:t xml:space="preserve">reglementa </w:t>
      </w:r>
      <w:r w:rsidR="00124B42" w:rsidRPr="00834B27">
        <w:rPr>
          <w:rFonts w:ascii="Calibri" w:hAnsi="Calibri" w:cs="Calibri"/>
          <w:lang w:val="ro-RO"/>
        </w:rPr>
        <w:t>re</w:t>
      </w:r>
      <w:r w:rsidR="00D77C4B" w:rsidRPr="00834B27">
        <w:rPr>
          <w:rFonts w:ascii="Calibri" w:hAnsi="Calibri" w:cs="Calibri"/>
          <w:lang w:val="ro-RO"/>
        </w:rPr>
        <w:t>ț</w:t>
      </w:r>
      <w:r w:rsidR="00124B42" w:rsidRPr="00834B27">
        <w:rPr>
          <w:rFonts w:ascii="Calibri" w:hAnsi="Calibri" w:cs="Calibri"/>
          <w:lang w:val="ro-RO"/>
        </w:rPr>
        <w:t>inerea</w:t>
      </w:r>
      <w:r w:rsidR="00E26C73" w:rsidRPr="00834B27">
        <w:rPr>
          <w:rFonts w:ascii="Calibri" w:hAnsi="Calibri" w:cs="Calibri"/>
          <w:lang w:val="ro-RO"/>
        </w:rPr>
        <w:t xml:space="preserve"> la surs</w:t>
      </w:r>
      <w:r w:rsidR="00124B42" w:rsidRPr="00834B27">
        <w:rPr>
          <w:rFonts w:ascii="Calibri" w:hAnsi="Calibri" w:cs="Calibri"/>
          <w:lang w:val="ro-RO"/>
        </w:rPr>
        <w:t>ă</w:t>
      </w:r>
      <w:r w:rsidR="00E26C73" w:rsidRPr="00834B27">
        <w:rPr>
          <w:rFonts w:ascii="Calibri" w:hAnsi="Calibri" w:cs="Calibri"/>
          <w:lang w:val="ro-RO"/>
        </w:rPr>
        <w:t xml:space="preserve"> a IV, CAS, CASS de </w:t>
      </w:r>
      <w:r w:rsidR="00124B42" w:rsidRPr="00834B27">
        <w:rPr>
          <w:rFonts w:ascii="Calibri" w:hAnsi="Calibri" w:cs="Calibri"/>
          <w:lang w:val="ro-RO"/>
        </w:rPr>
        <w:t>către</w:t>
      </w:r>
      <w:r w:rsidR="00E26C73" w:rsidRPr="00834B27">
        <w:rPr>
          <w:rFonts w:ascii="Calibri" w:hAnsi="Calibri" w:cs="Calibri"/>
          <w:lang w:val="ro-RO"/>
        </w:rPr>
        <w:t xml:space="preserve"> </w:t>
      </w:r>
      <w:r w:rsidR="00124B42" w:rsidRPr="00834B27">
        <w:rPr>
          <w:rFonts w:ascii="Calibri" w:hAnsi="Calibri" w:cs="Calibri"/>
          <w:lang w:val="ro-RO"/>
        </w:rPr>
        <w:t>plătitorii</w:t>
      </w:r>
      <w:r w:rsidR="00E26C73" w:rsidRPr="00834B27">
        <w:rPr>
          <w:rFonts w:ascii="Calibri" w:hAnsi="Calibri" w:cs="Calibri"/>
          <w:lang w:val="ro-RO"/>
        </w:rPr>
        <w:t xml:space="preserve"> de venit, ceea ce cre</w:t>
      </w:r>
      <w:r w:rsidR="00124B42" w:rsidRPr="00834B27">
        <w:rPr>
          <w:rFonts w:ascii="Calibri" w:hAnsi="Calibri" w:cs="Calibri"/>
          <w:lang w:val="ro-RO"/>
        </w:rPr>
        <w:t>ș</w:t>
      </w:r>
      <w:r w:rsidR="00E26C73" w:rsidRPr="00834B27">
        <w:rPr>
          <w:rFonts w:ascii="Calibri" w:hAnsi="Calibri" w:cs="Calibri"/>
          <w:lang w:val="ro-RO"/>
        </w:rPr>
        <w:t xml:space="preserve">te </w:t>
      </w:r>
      <w:r w:rsidR="00124B42" w:rsidRPr="00834B27">
        <w:rPr>
          <w:rFonts w:ascii="Calibri" w:hAnsi="Calibri" w:cs="Calibri"/>
          <w:lang w:val="ro-RO"/>
        </w:rPr>
        <w:t>numărul</w:t>
      </w:r>
      <w:r w:rsidR="00E26C73" w:rsidRPr="00834B27">
        <w:rPr>
          <w:rFonts w:ascii="Calibri" w:hAnsi="Calibri" w:cs="Calibri"/>
          <w:lang w:val="ro-RO"/>
        </w:rPr>
        <w:t xml:space="preserve"> de </w:t>
      </w:r>
      <w:r w:rsidR="00124B42" w:rsidRPr="00834B27">
        <w:rPr>
          <w:rFonts w:ascii="Calibri" w:hAnsi="Calibri" w:cs="Calibri"/>
          <w:lang w:val="ro-RO"/>
        </w:rPr>
        <w:t>declara</w:t>
      </w:r>
      <w:r w:rsidR="00D77C4B" w:rsidRPr="00834B27">
        <w:rPr>
          <w:rFonts w:ascii="Calibri" w:hAnsi="Calibri" w:cs="Calibri"/>
          <w:lang w:val="ro-RO"/>
        </w:rPr>
        <w:t>ț</w:t>
      </w:r>
      <w:r w:rsidR="00124B42" w:rsidRPr="00834B27">
        <w:rPr>
          <w:rFonts w:ascii="Calibri" w:hAnsi="Calibri" w:cs="Calibri"/>
          <w:lang w:val="ro-RO"/>
        </w:rPr>
        <w:t>ii</w:t>
      </w:r>
      <w:r w:rsidR="00631FB8" w:rsidRPr="00834B27">
        <w:rPr>
          <w:rFonts w:ascii="Calibri" w:hAnsi="Calibri" w:cs="Calibri"/>
          <w:lang w:val="ro-RO"/>
        </w:rPr>
        <w:t xml:space="preserve"> unice (D212)</w:t>
      </w:r>
      <w:r w:rsidR="0046236C" w:rsidRPr="00834B27">
        <w:rPr>
          <w:rFonts w:ascii="Calibri" w:hAnsi="Calibri" w:cs="Calibri"/>
          <w:lang w:val="ro-RO"/>
        </w:rPr>
        <w:t xml:space="preserve">, cu efect </w:t>
      </w:r>
      <w:r w:rsidR="00124B42" w:rsidRPr="00834B27">
        <w:rPr>
          <w:rFonts w:ascii="Calibri" w:hAnsi="Calibri" w:cs="Calibri"/>
          <w:lang w:val="ro-RO"/>
        </w:rPr>
        <w:t>î</w:t>
      </w:r>
      <w:r w:rsidR="0046236C" w:rsidRPr="00834B27">
        <w:rPr>
          <w:rFonts w:ascii="Calibri" w:hAnsi="Calibri" w:cs="Calibri"/>
          <w:lang w:val="ro-RO"/>
        </w:rPr>
        <w:t xml:space="preserve">n </w:t>
      </w:r>
      <w:r w:rsidR="00124B42" w:rsidRPr="00834B27">
        <w:rPr>
          <w:rFonts w:ascii="Calibri" w:hAnsi="Calibri" w:cs="Calibri"/>
          <w:lang w:val="ro-RO"/>
        </w:rPr>
        <w:t>creșterea</w:t>
      </w:r>
      <w:r w:rsidR="0046236C" w:rsidRPr="00834B27">
        <w:rPr>
          <w:rFonts w:ascii="Calibri" w:hAnsi="Calibri" w:cs="Calibri"/>
          <w:lang w:val="ro-RO"/>
        </w:rPr>
        <w:t xml:space="preserve"> costurilor de administrare </w:t>
      </w:r>
      <w:r w:rsidR="00124B42" w:rsidRPr="00834B27">
        <w:rPr>
          <w:rFonts w:ascii="Calibri" w:hAnsi="Calibri" w:cs="Calibri"/>
          <w:lang w:val="ro-RO"/>
        </w:rPr>
        <w:t>ș</w:t>
      </w:r>
      <w:r w:rsidR="0046236C" w:rsidRPr="00834B27">
        <w:rPr>
          <w:rFonts w:ascii="Calibri" w:hAnsi="Calibri" w:cs="Calibri"/>
          <w:lang w:val="ro-RO"/>
        </w:rPr>
        <w:t xml:space="preserve">i conformare, precum </w:t>
      </w:r>
      <w:r w:rsidR="00124B42" w:rsidRPr="00834B27">
        <w:rPr>
          <w:rFonts w:ascii="Calibri" w:hAnsi="Calibri" w:cs="Calibri"/>
          <w:lang w:val="ro-RO"/>
        </w:rPr>
        <w:t>ș</w:t>
      </w:r>
      <w:r w:rsidR="0046236C" w:rsidRPr="00834B27">
        <w:rPr>
          <w:rFonts w:ascii="Calibri" w:hAnsi="Calibri" w:cs="Calibri"/>
          <w:lang w:val="ro-RO"/>
        </w:rPr>
        <w:t xml:space="preserve">i </w:t>
      </w:r>
      <w:r w:rsidR="00124B42" w:rsidRPr="00834B27">
        <w:rPr>
          <w:rFonts w:ascii="Calibri" w:hAnsi="Calibri" w:cs="Calibri"/>
          <w:lang w:val="ro-RO"/>
        </w:rPr>
        <w:t>î</w:t>
      </w:r>
      <w:r w:rsidR="0046236C" w:rsidRPr="00834B27">
        <w:rPr>
          <w:rFonts w:ascii="Calibri" w:hAnsi="Calibri" w:cs="Calibri"/>
          <w:lang w:val="ro-RO"/>
        </w:rPr>
        <w:t xml:space="preserve">n </w:t>
      </w:r>
      <w:r w:rsidR="00124B42" w:rsidRPr="00834B27">
        <w:rPr>
          <w:rFonts w:ascii="Calibri" w:hAnsi="Calibri" w:cs="Calibri"/>
          <w:lang w:val="ro-RO"/>
        </w:rPr>
        <w:t>amânarea</w:t>
      </w:r>
      <w:r w:rsidR="0046236C" w:rsidRPr="00834B27">
        <w:rPr>
          <w:rFonts w:ascii="Calibri" w:hAnsi="Calibri" w:cs="Calibri"/>
          <w:lang w:val="ro-RO"/>
        </w:rPr>
        <w:t xml:space="preserve"> </w:t>
      </w:r>
      <w:r w:rsidR="00124B42" w:rsidRPr="00834B27">
        <w:rPr>
          <w:rFonts w:ascii="Calibri" w:hAnsi="Calibri" w:cs="Calibri"/>
          <w:lang w:val="ro-RO"/>
        </w:rPr>
        <w:t>încasării</w:t>
      </w:r>
      <w:r w:rsidR="0046236C" w:rsidRPr="00834B27">
        <w:rPr>
          <w:rFonts w:ascii="Calibri" w:hAnsi="Calibri" w:cs="Calibri"/>
          <w:lang w:val="ro-RO"/>
        </w:rPr>
        <w:t xml:space="preserve"> </w:t>
      </w:r>
      <w:r w:rsidR="00793484" w:rsidRPr="00834B27">
        <w:rPr>
          <w:rFonts w:ascii="Calibri" w:hAnsi="Calibri" w:cs="Calibri"/>
          <w:lang w:val="ro-RO"/>
        </w:rPr>
        <w:t>IV, CASS p</w:t>
      </w:r>
      <w:r w:rsidR="00FE15AD" w:rsidRPr="00834B27">
        <w:rPr>
          <w:rFonts w:ascii="Calibri" w:hAnsi="Calibri" w:cs="Calibri"/>
          <w:lang w:val="ro-RO"/>
        </w:rPr>
        <w:t>â</w:t>
      </w:r>
      <w:r w:rsidR="00793484" w:rsidRPr="00834B27">
        <w:rPr>
          <w:rFonts w:ascii="Calibri" w:hAnsi="Calibri" w:cs="Calibri"/>
          <w:lang w:val="ro-RO"/>
        </w:rPr>
        <w:t>n</w:t>
      </w:r>
      <w:r w:rsidR="00FE15AD" w:rsidRPr="00834B27">
        <w:rPr>
          <w:rFonts w:ascii="Calibri" w:hAnsi="Calibri" w:cs="Calibri"/>
          <w:lang w:val="ro-RO"/>
        </w:rPr>
        <w:t>ă</w:t>
      </w:r>
      <w:r w:rsidR="00793484" w:rsidRPr="00834B27">
        <w:rPr>
          <w:rFonts w:ascii="Calibri" w:hAnsi="Calibri" w:cs="Calibri"/>
          <w:lang w:val="ro-RO"/>
        </w:rPr>
        <w:t xml:space="preserve"> la </w:t>
      </w:r>
      <w:r w:rsidR="00124B42" w:rsidRPr="00834B27">
        <w:rPr>
          <w:rFonts w:ascii="Calibri" w:hAnsi="Calibri" w:cs="Calibri"/>
          <w:lang w:val="ro-RO"/>
        </w:rPr>
        <w:t xml:space="preserve">data de </w:t>
      </w:r>
      <w:r w:rsidR="00793484" w:rsidRPr="00834B27">
        <w:rPr>
          <w:rFonts w:ascii="Calibri" w:hAnsi="Calibri" w:cs="Calibri"/>
          <w:lang w:val="ro-RO"/>
        </w:rPr>
        <w:t xml:space="preserve">25 mai a anului </w:t>
      </w:r>
      <w:r w:rsidR="00124B42" w:rsidRPr="00834B27">
        <w:rPr>
          <w:rFonts w:ascii="Calibri" w:hAnsi="Calibri" w:cs="Calibri"/>
          <w:lang w:val="ro-RO"/>
        </w:rPr>
        <w:t>următor</w:t>
      </w:r>
      <w:r w:rsidR="00793484" w:rsidRPr="00834B27">
        <w:rPr>
          <w:rFonts w:ascii="Calibri" w:hAnsi="Calibri" w:cs="Calibri"/>
          <w:lang w:val="ro-RO"/>
        </w:rPr>
        <w:t xml:space="preserve"> </w:t>
      </w:r>
      <w:r w:rsidR="00124B42" w:rsidRPr="00834B27">
        <w:rPr>
          <w:rFonts w:ascii="Calibri" w:hAnsi="Calibri" w:cs="Calibri"/>
          <w:lang w:val="ro-RO"/>
        </w:rPr>
        <w:t>ob</w:t>
      </w:r>
      <w:r w:rsidR="00D77C4B" w:rsidRPr="00834B27">
        <w:rPr>
          <w:rFonts w:ascii="Calibri" w:hAnsi="Calibri" w:cs="Calibri"/>
          <w:lang w:val="ro-RO"/>
        </w:rPr>
        <w:t>ț</w:t>
      </w:r>
      <w:r w:rsidR="00124B42" w:rsidRPr="00834B27">
        <w:rPr>
          <w:rFonts w:ascii="Calibri" w:hAnsi="Calibri" w:cs="Calibri"/>
          <w:lang w:val="ro-RO"/>
        </w:rPr>
        <w:t>inerii</w:t>
      </w:r>
      <w:r w:rsidR="00001F3D" w:rsidRPr="00834B27">
        <w:rPr>
          <w:rFonts w:ascii="Calibri" w:hAnsi="Calibri" w:cs="Calibri"/>
          <w:lang w:val="ro-RO"/>
        </w:rPr>
        <w:t xml:space="preserve"> venitului</w:t>
      </w:r>
      <w:r w:rsidRPr="00834B27">
        <w:rPr>
          <w:rFonts w:ascii="Calibri" w:hAnsi="Calibri" w:cs="Calibri"/>
          <w:lang w:val="ro-RO"/>
        </w:rPr>
        <w:t>;</w:t>
      </w:r>
    </w:p>
    <w:p w14:paraId="4BAAF3D9" w14:textId="77777777" w:rsidR="0033591C" w:rsidRPr="00834B27" w:rsidRDefault="00D6247C" w:rsidP="00D6247C">
      <w:pPr>
        <w:pStyle w:val="Listparagraf"/>
        <w:numPr>
          <w:ilvl w:val="0"/>
          <w:numId w:val="1"/>
        </w:numPr>
        <w:spacing w:line="276" w:lineRule="auto"/>
        <w:ind w:left="360"/>
        <w:contextualSpacing w:val="0"/>
        <w:jc w:val="both"/>
        <w:rPr>
          <w:rFonts w:ascii="Calibri" w:hAnsi="Calibri" w:cs="Calibri"/>
          <w:lang w:val="ro-RO"/>
        </w:rPr>
      </w:pPr>
      <w:r w:rsidRPr="00834B27">
        <w:rPr>
          <w:rFonts w:ascii="Calibri" w:hAnsi="Calibri" w:cs="Calibri"/>
          <w:lang w:val="ro-RO"/>
        </w:rPr>
        <w:t>N</w:t>
      </w:r>
      <w:r w:rsidR="00BD587B" w:rsidRPr="00834B27">
        <w:rPr>
          <w:rFonts w:ascii="Calibri" w:hAnsi="Calibri" w:cs="Calibri"/>
          <w:lang w:val="ro-RO"/>
        </w:rPr>
        <w:t>u în ultimul rând</w:t>
      </w:r>
      <w:r w:rsidR="004B5FDA" w:rsidRPr="00834B27">
        <w:rPr>
          <w:rFonts w:ascii="Calibri" w:hAnsi="Calibri" w:cs="Calibri"/>
          <w:lang w:val="ro-RO"/>
        </w:rPr>
        <w:t xml:space="preserve">, </w:t>
      </w:r>
      <w:r w:rsidR="00B1792A" w:rsidRPr="00834B27">
        <w:rPr>
          <w:rFonts w:ascii="Calibri" w:hAnsi="Calibri" w:cs="Calibri"/>
          <w:lang w:val="ro-RO"/>
        </w:rPr>
        <w:t>fragmentarea</w:t>
      </w:r>
      <w:r w:rsidR="001002D8" w:rsidRPr="00834B27">
        <w:rPr>
          <w:rFonts w:ascii="Calibri" w:hAnsi="Calibri" w:cs="Calibri"/>
          <w:lang w:val="ro-RO"/>
        </w:rPr>
        <w:t xml:space="preserve"> re</w:t>
      </w:r>
      <w:r w:rsidR="00CF68F2" w:rsidRPr="00834B27">
        <w:rPr>
          <w:rFonts w:ascii="Calibri" w:hAnsi="Calibri" w:cs="Calibri"/>
          <w:lang w:val="ro-RO"/>
        </w:rPr>
        <w:t>g</w:t>
      </w:r>
      <w:r w:rsidR="001002D8" w:rsidRPr="00834B27">
        <w:rPr>
          <w:rFonts w:ascii="Calibri" w:hAnsi="Calibri" w:cs="Calibri"/>
          <w:lang w:val="ro-RO"/>
        </w:rPr>
        <w:t xml:space="preserve">lementărilor </w:t>
      </w:r>
      <w:r w:rsidR="00CF68F2" w:rsidRPr="00834B27">
        <w:rPr>
          <w:rFonts w:ascii="Calibri" w:hAnsi="Calibri" w:cs="Calibri"/>
          <w:lang w:val="ro-RO"/>
        </w:rPr>
        <w:t>generează</w:t>
      </w:r>
      <w:r w:rsidR="00373C84" w:rsidRPr="00834B27">
        <w:rPr>
          <w:rFonts w:ascii="Calibri" w:hAnsi="Calibri" w:cs="Calibri"/>
          <w:lang w:val="ro-RO"/>
        </w:rPr>
        <w:t xml:space="preserve"> pentru anumite categorii de contribuabili obligația de a plăti CASS </w:t>
      </w:r>
      <w:r w:rsidR="0033591C" w:rsidRPr="00834B27">
        <w:rPr>
          <w:rFonts w:ascii="Calibri" w:hAnsi="Calibri" w:cs="Calibri"/>
          <w:lang w:val="ro-RO"/>
        </w:rPr>
        <w:t>chiar si de 4 ori:</w:t>
      </w:r>
    </w:p>
    <w:p w14:paraId="0A20446D" w14:textId="120487AE" w:rsidR="00BB0492" w:rsidRPr="00834B27" w:rsidRDefault="0033591C" w:rsidP="0033591C">
      <w:pPr>
        <w:pStyle w:val="Listparagraf"/>
        <w:spacing w:line="276" w:lineRule="auto"/>
        <w:ind w:left="360"/>
        <w:contextualSpacing w:val="0"/>
        <w:jc w:val="both"/>
        <w:rPr>
          <w:rFonts w:ascii="Calibri" w:hAnsi="Calibri" w:cs="Calibri"/>
          <w:lang w:val="ro-RO"/>
        </w:rPr>
      </w:pPr>
      <w:r w:rsidRPr="00834B27">
        <w:rPr>
          <w:rFonts w:ascii="Calibri" w:hAnsi="Calibri" w:cs="Calibri"/>
          <w:lang w:val="ro-RO"/>
        </w:rPr>
        <w:t xml:space="preserve">i) pentru veniturile </w:t>
      </w:r>
      <w:r w:rsidR="00BB0492" w:rsidRPr="00834B27">
        <w:rPr>
          <w:rFonts w:ascii="Calibri" w:hAnsi="Calibri" w:cs="Calibri"/>
          <w:lang w:val="ro-RO"/>
        </w:rPr>
        <w:t>din salarii și asimilate salariilor, la venitul brut, neplafonat</w:t>
      </w:r>
      <w:r w:rsidR="00A560DC" w:rsidRPr="00834B27">
        <w:rPr>
          <w:rFonts w:ascii="Calibri" w:hAnsi="Calibri" w:cs="Calibri"/>
          <w:lang w:val="ro-RO"/>
        </w:rPr>
        <w:t>;</w:t>
      </w:r>
    </w:p>
    <w:p w14:paraId="78CAA48D" w14:textId="6B25334D" w:rsidR="00C01918" w:rsidRPr="00834B27" w:rsidRDefault="007C723C" w:rsidP="0033591C">
      <w:pPr>
        <w:pStyle w:val="Listparagraf"/>
        <w:spacing w:line="276" w:lineRule="auto"/>
        <w:ind w:left="360"/>
        <w:contextualSpacing w:val="0"/>
        <w:jc w:val="both"/>
        <w:rPr>
          <w:rFonts w:ascii="Calibri" w:hAnsi="Calibri" w:cs="Calibri"/>
          <w:lang w:val="ro-RO"/>
        </w:rPr>
      </w:pPr>
      <w:r w:rsidRPr="00834B27">
        <w:rPr>
          <w:rFonts w:ascii="Calibri" w:hAnsi="Calibri" w:cs="Calibri"/>
          <w:lang w:val="ro-RO"/>
        </w:rPr>
        <w:t>ii) pentru veniturile din activități independente, la venitul net, dar nu mai mult de 72 de SM</w:t>
      </w:r>
      <w:r w:rsidR="00A560DC" w:rsidRPr="00834B27">
        <w:rPr>
          <w:rFonts w:ascii="Calibri" w:hAnsi="Calibri" w:cs="Calibri"/>
          <w:lang w:val="ro-RO"/>
        </w:rPr>
        <w:t>;</w:t>
      </w:r>
    </w:p>
    <w:p w14:paraId="53B21DD0" w14:textId="37CE558F" w:rsidR="00117451" w:rsidRPr="00834B27" w:rsidRDefault="00C01918" w:rsidP="002A6BC3">
      <w:pPr>
        <w:pStyle w:val="Listparagraf"/>
        <w:spacing w:line="276" w:lineRule="auto"/>
        <w:ind w:left="360"/>
        <w:contextualSpacing w:val="0"/>
        <w:jc w:val="both"/>
        <w:rPr>
          <w:rFonts w:ascii="Calibri" w:hAnsi="Calibri" w:cs="Calibri"/>
          <w:lang w:val="ro-RO"/>
        </w:rPr>
      </w:pPr>
      <w:r w:rsidRPr="00834B27">
        <w:rPr>
          <w:rFonts w:ascii="Calibri" w:hAnsi="Calibri" w:cs="Calibri"/>
          <w:lang w:val="ro-RO"/>
        </w:rPr>
        <w:t>iii) pentru veniturile din coș</w:t>
      </w:r>
      <w:r w:rsidR="00892E34" w:rsidRPr="00834B27">
        <w:rPr>
          <w:rFonts w:ascii="Calibri" w:hAnsi="Calibri" w:cs="Calibri"/>
          <w:lang w:val="ro-RO"/>
        </w:rPr>
        <w:t>, la 6/12/24 de S</w:t>
      </w:r>
      <w:r w:rsidR="002A6BC3" w:rsidRPr="00834B27">
        <w:rPr>
          <w:rFonts w:ascii="Calibri" w:hAnsi="Calibri" w:cs="Calibri"/>
          <w:lang w:val="ro-RO"/>
        </w:rPr>
        <w:t>M</w:t>
      </w:r>
      <w:r w:rsidR="00A560DC" w:rsidRPr="00834B27">
        <w:rPr>
          <w:rFonts w:ascii="Calibri" w:hAnsi="Calibri" w:cs="Calibri"/>
          <w:lang w:val="ro-RO"/>
        </w:rPr>
        <w:t>;</w:t>
      </w:r>
    </w:p>
    <w:p w14:paraId="3D4ECDCD" w14:textId="1B2B29F7" w:rsidR="00001F3D" w:rsidRPr="00834B27" w:rsidRDefault="00117451" w:rsidP="00474A05">
      <w:pPr>
        <w:pStyle w:val="Listparagraf"/>
        <w:spacing w:line="276" w:lineRule="auto"/>
        <w:ind w:left="360"/>
        <w:contextualSpacing w:val="0"/>
        <w:jc w:val="both"/>
        <w:rPr>
          <w:rFonts w:ascii="Calibri" w:hAnsi="Calibri" w:cs="Calibri"/>
          <w:u w:val="single"/>
          <w:lang w:val="ro-RO"/>
        </w:rPr>
      </w:pPr>
      <w:r w:rsidRPr="00834B27">
        <w:rPr>
          <w:rFonts w:ascii="Calibri" w:hAnsi="Calibri" w:cs="Calibri"/>
          <w:lang w:val="ro-RO"/>
        </w:rPr>
        <w:t xml:space="preserve">iv) pentru venituri din pensie, pentru suma ce depășește </w:t>
      </w:r>
      <w:r w:rsidR="008E5FDB" w:rsidRPr="00834B27">
        <w:rPr>
          <w:rFonts w:ascii="Calibri" w:hAnsi="Calibri" w:cs="Calibri"/>
          <w:lang w:val="ro-RO"/>
        </w:rPr>
        <w:t>3.000 lei/lună</w:t>
      </w:r>
      <w:r w:rsidR="00A560DC" w:rsidRPr="00834B27">
        <w:rPr>
          <w:rFonts w:ascii="Calibri" w:hAnsi="Calibri" w:cs="Calibri"/>
          <w:lang w:val="ro-RO"/>
        </w:rPr>
        <w:t>.</w:t>
      </w:r>
      <w:r w:rsidR="00001F3D" w:rsidRPr="00834B27">
        <w:rPr>
          <w:rFonts w:ascii="Calibri" w:hAnsi="Calibri" w:cs="Calibri"/>
          <w:lang w:val="ro-RO"/>
        </w:rPr>
        <w:t>De</w:t>
      </w:r>
      <w:r w:rsidR="00124B42" w:rsidRPr="00834B27">
        <w:rPr>
          <w:rFonts w:ascii="Calibri" w:hAnsi="Calibri" w:cs="Calibri"/>
          <w:lang w:val="ro-RO"/>
        </w:rPr>
        <w:t xml:space="preserve"> </w:t>
      </w:r>
      <w:r w:rsidR="00001F3D" w:rsidRPr="00834B27">
        <w:rPr>
          <w:rFonts w:ascii="Calibri" w:hAnsi="Calibri" w:cs="Calibri"/>
          <w:lang w:val="ro-RO"/>
        </w:rPr>
        <w:t xml:space="preserve">altfel, </w:t>
      </w:r>
      <w:r w:rsidR="00124B42" w:rsidRPr="00834B27">
        <w:rPr>
          <w:rFonts w:ascii="Calibri" w:hAnsi="Calibri" w:cs="Calibri"/>
          <w:lang w:val="ro-RO"/>
        </w:rPr>
        <w:t>așa</w:t>
      </w:r>
      <w:r w:rsidR="00001F3D" w:rsidRPr="00834B27">
        <w:rPr>
          <w:rFonts w:ascii="Calibri" w:hAnsi="Calibri" w:cs="Calibri"/>
          <w:lang w:val="ro-RO"/>
        </w:rPr>
        <w:t xml:space="preserve"> cum se poate vedea din Tabel</w:t>
      </w:r>
      <w:r w:rsidR="00FB77DC" w:rsidRPr="00834B27">
        <w:rPr>
          <w:rFonts w:ascii="Calibri" w:hAnsi="Calibri" w:cs="Calibri"/>
          <w:lang w:val="ro-RO"/>
        </w:rPr>
        <w:t xml:space="preserve">ul 2, </w:t>
      </w:r>
      <w:r w:rsidR="002F7BA9" w:rsidRPr="00834B27">
        <w:rPr>
          <w:rFonts w:ascii="Calibri" w:hAnsi="Calibri" w:cs="Calibri"/>
          <w:lang w:val="ro-RO"/>
        </w:rPr>
        <w:t>aproximativ</w:t>
      </w:r>
      <w:r w:rsidR="00FB77DC" w:rsidRPr="00834B27">
        <w:rPr>
          <w:rFonts w:ascii="Calibri" w:hAnsi="Calibri" w:cs="Calibri"/>
          <w:lang w:val="ro-RO"/>
        </w:rPr>
        <w:t xml:space="preserve"> </w:t>
      </w:r>
      <w:r w:rsidR="00FB77DC" w:rsidRPr="00834B27">
        <w:rPr>
          <w:rFonts w:ascii="Calibri" w:hAnsi="Calibri" w:cs="Calibri"/>
          <w:b/>
          <w:bCs/>
          <w:lang w:val="ro-RO"/>
        </w:rPr>
        <w:t>6</w:t>
      </w:r>
      <w:r w:rsidR="002F7BA9" w:rsidRPr="00834B27">
        <w:rPr>
          <w:rFonts w:ascii="Calibri" w:hAnsi="Calibri" w:cs="Calibri"/>
          <w:b/>
          <w:bCs/>
          <w:lang w:val="ro-RO"/>
        </w:rPr>
        <w:t>4</w:t>
      </w:r>
      <w:r w:rsidR="00FB77DC" w:rsidRPr="00834B27">
        <w:rPr>
          <w:rFonts w:ascii="Calibri" w:hAnsi="Calibri" w:cs="Calibri"/>
          <w:b/>
          <w:bCs/>
          <w:lang w:val="ro-RO"/>
        </w:rPr>
        <w:t>%</w:t>
      </w:r>
      <w:r w:rsidR="00FB77DC" w:rsidRPr="00834B27">
        <w:rPr>
          <w:rFonts w:ascii="Calibri" w:hAnsi="Calibri" w:cs="Calibri"/>
          <w:lang w:val="ro-RO"/>
        </w:rPr>
        <w:t xml:space="preserve"> din IV </w:t>
      </w:r>
      <w:r w:rsidR="00FD164C" w:rsidRPr="00834B27">
        <w:rPr>
          <w:rFonts w:ascii="Calibri" w:hAnsi="Calibri" w:cs="Calibri"/>
          <w:lang w:val="ro-RO"/>
        </w:rPr>
        <w:t xml:space="preserve">bugetat pentru anul 2025 </w:t>
      </w:r>
      <w:r w:rsidR="00D21097" w:rsidRPr="00834B27">
        <w:rPr>
          <w:rFonts w:ascii="Calibri" w:hAnsi="Calibri" w:cs="Calibri"/>
          <w:lang w:val="ro-RO"/>
        </w:rPr>
        <w:t>(aprox. 5</w:t>
      </w:r>
      <w:r w:rsidR="00EB0109" w:rsidRPr="00834B27">
        <w:rPr>
          <w:rFonts w:ascii="Calibri" w:hAnsi="Calibri" w:cs="Calibri"/>
          <w:lang w:val="ro-RO"/>
        </w:rPr>
        <w:t>7,3</w:t>
      </w:r>
      <w:r w:rsidR="00D21097" w:rsidRPr="00834B27">
        <w:rPr>
          <w:rFonts w:ascii="Calibri" w:hAnsi="Calibri" w:cs="Calibri"/>
          <w:lang w:val="ro-RO"/>
        </w:rPr>
        <w:t xml:space="preserve"> miliarde lei) </w:t>
      </w:r>
      <w:r w:rsidR="00FD164C" w:rsidRPr="00834B27">
        <w:rPr>
          <w:rFonts w:ascii="Calibri" w:hAnsi="Calibri" w:cs="Calibri"/>
          <w:lang w:val="ro-RO"/>
        </w:rPr>
        <w:t>provine din impozitul pe sa</w:t>
      </w:r>
      <w:r w:rsidR="007B11E8" w:rsidRPr="00834B27">
        <w:rPr>
          <w:rFonts w:ascii="Calibri" w:hAnsi="Calibri" w:cs="Calibri"/>
          <w:lang w:val="ro-RO"/>
        </w:rPr>
        <w:t xml:space="preserve">larii, impozit </w:t>
      </w:r>
      <w:r w:rsidR="00124B42" w:rsidRPr="00834B27">
        <w:rPr>
          <w:rFonts w:ascii="Calibri" w:hAnsi="Calibri" w:cs="Calibri"/>
          <w:lang w:val="ro-RO"/>
        </w:rPr>
        <w:t>re</w:t>
      </w:r>
      <w:r w:rsidR="00D77C4B" w:rsidRPr="00834B27">
        <w:rPr>
          <w:rFonts w:ascii="Calibri" w:hAnsi="Calibri" w:cs="Calibri"/>
          <w:lang w:val="ro-RO"/>
        </w:rPr>
        <w:t>ț</w:t>
      </w:r>
      <w:r w:rsidR="00124B42" w:rsidRPr="00834B27">
        <w:rPr>
          <w:rFonts w:ascii="Calibri" w:hAnsi="Calibri" w:cs="Calibri"/>
          <w:lang w:val="ro-RO"/>
        </w:rPr>
        <w:t>inut</w:t>
      </w:r>
      <w:r w:rsidR="007B11E8" w:rsidRPr="00834B27">
        <w:rPr>
          <w:rFonts w:ascii="Calibri" w:hAnsi="Calibri" w:cs="Calibri"/>
          <w:lang w:val="ro-RO"/>
        </w:rPr>
        <w:t xml:space="preserve"> </w:t>
      </w:r>
      <w:r w:rsidR="00124B42" w:rsidRPr="00834B27">
        <w:rPr>
          <w:rFonts w:ascii="Calibri" w:hAnsi="Calibri" w:cs="Calibri"/>
          <w:lang w:val="ro-RO"/>
        </w:rPr>
        <w:t>ș</w:t>
      </w:r>
      <w:r w:rsidR="007B11E8" w:rsidRPr="00834B27">
        <w:rPr>
          <w:rFonts w:ascii="Calibri" w:hAnsi="Calibri" w:cs="Calibri"/>
          <w:lang w:val="ro-RO"/>
        </w:rPr>
        <w:t xml:space="preserve">i </w:t>
      </w:r>
      <w:r w:rsidR="00124B42" w:rsidRPr="00834B27">
        <w:rPr>
          <w:rFonts w:ascii="Calibri" w:hAnsi="Calibri" w:cs="Calibri"/>
          <w:lang w:val="ro-RO"/>
        </w:rPr>
        <w:t>plătit</w:t>
      </w:r>
      <w:r w:rsidR="007B11E8" w:rsidRPr="00834B27">
        <w:rPr>
          <w:rFonts w:ascii="Calibri" w:hAnsi="Calibri" w:cs="Calibri"/>
          <w:lang w:val="ro-RO"/>
        </w:rPr>
        <w:t xml:space="preserve"> la buget, lunar, de </w:t>
      </w:r>
      <w:r w:rsidR="00124B42" w:rsidRPr="00834B27">
        <w:rPr>
          <w:rFonts w:ascii="Calibri" w:hAnsi="Calibri" w:cs="Calibri"/>
          <w:lang w:val="ro-RO"/>
        </w:rPr>
        <w:t>către</w:t>
      </w:r>
      <w:r w:rsidR="007B11E8" w:rsidRPr="00834B27">
        <w:rPr>
          <w:rFonts w:ascii="Calibri" w:hAnsi="Calibri" w:cs="Calibri"/>
          <w:lang w:val="ro-RO"/>
        </w:rPr>
        <w:t xml:space="preserve"> angajatori. A doua cea mai mare pondere </w:t>
      </w:r>
      <w:r w:rsidR="00D21097" w:rsidRPr="00834B27">
        <w:rPr>
          <w:rFonts w:ascii="Calibri" w:hAnsi="Calibri" w:cs="Calibri"/>
          <w:lang w:val="ro-RO"/>
        </w:rPr>
        <w:t xml:space="preserve">o </w:t>
      </w:r>
      <w:r w:rsidR="00124B42" w:rsidRPr="00834B27">
        <w:rPr>
          <w:rFonts w:ascii="Calibri" w:hAnsi="Calibri" w:cs="Calibri"/>
          <w:lang w:val="ro-RO"/>
        </w:rPr>
        <w:t>reprezintă</w:t>
      </w:r>
      <w:r w:rsidR="00D21097" w:rsidRPr="00834B27">
        <w:rPr>
          <w:rFonts w:ascii="Calibri" w:hAnsi="Calibri" w:cs="Calibri"/>
          <w:lang w:val="ro-RO"/>
        </w:rPr>
        <w:t xml:space="preserve"> </w:t>
      </w:r>
      <w:r w:rsidR="006F55F0" w:rsidRPr="00834B27">
        <w:rPr>
          <w:rFonts w:ascii="Calibri" w:hAnsi="Calibri" w:cs="Calibri"/>
          <w:lang w:val="ro-RO"/>
        </w:rPr>
        <w:t xml:space="preserve">impozitul pe dividende </w:t>
      </w:r>
      <w:r w:rsidR="002929AB" w:rsidRPr="00834B27">
        <w:rPr>
          <w:rFonts w:ascii="Calibri" w:hAnsi="Calibri" w:cs="Calibri"/>
          <w:lang w:val="ro-RO"/>
        </w:rPr>
        <w:t xml:space="preserve">– </w:t>
      </w:r>
      <w:r w:rsidR="002B6307" w:rsidRPr="00834B27">
        <w:rPr>
          <w:rFonts w:ascii="Calibri" w:hAnsi="Calibri" w:cs="Calibri"/>
          <w:b/>
          <w:bCs/>
          <w:lang w:val="ro-RO"/>
        </w:rPr>
        <w:t>15</w:t>
      </w:r>
      <w:r w:rsidR="00D21097" w:rsidRPr="00834B27">
        <w:rPr>
          <w:rFonts w:ascii="Calibri" w:hAnsi="Calibri" w:cs="Calibri"/>
          <w:b/>
          <w:bCs/>
          <w:lang w:val="ro-RO"/>
        </w:rPr>
        <w:t>%</w:t>
      </w:r>
      <w:r w:rsidR="00DC2608" w:rsidRPr="00834B27">
        <w:rPr>
          <w:rFonts w:ascii="Calibri" w:hAnsi="Calibri" w:cs="Calibri"/>
          <w:b/>
          <w:bCs/>
          <w:lang w:val="ro-RO"/>
        </w:rPr>
        <w:t>,</w:t>
      </w:r>
      <w:r w:rsidR="00DC2608" w:rsidRPr="00834B27">
        <w:rPr>
          <w:rFonts w:ascii="Calibri" w:hAnsi="Calibri" w:cs="Calibri"/>
          <w:lang w:val="ro-RO"/>
        </w:rPr>
        <w:t xml:space="preserve"> de asemenea </w:t>
      </w:r>
      <w:r w:rsidR="00124B42" w:rsidRPr="00834B27">
        <w:rPr>
          <w:rFonts w:ascii="Calibri" w:hAnsi="Calibri" w:cs="Calibri"/>
          <w:lang w:val="ro-RO"/>
        </w:rPr>
        <w:t>re</w:t>
      </w:r>
      <w:r w:rsidR="00D77C4B" w:rsidRPr="00834B27">
        <w:rPr>
          <w:rFonts w:ascii="Calibri" w:hAnsi="Calibri" w:cs="Calibri"/>
          <w:lang w:val="ro-RO"/>
        </w:rPr>
        <w:t>ț</w:t>
      </w:r>
      <w:r w:rsidR="00124B42" w:rsidRPr="00834B27">
        <w:rPr>
          <w:rFonts w:ascii="Calibri" w:hAnsi="Calibri" w:cs="Calibri"/>
          <w:lang w:val="ro-RO"/>
        </w:rPr>
        <w:t>inut</w:t>
      </w:r>
      <w:r w:rsidR="00DC2608" w:rsidRPr="00834B27">
        <w:rPr>
          <w:rFonts w:ascii="Calibri" w:hAnsi="Calibri" w:cs="Calibri"/>
          <w:lang w:val="ro-RO"/>
        </w:rPr>
        <w:t xml:space="preserve"> la surs</w:t>
      </w:r>
      <w:r w:rsidR="00124B42" w:rsidRPr="00834B27">
        <w:rPr>
          <w:rFonts w:ascii="Calibri" w:hAnsi="Calibri" w:cs="Calibri"/>
          <w:lang w:val="ro-RO"/>
        </w:rPr>
        <w:t>ă</w:t>
      </w:r>
      <w:r w:rsidR="00DC2608" w:rsidRPr="00834B27">
        <w:rPr>
          <w:rFonts w:ascii="Calibri" w:hAnsi="Calibri" w:cs="Calibri"/>
          <w:lang w:val="ro-RO"/>
        </w:rPr>
        <w:t xml:space="preserve"> de </w:t>
      </w:r>
      <w:r w:rsidR="00124B42" w:rsidRPr="00834B27">
        <w:rPr>
          <w:rFonts w:ascii="Calibri" w:hAnsi="Calibri" w:cs="Calibri"/>
          <w:lang w:val="ro-RO"/>
        </w:rPr>
        <w:t>către</w:t>
      </w:r>
      <w:r w:rsidR="00DC2608" w:rsidRPr="00834B27">
        <w:rPr>
          <w:rFonts w:ascii="Calibri" w:hAnsi="Calibri" w:cs="Calibri"/>
          <w:lang w:val="ro-RO"/>
        </w:rPr>
        <w:t xml:space="preserve"> </w:t>
      </w:r>
      <w:r w:rsidR="00124B42" w:rsidRPr="00834B27">
        <w:rPr>
          <w:rFonts w:ascii="Calibri" w:hAnsi="Calibri" w:cs="Calibri"/>
          <w:lang w:val="ro-RO"/>
        </w:rPr>
        <w:t>plătitori</w:t>
      </w:r>
      <w:r w:rsidR="008D1745" w:rsidRPr="00834B27">
        <w:rPr>
          <w:rFonts w:ascii="Calibri" w:hAnsi="Calibri" w:cs="Calibri"/>
          <w:lang w:val="ro-RO"/>
        </w:rPr>
        <w:t xml:space="preserve"> (</w:t>
      </w:r>
      <w:r w:rsidR="007F38A1" w:rsidRPr="00834B27">
        <w:rPr>
          <w:rFonts w:ascii="Calibri" w:hAnsi="Calibri" w:cs="Calibri"/>
          <w:lang w:val="ro-RO"/>
        </w:rPr>
        <w:t>excep</w:t>
      </w:r>
      <w:r w:rsidR="00D77C4B" w:rsidRPr="00834B27">
        <w:rPr>
          <w:rFonts w:ascii="Calibri" w:hAnsi="Calibri" w:cs="Calibri"/>
          <w:lang w:val="ro-RO"/>
        </w:rPr>
        <w:t>ț</w:t>
      </w:r>
      <w:r w:rsidR="007F38A1" w:rsidRPr="00834B27">
        <w:rPr>
          <w:rFonts w:ascii="Calibri" w:hAnsi="Calibri" w:cs="Calibri"/>
          <w:lang w:val="ro-RO"/>
        </w:rPr>
        <w:t>ie</w:t>
      </w:r>
      <w:r w:rsidR="008D1745" w:rsidRPr="00834B27">
        <w:rPr>
          <w:rFonts w:ascii="Calibri" w:hAnsi="Calibri" w:cs="Calibri"/>
          <w:lang w:val="ro-RO"/>
        </w:rPr>
        <w:t xml:space="preserve"> </w:t>
      </w:r>
      <w:r w:rsidR="007F38A1" w:rsidRPr="00834B27">
        <w:rPr>
          <w:rFonts w:ascii="Calibri" w:hAnsi="Calibri" w:cs="Calibri"/>
          <w:lang w:val="ro-RO"/>
        </w:rPr>
        <w:t>făcând</w:t>
      </w:r>
      <w:r w:rsidR="008D1745" w:rsidRPr="00834B27">
        <w:rPr>
          <w:rFonts w:ascii="Calibri" w:hAnsi="Calibri" w:cs="Calibri"/>
          <w:lang w:val="ro-RO"/>
        </w:rPr>
        <w:t xml:space="preserve"> dividendele primite din </w:t>
      </w:r>
      <w:r w:rsidR="007F38A1" w:rsidRPr="00834B27">
        <w:rPr>
          <w:rFonts w:ascii="Calibri" w:hAnsi="Calibri" w:cs="Calibri"/>
          <w:lang w:val="ro-RO"/>
        </w:rPr>
        <w:t>străinătate</w:t>
      </w:r>
      <w:r w:rsidR="008D1745" w:rsidRPr="00834B27">
        <w:rPr>
          <w:rFonts w:ascii="Calibri" w:hAnsi="Calibri" w:cs="Calibri"/>
          <w:lang w:val="ro-RO"/>
        </w:rPr>
        <w:t>)</w:t>
      </w:r>
      <w:r w:rsidR="007F38A1" w:rsidRPr="00834B27">
        <w:rPr>
          <w:rFonts w:ascii="Calibri" w:hAnsi="Calibri" w:cs="Calibri"/>
          <w:lang w:val="ro-RO"/>
        </w:rPr>
        <w:t>,</w:t>
      </w:r>
      <w:r w:rsidR="00DC2608" w:rsidRPr="00834B27">
        <w:rPr>
          <w:rFonts w:ascii="Calibri" w:hAnsi="Calibri" w:cs="Calibri"/>
          <w:lang w:val="ro-RO"/>
        </w:rPr>
        <w:t xml:space="preserve"> iar a treia cea mai mare pondere </w:t>
      </w:r>
      <w:r w:rsidR="0051561B" w:rsidRPr="00834B27">
        <w:rPr>
          <w:rFonts w:ascii="Calibri" w:hAnsi="Calibri" w:cs="Calibri"/>
          <w:lang w:val="ro-RO"/>
        </w:rPr>
        <w:t>o reprezintă</w:t>
      </w:r>
      <w:r w:rsidR="00CD32AF" w:rsidRPr="00834B27">
        <w:rPr>
          <w:rFonts w:ascii="Calibri" w:hAnsi="Calibri" w:cs="Calibri"/>
          <w:lang w:val="ro-RO"/>
        </w:rPr>
        <w:t xml:space="preserve"> impozitul pe pensii </w:t>
      </w:r>
      <w:r w:rsidR="00033BC5" w:rsidRPr="00834B27">
        <w:rPr>
          <w:rFonts w:ascii="Calibri" w:hAnsi="Calibri" w:cs="Calibri"/>
          <w:lang w:val="ro-RO"/>
        </w:rPr>
        <w:t>–</w:t>
      </w:r>
      <w:r w:rsidR="00CD32AF" w:rsidRPr="00834B27">
        <w:rPr>
          <w:rFonts w:ascii="Calibri" w:hAnsi="Calibri" w:cs="Calibri"/>
          <w:lang w:val="ro-RO"/>
        </w:rPr>
        <w:t xml:space="preserve"> </w:t>
      </w:r>
      <w:r w:rsidR="002B6307" w:rsidRPr="00834B27">
        <w:rPr>
          <w:rFonts w:ascii="Calibri" w:hAnsi="Calibri" w:cs="Calibri"/>
          <w:b/>
          <w:bCs/>
          <w:lang w:val="ro-RO"/>
        </w:rPr>
        <w:t>8</w:t>
      </w:r>
      <w:r w:rsidR="002B6307" w:rsidRPr="00834B27">
        <w:rPr>
          <w:rFonts w:ascii="Calibri" w:hAnsi="Calibri" w:cs="Calibri"/>
          <w:lang w:val="ro-RO"/>
        </w:rPr>
        <w:t>,</w:t>
      </w:r>
      <w:r w:rsidR="00033BC5" w:rsidRPr="00834B27">
        <w:rPr>
          <w:rFonts w:ascii="Calibri" w:hAnsi="Calibri" w:cs="Calibri"/>
          <w:b/>
          <w:bCs/>
          <w:lang w:val="ro-RO"/>
        </w:rPr>
        <w:t>9%,</w:t>
      </w:r>
      <w:r w:rsidR="00033BC5" w:rsidRPr="00834B27">
        <w:rPr>
          <w:rFonts w:ascii="Calibri" w:hAnsi="Calibri" w:cs="Calibri"/>
          <w:lang w:val="ro-RO"/>
        </w:rPr>
        <w:t xml:space="preserve"> </w:t>
      </w:r>
      <w:r w:rsidR="00124B42" w:rsidRPr="00834B27">
        <w:rPr>
          <w:rFonts w:ascii="Calibri" w:hAnsi="Calibri" w:cs="Calibri"/>
          <w:lang w:val="ro-RO"/>
        </w:rPr>
        <w:t>de asemenea</w:t>
      </w:r>
      <w:r w:rsidR="008E4491" w:rsidRPr="00834B27">
        <w:rPr>
          <w:rFonts w:ascii="Calibri" w:hAnsi="Calibri" w:cs="Calibri"/>
          <w:lang w:val="ro-RO"/>
        </w:rPr>
        <w:t>,</w:t>
      </w:r>
      <w:r w:rsidR="00033BC5" w:rsidRPr="00834B27">
        <w:rPr>
          <w:rFonts w:ascii="Calibri" w:hAnsi="Calibri" w:cs="Calibri"/>
          <w:lang w:val="ro-RO"/>
        </w:rPr>
        <w:t xml:space="preserve"> </w:t>
      </w:r>
      <w:r w:rsidR="00124B42" w:rsidRPr="00834B27">
        <w:rPr>
          <w:rFonts w:ascii="Calibri" w:hAnsi="Calibri" w:cs="Calibri"/>
          <w:lang w:val="ro-RO"/>
        </w:rPr>
        <w:t>re</w:t>
      </w:r>
      <w:r w:rsidR="00D77C4B" w:rsidRPr="00834B27">
        <w:rPr>
          <w:rFonts w:ascii="Calibri" w:hAnsi="Calibri" w:cs="Calibri"/>
          <w:lang w:val="ro-RO"/>
        </w:rPr>
        <w:t>ț</w:t>
      </w:r>
      <w:r w:rsidR="00124B42" w:rsidRPr="00834B27">
        <w:rPr>
          <w:rFonts w:ascii="Calibri" w:hAnsi="Calibri" w:cs="Calibri"/>
          <w:lang w:val="ro-RO"/>
        </w:rPr>
        <w:t>inut</w:t>
      </w:r>
      <w:r w:rsidR="00033BC5" w:rsidRPr="00834B27">
        <w:rPr>
          <w:rFonts w:ascii="Calibri" w:hAnsi="Calibri" w:cs="Calibri"/>
          <w:lang w:val="ro-RO"/>
        </w:rPr>
        <w:t xml:space="preserve"> de </w:t>
      </w:r>
      <w:r w:rsidR="00124B42" w:rsidRPr="00834B27">
        <w:rPr>
          <w:rFonts w:ascii="Calibri" w:hAnsi="Calibri" w:cs="Calibri"/>
          <w:lang w:val="ro-RO"/>
        </w:rPr>
        <w:t>către</w:t>
      </w:r>
      <w:r w:rsidR="00033BC5" w:rsidRPr="00834B27">
        <w:rPr>
          <w:rFonts w:ascii="Calibri" w:hAnsi="Calibri" w:cs="Calibri"/>
          <w:lang w:val="ro-RO"/>
        </w:rPr>
        <w:t xml:space="preserve"> CNPP. </w:t>
      </w:r>
      <w:r w:rsidR="00326477" w:rsidRPr="00834B27">
        <w:rPr>
          <w:rFonts w:ascii="Calibri" w:hAnsi="Calibri" w:cs="Calibri"/>
          <w:u w:val="single"/>
          <w:lang w:val="ro-RO"/>
        </w:rPr>
        <w:t xml:space="preserve">Practic, </w:t>
      </w:r>
      <w:r w:rsidR="00AD6BEC" w:rsidRPr="00834B27">
        <w:rPr>
          <w:rFonts w:ascii="Calibri" w:hAnsi="Calibri" w:cs="Calibri"/>
          <w:b/>
          <w:bCs/>
          <w:u w:val="single"/>
          <w:lang w:val="ro-RO"/>
        </w:rPr>
        <w:t>9</w:t>
      </w:r>
      <w:r w:rsidR="00620D68" w:rsidRPr="00834B27">
        <w:rPr>
          <w:rFonts w:ascii="Calibri" w:hAnsi="Calibri" w:cs="Calibri"/>
          <w:b/>
          <w:bCs/>
          <w:u w:val="single"/>
          <w:lang w:val="ro-RO"/>
        </w:rPr>
        <w:t>1,7</w:t>
      </w:r>
      <w:r w:rsidR="00AD6BEC" w:rsidRPr="00834B27">
        <w:rPr>
          <w:rFonts w:ascii="Calibri" w:hAnsi="Calibri" w:cs="Calibri"/>
          <w:b/>
          <w:bCs/>
          <w:u w:val="single"/>
          <w:lang w:val="ro-RO"/>
        </w:rPr>
        <w:t>%</w:t>
      </w:r>
      <w:r w:rsidR="00AD6BEC" w:rsidRPr="00834B27">
        <w:rPr>
          <w:rFonts w:ascii="Calibri" w:hAnsi="Calibri" w:cs="Calibri"/>
          <w:u w:val="single"/>
          <w:lang w:val="ro-RO"/>
        </w:rPr>
        <w:t xml:space="preserve"> din </w:t>
      </w:r>
      <w:r w:rsidR="00D52112" w:rsidRPr="00834B27">
        <w:rPr>
          <w:rFonts w:ascii="Calibri" w:hAnsi="Calibri" w:cs="Calibri"/>
          <w:u w:val="single"/>
          <w:lang w:val="ro-RO"/>
        </w:rPr>
        <w:t>IV bugetat, este colectat</w:t>
      </w:r>
      <w:r w:rsidR="008D1745" w:rsidRPr="00834B27">
        <w:rPr>
          <w:rFonts w:ascii="Calibri" w:hAnsi="Calibri" w:cs="Calibri"/>
          <w:u w:val="single"/>
          <w:lang w:val="ro-RO"/>
        </w:rPr>
        <w:t xml:space="preserve"> </w:t>
      </w:r>
      <w:r w:rsidR="007F38A1" w:rsidRPr="00834B27">
        <w:rPr>
          <w:rFonts w:ascii="Calibri" w:hAnsi="Calibri" w:cs="Calibri"/>
          <w:u w:val="single"/>
          <w:lang w:val="ro-RO"/>
        </w:rPr>
        <w:t>astăzi</w:t>
      </w:r>
      <w:r w:rsidR="008D1745" w:rsidRPr="00834B27">
        <w:rPr>
          <w:rFonts w:ascii="Calibri" w:hAnsi="Calibri" w:cs="Calibri"/>
          <w:u w:val="single"/>
          <w:lang w:val="ro-RO"/>
        </w:rPr>
        <w:t xml:space="preserve"> </w:t>
      </w:r>
      <w:r w:rsidR="00D52112" w:rsidRPr="00834B27">
        <w:rPr>
          <w:rFonts w:ascii="Calibri" w:hAnsi="Calibri" w:cs="Calibri"/>
          <w:u w:val="single"/>
          <w:lang w:val="ro-RO"/>
        </w:rPr>
        <w:t xml:space="preserve"> prin </w:t>
      </w:r>
      <w:r w:rsidR="00124B42" w:rsidRPr="00834B27">
        <w:rPr>
          <w:rFonts w:ascii="Calibri" w:hAnsi="Calibri" w:cs="Calibri"/>
          <w:u w:val="single"/>
          <w:lang w:val="ro-RO"/>
        </w:rPr>
        <w:t>re</w:t>
      </w:r>
      <w:r w:rsidR="00D77C4B" w:rsidRPr="00834B27">
        <w:rPr>
          <w:rFonts w:ascii="Calibri" w:hAnsi="Calibri" w:cs="Calibri"/>
          <w:u w:val="single"/>
          <w:lang w:val="ro-RO"/>
        </w:rPr>
        <w:t>ț</w:t>
      </w:r>
      <w:r w:rsidR="00124B42" w:rsidRPr="00834B27">
        <w:rPr>
          <w:rFonts w:ascii="Calibri" w:hAnsi="Calibri" w:cs="Calibri"/>
          <w:u w:val="single"/>
          <w:lang w:val="ro-RO"/>
        </w:rPr>
        <w:t>inere</w:t>
      </w:r>
      <w:r w:rsidR="00D52112" w:rsidRPr="00834B27">
        <w:rPr>
          <w:rFonts w:ascii="Calibri" w:hAnsi="Calibri" w:cs="Calibri"/>
          <w:u w:val="single"/>
          <w:lang w:val="ro-RO"/>
        </w:rPr>
        <w:t xml:space="preserve"> la surs</w:t>
      </w:r>
      <w:r w:rsidR="00124B42" w:rsidRPr="00834B27">
        <w:rPr>
          <w:rFonts w:ascii="Calibri" w:hAnsi="Calibri" w:cs="Calibri"/>
          <w:u w:val="single"/>
          <w:lang w:val="ro-RO"/>
        </w:rPr>
        <w:t>ă</w:t>
      </w:r>
      <w:r w:rsidR="00D52112" w:rsidRPr="00834B27">
        <w:rPr>
          <w:rFonts w:ascii="Calibri" w:hAnsi="Calibri" w:cs="Calibri"/>
          <w:u w:val="single"/>
          <w:lang w:val="ro-RO"/>
        </w:rPr>
        <w:t>.</w:t>
      </w:r>
      <w:r w:rsidR="006C3CC1" w:rsidRPr="00834B27">
        <w:rPr>
          <w:rStyle w:val="Referinnotdesubsol"/>
          <w:rFonts w:ascii="Calibri" w:hAnsi="Calibri" w:cs="Calibri"/>
          <w:u w:val="single"/>
          <w:lang w:val="ro-RO"/>
        </w:rPr>
        <w:footnoteReference w:id="20"/>
      </w:r>
    </w:p>
    <w:p w14:paraId="21A0A48F" w14:textId="5D8729FF" w:rsidR="00121B04" w:rsidRPr="00834B27" w:rsidRDefault="00121B04" w:rsidP="00B91E74">
      <w:pPr>
        <w:spacing w:line="276" w:lineRule="auto"/>
        <w:jc w:val="both"/>
        <w:rPr>
          <w:rFonts w:ascii="Calibri" w:hAnsi="Calibri" w:cs="Calibri"/>
          <w:lang w:val="ro-RO"/>
        </w:rPr>
      </w:pPr>
      <w:r w:rsidRPr="00834B27">
        <w:rPr>
          <w:rFonts w:ascii="Calibri" w:hAnsi="Calibri" w:cs="Calibri"/>
          <w:lang w:val="ro-RO"/>
        </w:rPr>
        <w:lastRenderedPageBreak/>
        <w:t>Fragmentarea reglement</w:t>
      </w:r>
      <w:r w:rsidR="007F38A1" w:rsidRPr="00834B27">
        <w:rPr>
          <w:rFonts w:ascii="Calibri" w:hAnsi="Calibri" w:cs="Calibri"/>
          <w:lang w:val="ro-RO"/>
        </w:rPr>
        <w:t>ă</w:t>
      </w:r>
      <w:r w:rsidRPr="00834B27">
        <w:rPr>
          <w:rFonts w:ascii="Calibri" w:hAnsi="Calibri" w:cs="Calibri"/>
          <w:lang w:val="ro-RO"/>
        </w:rPr>
        <w:t xml:space="preserve">rilor a </w:t>
      </w:r>
      <w:r w:rsidR="00E0499B" w:rsidRPr="00834B27">
        <w:rPr>
          <w:rFonts w:ascii="Calibri" w:hAnsi="Calibri" w:cs="Calibri"/>
          <w:lang w:val="ro-RO"/>
        </w:rPr>
        <w:t xml:space="preserve">avut </w:t>
      </w:r>
      <w:r w:rsidR="00124B42" w:rsidRPr="00834B27">
        <w:rPr>
          <w:rFonts w:ascii="Calibri" w:hAnsi="Calibri" w:cs="Calibri"/>
          <w:lang w:val="ro-RO"/>
        </w:rPr>
        <w:t>ș</w:t>
      </w:r>
      <w:r w:rsidR="00E0499B" w:rsidRPr="00834B27">
        <w:rPr>
          <w:rFonts w:ascii="Calibri" w:hAnsi="Calibri" w:cs="Calibri"/>
          <w:lang w:val="ro-RO"/>
        </w:rPr>
        <w:t>i o alt</w:t>
      </w:r>
      <w:r w:rsidR="00124B42" w:rsidRPr="00834B27">
        <w:rPr>
          <w:rFonts w:ascii="Calibri" w:hAnsi="Calibri" w:cs="Calibri"/>
          <w:lang w:val="ro-RO"/>
        </w:rPr>
        <w:t>ă</w:t>
      </w:r>
      <w:r w:rsidR="00E0499B" w:rsidRPr="00834B27">
        <w:rPr>
          <w:rFonts w:ascii="Calibri" w:hAnsi="Calibri" w:cs="Calibri"/>
          <w:lang w:val="ro-RO"/>
        </w:rPr>
        <w:t xml:space="preserve"> </w:t>
      </w:r>
      <w:r w:rsidR="00124B42" w:rsidRPr="00834B27">
        <w:rPr>
          <w:rFonts w:ascii="Calibri" w:hAnsi="Calibri" w:cs="Calibri"/>
          <w:lang w:val="ro-RO"/>
        </w:rPr>
        <w:t>consecin</w:t>
      </w:r>
      <w:r w:rsidR="00D77C4B" w:rsidRPr="00834B27">
        <w:rPr>
          <w:rFonts w:ascii="Calibri" w:hAnsi="Calibri" w:cs="Calibri"/>
          <w:lang w:val="ro-RO"/>
        </w:rPr>
        <w:t>ț</w:t>
      </w:r>
      <w:r w:rsidR="00124B42" w:rsidRPr="00834B27">
        <w:rPr>
          <w:rFonts w:ascii="Calibri" w:hAnsi="Calibri" w:cs="Calibri"/>
          <w:lang w:val="ro-RO"/>
        </w:rPr>
        <w:t>ă</w:t>
      </w:r>
      <w:r w:rsidR="00E0499B" w:rsidRPr="00834B27">
        <w:rPr>
          <w:rFonts w:ascii="Calibri" w:hAnsi="Calibri" w:cs="Calibri"/>
          <w:lang w:val="ro-RO"/>
        </w:rPr>
        <w:t xml:space="preserve"> nefast</w:t>
      </w:r>
      <w:r w:rsidR="00124B42" w:rsidRPr="00834B27">
        <w:rPr>
          <w:rFonts w:ascii="Calibri" w:hAnsi="Calibri" w:cs="Calibri"/>
          <w:lang w:val="ro-RO"/>
        </w:rPr>
        <w:t>ă</w:t>
      </w:r>
      <w:r w:rsidR="00E93748" w:rsidRPr="00834B27">
        <w:rPr>
          <w:rFonts w:ascii="Calibri" w:hAnsi="Calibri" w:cs="Calibri"/>
          <w:lang w:val="ro-RO"/>
        </w:rPr>
        <w:t>, un num</w:t>
      </w:r>
      <w:r w:rsidR="00124B42" w:rsidRPr="00834B27">
        <w:rPr>
          <w:rFonts w:ascii="Calibri" w:hAnsi="Calibri" w:cs="Calibri"/>
          <w:lang w:val="ro-RO"/>
        </w:rPr>
        <w:t>ă</w:t>
      </w:r>
      <w:r w:rsidR="00E93748" w:rsidRPr="00834B27">
        <w:rPr>
          <w:rFonts w:ascii="Calibri" w:hAnsi="Calibri" w:cs="Calibri"/>
          <w:lang w:val="ro-RO"/>
        </w:rPr>
        <w:t xml:space="preserve">r imens de </w:t>
      </w:r>
      <w:r w:rsidR="00124B42" w:rsidRPr="00834B27">
        <w:rPr>
          <w:rFonts w:ascii="Calibri" w:hAnsi="Calibri" w:cs="Calibri"/>
          <w:lang w:val="ro-RO"/>
        </w:rPr>
        <w:t>modificări</w:t>
      </w:r>
      <w:r w:rsidR="003856D9" w:rsidRPr="00834B27">
        <w:rPr>
          <w:rFonts w:ascii="Calibri" w:hAnsi="Calibri" w:cs="Calibri"/>
          <w:lang w:val="ro-RO"/>
        </w:rPr>
        <w:t xml:space="preserve"> ale </w:t>
      </w:r>
      <w:r w:rsidR="00124B42" w:rsidRPr="00834B27">
        <w:rPr>
          <w:rFonts w:ascii="Calibri" w:hAnsi="Calibri" w:cs="Calibri"/>
          <w:lang w:val="ro-RO"/>
        </w:rPr>
        <w:t>legisla</w:t>
      </w:r>
      <w:r w:rsidR="00D77C4B" w:rsidRPr="00834B27">
        <w:rPr>
          <w:rFonts w:ascii="Calibri" w:hAnsi="Calibri" w:cs="Calibri"/>
          <w:lang w:val="ro-RO"/>
        </w:rPr>
        <w:t>ț</w:t>
      </w:r>
      <w:r w:rsidR="00124B42" w:rsidRPr="00834B27">
        <w:rPr>
          <w:rFonts w:ascii="Calibri" w:hAnsi="Calibri" w:cs="Calibri"/>
          <w:lang w:val="ro-RO"/>
        </w:rPr>
        <w:t>iei</w:t>
      </w:r>
      <w:r w:rsidR="00871B7C" w:rsidRPr="00834B27">
        <w:rPr>
          <w:rFonts w:ascii="Calibri" w:hAnsi="Calibri" w:cs="Calibri"/>
          <w:lang w:val="ro-RO"/>
        </w:rPr>
        <w:t xml:space="preserve"> fiscale! </w:t>
      </w:r>
    </w:p>
    <w:p w14:paraId="699592B7" w14:textId="242C391B" w:rsidR="00871B7C" w:rsidRPr="00834B27" w:rsidRDefault="00871B7C" w:rsidP="00B91E74">
      <w:pPr>
        <w:spacing w:line="276" w:lineRule="auto"/>
        <w:jc w:val="both"/>
        <w:rPr>
          <w:rFonts w:ascii="Calibri" w:hAnsi="Calibri" w:cs="Calibri"/>
          <w:lang w:val="ro-RO"/>
        </w:rPr>
      </w:pPr>
      <w:r w:rsidRPr="00834B27">
        <w:rPr>
          <w:rFonts w:ascii="Calibri" w:hAnsi="Calibri" w:cs="Calibri"/>
          <w:lang w:val="ro-RO"/>
        </w:rPr>
        <w:t>Din 2015 p</w:t>
      </w:r>
      <w:r w:rsidR="00124B42" w:rsidRPr="00834B27">
        <w:rPr>
          <w:rFonts w:ascii="Calibri" w:hAnsi="Calibri" w:cs="Calibri"/>
          <w:lang w:val="ro-RO"/>
        </w:rPr>
        <w:t>â</w:t>
      </w:r>
      <w:r w:rsidRPr="00834B27">
        <w:rPr>
          <w:rFonts w:ascii="Calibri" w:hAnsi="Calibri" w:cs="Calibri"/>
          <w:lang w:val="ro-RO"/>
        </w:rPr>
        <w:t>n</w:t>
      </w:r>
      <w:r w:rsidR="00124B42" w:rsidRPr="00834B27">
        <w:rPr>
          <w:rFonts w:ascii="Calibri" w:hAnsi="Calibri" w:cs="Calibri"/>
          <w:lang w:val="ro-RO"/>
        </w:rPr>
        <w:t>ă</w:t>
      </w:r>
      <w:r w:rsidRPr="00834B27">
        <w:rPr>
          <w:rFonts w:ascii="Calibri" w:hAnsi="Calibri" w:cs="Calibri"/>
          <w:lang w:val="ro-RO"/>
        </w:rPr>
        <w:t xml:space="preserve"> la </w:t>
      </w:r>
      <w:r w:rsidR="00124B42" w:rsidRPr="00834B27">
        <w:rPr>
          <w:rFonts w:ascii="Calibri" w:hAnsi="Calibri" w:cs="Calibri"/>
          <w:lang w:val="ro-RO"/>
        </w:rPr>
        <w:t>sfârșitul</w:t>
      </w:r>
      <w:r w:rsidRPr="00834B27">
        <w:rPr>
          <w:rFonts w:ascii="Calibri" w:hAnsi="Calibri" w:cs="Calibri"/>
          <w:lang w:val="ro-RO"/>
        </w:rPr>
        <w:t xml:space="preserve"> lui 2024,</w:t>
      </w:r>
      <w:r w:rsidR="00B32D2B" w:rsidRPr="00834B27">
        <w:rPr>
          <w:rFonts w:ascii="Calibri" w:hAnsi="Calibri" w:cs="Calibri"/>
          <w:lang w:val="ro-RO"/>
        </w:rPr>
        <w:t xml:space="preserve"> </w:t>
      </w:r>
      <w:r w:rsidR="00900C92" w:rsidRPr="00834B27">
        <w:rPr>
          <w:rFonts w:ascii="Calibri" w:hAnsi="Calibri" w:cs="Calibri"/>
          <w:lang w:val="ro-RO"/>
        </w:rPr>
        <w:t>am inventariat</w:t>
      </w:r>
      <w:r w:rsidR="005C0924" w:rsidRPr="00834B27">
        <w:rPr>
          <w:rFonts w:ascii="Calibri" w:hAnsi="Calibri" w:cs="Calibri"/>
          <w:lang w:val="ro-RO"/>
        </w:rPr>
        <w:t xml:space="preserve"> că au fost făcute</w:t>
      </w:r>
      <w:r w:rsidR="00900C92" w:rsidRPr="00834B27">
        <w:rPr>
          <w:rFonts w:ascii="Calibri" w:hAnsi="Calibri" w:cs="Calibri"/>
          <w:lang w:val="ro-RO"/>
        </w:rPr>
        <w:t xml:space="preserve"> 200 de </w:t>
      </w:r>
      <w:r w:rsidR="00124B42" w:rsidRPr="00834B27">
        <w:rPr>
          <w:rFonts w:ascii="Calibri" w:hAnsi="Calibri" w:cs="Calibri"/>
          <w:lang w:val="ro-RO"/>
        </w:rPr>
        <w:t>modificări</w:t>
      </w:r>
      <w:r w:rsidR="00900C92" w:rsidRPr="00834B27">
        <w:rPr>
          <w:rFonts w:ascii="Calibri" w:hAnsi="Calibri" w:cs="Calibri"/>
          <w:lang w:val="ro-RO"/>
        </w:rPr>
        <w:t xml:space="preserve"> ale </w:t>
      </w:r>
      <w:r w:rsidRPr="00834B27">
        <w:rPr>
          <w:rFonts w:ascii="Calibri" w:hAnsi="Calibri" w:cs="Calibri"/>
          <w:lang w:val="ro-RO"/>
        </w:rPr>
        <w:t xml:space="preserve"> </w:t>
      </w:r>
      <w:r w:rsidR="002C7B03" w:rsidRPr="00834B27">
        <w:rPr>
          <w:rFonts w:ascii="Calibri" w:hAnsi="Calibri" w:cs="Calibri"/>
          <w:lang w:val="ro-RO"/>
        </w:rPr>
        <w:t>Titlu</w:t>
      </w:r>
      <w:r w:rsidR="00900C92" w:rsidRPr="00834B27">
        <w:rPr>
          <w:rFonts w:ascii="Calibri" w:hAnsi="Calibri" w:cs="Calibri"/>
          <w:lang w:val="ro-RO"/>
        </w:rPr>
        <w:t>lui</w:t>
      </w:r>
      <w:r w:rsidR="002C7B03" w:rsidRPr="00834B27">
        <w:rPr>
          <w:rFonts w:ascii="Calibri" w:hAnsi="Calibri" w:cs="Calibri"/>
          <w:lang w:val="ro-RO"/>
        </w:rPr>
        <w:t xml:space="preserve"> IV (Impozit pe venit) </w:t>
      </w:r>
      <w:r w:rsidR="00124B42" w:rsidRPr="00834B27">
        <w:rPr>
          <w:rFonts w:ascii="Calibri" w:hAnsi="Calibri" w:cs="Calibri"/>
          <w:lang w:val="ro-RO"/>
        </w:rPr>
        <w:t>ș</w:t>
      </w:r>
      <w:r w:rsidR="002C7B03" w:rsidRPr="00834B27">
        <w:rPr>
          <w:rFonts w:ascii="Calibri" w:hAnsi="Calibri" w:cs="Calibri"/>
          <w:lang w:val="ro-RO"/>
        </w:rPr>
        <w:t xml:space="preserve">i </w:t>
      </w:r>
      <w:r w:rsidR="00124B42" w:rsidRPr="00834B27">
        <w:rPr>
          <w:rFonts w:ascii="Calibri" w:hAnsi="Calibri" w:cs="Calibri"/>
          <w:lang w:val="ro-RO"/>
        </w:rPr>
        <w:t>î</w:t>
      </w:r>
      <w:r w:rsidR="009A631A" w:rsidRPr="00834B27">
        <w:rPr>
          <w:rFonts w:ascii="Calibri" w:hAnsi="Calibri" w:cs="Calibri"/>
          <w:lang w:val="ro-RO"/>
        </w:rPr>
        <w:t>nc</w:t>
      </w:r>
      <w:r w:rsidR="00124B42" w:rsidRPr="00834B27">
        <w:rPr>
          <w:rFonts w:ascii="Calibri" w:hAnsi="Calibri" w:cs="Calibri"/>
          <w:lang w:val="ro-RO"/>
        </w:rPr>
        <w:t>ă</w:t>
      </w:r>
      <w:r w:rsidR="009A631A" w:rsidRPr="00834B27">
        <w:rPr>
          <w:rFonts w:ascii="Calibri" w:hAnsi="Calibri" w:cs="Calibri"/>
          <w:lang w:val="ro-RO"/>
        </w:rPr>
        <w:t xml:space="preserve"> pe</w:t>
      </w:r>
      <w:r w:rsidR="00124B42" w:rsidRPr="00834B27">
        <w:rPr>
          <w:rFonts w:ascii="Calibri" w:hAnsi="Calibri" w:cs="Calibri"/>
          <w:lang w:val="ro-RO"/>
        </w:rPr>
        <w:t>-</w:t>
      </w:r>
      <w:r w:rsidR="009A631A" w:rsidRPr="00834B27">
        <w:rPr>
          <w:rFonts w:ascii="Calibri" w:hAnsi="Calibri" w:cs="Calibri"/>
          <w:lang w:val="ro-RO"/>
        </w:rPr>
        <w:t>at</w:t>
      </w:r>
      <w:r w:rsidR="00124B42" w:rsidRPr="00834B27">
        <w:rPr>
          <w:rFonts w:ascii="Calibri" w:hAnsi="Calibri" w:cs="Calibri"/>
          <w:lang w:val="ro-RO"/>
        </w:rPr>
        <w:t>â</w:t>
      </w:r>
      <w:r w:rsidR="009A631A" w:rsidRPr="00834B27">
        <w:rPr>
          <w:rFonts w:ascii="Calibri" w:hAnsi="Calibri" w:cs="Calibri"/>
          <w:lang w:val="ro-RO"/>
        </w:rPr>
        <w:t xml:space="preserve">tea (196) </w:t>
      </w:r>
      <w:r w:rsidR="0016163D" w:rsidRPr="00834B27">
        <w:rPr>
          <w:rFonts w:ascii="Calibri" w:hAnsi="Calibri" w:cs="Calibri"/>
          <w:lang w:val="ro-RO"/>
        </w:rPr>
        <w:t xml:space="preserve">ale </w:t>
      </w:r>
      <w:r w:rsidR="00B9590D" w:rsidRPr="00834B27">
        <w:rPr>
          <w:rFonts w:ascii="Calibri" w:hAnsi="Calibri" w:cs="Calibri"/>
          <w:lang w:val="ro-RO"/>
        </w:rPr>
        <w:t>Titlul</w:t>
      </w:r>
      <w:r w:rsidR="0016163D" w:rsidRPr="00834B27">
        <w:rPr>
          <w:rFonts w:ascii="Calibri" w:hAnsi="Calibri" w:cs="Calibri"/>
          <w:lang w:val="ro-RO"/>
        </w:rPr>
        <w:t>ui</w:t>
      </w:r>
      <w:r w:rsidR="00B9590D" w:rsidRPr="00834B27">
        <w:rPr>
          <w:rFonts w:ascii="Calibri" w:hAnsi="Calibri" w:cs="Calibri"/>
          <w:lang w:val="ro-RO"/>
        </w:rPr>
        <w:t xml:space="preserve"> V (</w:t>
      </w:r>
      <w:r w:rsidR="00124B42" w:rsidRPr="00834B27">
        <w:rPr>
          <w:rFonts w:ascii="Calibri" w:hAnsi="Calibri" w:cs="Calibri"/>
          <w:lang w:val="ro-RO"/>
        </w:rPr>
        <w:t>Contribu</w:t>
      </w:r>
      <w:r w:rsidR="00D77C4B" w:rsidRPr="00834B27">
        <w:rPr>
          <w:rFonts w:ascii="Calibri" w:hAnsi="Calibri" w:cs="Calibri"/>
          <w:lang w:val="ro-RO"/>
        </w:rPr>
        <w:t>ț</w:t>
      </w:r>
      <w:r w:rsidR="00124B42" w:rsidRPr="00834B27">
        <w:rPr>
          <w:rFonts w:ascii="Calibri" w:hAnsi="Calibri" w:cs="Calibri"/>
          <w:lang w:val="ro-RO"/>
        </w:rPr>
        <w:t>ii</w:t>
      </w:r>
      <w:r w:rsidR="00820E6B" w:rsidRPr="00834B27">
        <w:rPr>
          <w:rFonts w:ascii="Calibri" w:hAnsi="Calibri" w:cs="Calibri"/>
          <w:lang w:val="ro-RO"/>
        </w:rPr>
        <w:t xml:space="preserve"> sociale obligatorii)</w:t>
      </w:r>
      <w:r w:rsidR="0016163D" w:rsidRPr="00834B27">
        <w:rPr>
          <w:rFonts w:ascii="Calibri" w:hAnsi="Calibri" w:cs="Calibri"/>
          <w:lang w:val="ro-RO"/>
        </w:rPr>
        <w:t>, iar 2025 a adus</w:t>
      </w:r>
      <w:r w:rsidR="005C0924" w:rsidRPr="00834B27">
        <w:rPr>
          <w:rFonts w:ascii="Calibri" w:hAnsi="Calibri" w:cs="Calibri"/>
          <w:lang w:val="ro-RO"/>
        </w:rPr>
        <w:t xml:space="preserve"> încă</w:t>
      </w:r>
      <w:r w:rsidR="0016163D" w:rsidRPr="00834B27">
        <w:rPr>
          <w:rFonts w:ascii="Calibri" w:hAnsi="Calibri" w:cs="Calibri"/>
          <w:lang w:val="ro-RO"/>
        </w:rPr>
        <w:t xml:space="preserve"> cel </w:t>
      </w:r>
      <w:r w:rsidR="00124B42" w:rsidRPr="00834B27">
        <w:rPr>
          <w:rFonts w:ascii="Calibri" w:hAnsi="Calibri" w:cs="Calibri"/>
          <w:lang w:val="ro-RO"/>
        </w:rPr>
        <w:t>pu</w:t>
      </w:r>
      <w:r w:rsidR="00D77C4B" w:rsidRPr="00834B27">
        <w:rPr>
          <w:rFonts w:ascii="Calibri" w:hAnsi="Calibri" w:cs="Calibri"/>
          <w:lang w:val="ro-RO"/>
        </w:rPr>
        <w:t>ț</w:t>
      </w:r>
      <w:r w:rsidR="00124B42" w:rsidRPr="00834B27">
        <w:rPr>
          <w:rFonts w:ascii="Calibri" w:hAnsi="Calibri" w:cs="Calibri"/>
          <w:lang w:val="ro-RO"/>
        </w:rPr>
        <w:t>in</w:t>
      </w:r>
      <w:r w:rsidR="0016163D" w:rsidRPr="00834B27">
        <w:rPr>
          <w:rFonts w:ascii="Calibri" w:hAnsi="Calibri" w:cs="Calibri"/>
          <w:lang w:val="ro-RO"/>
        </w:rPr>
        <w:t xml:space="preserve"> </w:t>
      </w:r>
      <w:r w:rsidR="008B6E36" w:rsidRPr="00834B27">
        <w:rPr>
          <w:rFonts w:ascii="Calibri" w:hAnsi="Calibri" w:cs="Calibri"/>
          <w:lang w:val="ro-RO"/>
        </w:rPr>
        <w:t xml:space="preserve">50 de alte </w:t>
      </w:r>
      <w:r w:rsidR="00124B42" w:rsidRPr="00834B27">
        <w:rPr>
          <w:rFonts w:ascii="Calibri" w:hAnsi="Calibri" w:cs="Calibri"/>
          <w:lang w:val="ro-RO"/>
        </w:rPr>
        <w:t>modificări</w:t>
      </w:r>
      <w:r w:rsidR="00FF4241" w:rsidRPr="00834B27">
        <w:rPr>
          <w:rFonts w:ascii="Calibri" w:hAnsi="Calibri" w:cs="Calibri"/>
          <w:lang w:val="ro-RO"/>
        </w:rPr>
        <w:t>.</w:t>
      </w:r>
    </w:p>
    <w:p w14:paraId="0391E2E9" w14:textId="6430C374" w:rsidR="008B6E36" w:rsidRPr="00834B27" w:rsidRDefault="00124B42" w:rsidP="00B91E74">
      <w:pPr>
        <w:spacing w:line="276" w:lineRule="auto"/>
        <w:jc w:val="both"/>
        <w:rPr>
          <w:rFonts w:ascii="Calibri" w:hAnsi="Calibri" w:cs="Calibri"/>
          <w:b/>
          <w:bCs/>
          <w:lang w:val="ro-RO"/>
        </w:rPr>
      </w:pPr>
      <w:r w:rsidRPr="00834B27">
        <w:rPr>
          <w:rFonts w:ascii="Calibri" w:hAnsi="Calibri" w:cs="Calibri"/>
          <w:b/>
          <w:bCs/>
          <w:lang w:val="ro-RO"/>
        </w:rPr>
        <w:t>Î</w:t>
      </w:r>
      <w:r w:rsidR="008B6E36" w:rsidRPr="00834B27">
        <w:rPr>
          <w:rFonts w:ascii="Calibri" w:hAnsi="Calibri" w:cs="Calibri"/>
          <w:b/>
          <w:bCs/>
          <w:lang w:val="ro-RO"/>
        </w:rPr>
        <w:t xml:space="preserve">n total, </w:t>
      </w:r>
      <w:r w:rsidRPr="00834B27">
        <w:rPr>
          <w:rFonts w:ascii="Calibri" w:hAnsi="Calibri" w:cs="Calibri"/>
          <w:b/>
          <w:bCs/>
          <w:lang w:val="ro-RO"/>
        </w:rPr>
        <w:t>î</w:t>
      </w:r>
      <w:r w:rsidR="008B6E36" w:rsidRPr="00834B27">
        <w:rPr>
          <w:rFonts w:ascii="Calibri" w:hAnsi="Calibri" w:cs="Calibri"/>
          <w:b/>
          <w:bCs/>
          <w:lang w:val="ro-RO"/>
        </w:rPr>
        <w:t xml:space="preserve">n </w:t>
      </w:r>
      <w:r w:rsidR="00282967" w:rsidRPr="00834B27">
        <w:rPr>
          <w:rFonts w:ascii="Calibri" w:hAnsi="Calibri" w:cs="Calibri"/>
          <w:b/>
          <w:bCs/>
          <w:lang w:val="ro-RO"/>
        </w:rPr>
        <w:t xml:space="preserve">cei 10 ani de aplicare a noului CF, avem deci </w:t>
      </w:r>
      <w:r w:rsidR="005C0924" w:rsidRPr="00834B27">
        <w:rPr>
          <w:rFonts w:ascii="Calibri" w:hAnsi="Calibri" w:cs="Calibri"/>
          <w:b/>
          <w:bCs/>
          <w:lang w:val="ro-RO"/>
        </w:rPr>
        <w:t>peste</w:t>
      </w:r>
      <w:r w:rsidR="00282967" w:rsidRPr="00834B27">
        <w:rPr>
          <w:rFonts w:ascii="Calibri" w:hAnsi="Calibri" w:cs="Calibri"/>
          <w:b/>
          <w:bCs/>
          <w:lang w:val="ro-RO"/>
        </w:rPr>
        <w:t xml:space="preserve"> 450 de </w:t>
      </w:r>
      <w:r w:rsidR="00B91E74" w:rsidRPr="00834B27">
        <w:rPr>
          <w:rFonts w:ascii="Calibri" w:hAnsi="Calibri" w:cs="Calibri"/>
          <w:b/>
          <w:bCs/>
          <w:lang w:val="ro-RO"/>
        </w:rPr>
        <w:t>modificări</w:t>
      </w:r>
      <w:r w:rsidR="00282967" w:rsidRPr="00834B27">
        <w:rPr>
          <w:rFonts w:ascii="Calibri" w:hAnsi="Calibri" w:cs="Calibri"/>
          <w:b/>
          <w:bCs/>
          <w:lang w:val="ro-RO"/>
        </w:rPr>
        <w:t xml:space="preserve"> ale acestuia, doar </w:t>
      </w:r>
      <w:r w:rsidR="00B91E74" w:rsidRPr="00834B27">
        <w:rPr>
          <w:rFonts w:ascii="Calibri" w:hAnsi="Calibri" w:cs="Calibri"/>
          <w:b/>
          <w:bCs/>
          <w:lang w:val="ro-RO"/>
        </w:rPr>
        <w:t>î</w:t>
      </w:r>
      <w:r w:rsidR="00282967" w:rsidRPr="00834B27">
        <w:rPr>
          <w:rFonts w:ascii="Calibri" w:hAnsi="Calibri" w:cs="Calibri"/>
          <w:b/>
          <w:bCs/>
          <w:lang w:val="ro-RO"/>
        </w:rPr>
        <w:t xml:space="preserve">n ceea ce </w:t>
      </w:r>
      <w:r w:rsidR="00B91E74" w:rsidRPr="00834B27">
        <w:rPr>
          <w:rFonts w:ascii="Calibri" w:hAnsi="Calibri" w:cs="Calibri"/>
          <w:b/>
          <w:bCs/>
          <w:lang w:val="ro-RO"/>
        </w:rPr>
        <w:t>privește</w:t>
      </w:r>
      <w:r w:rsidR="00FF4241" w:rsidRPr="00834B27">
        <w:rPr>
          <w:rFonts w:ascii="Calibri" w:hAnsi="Calibri" w:cs="Calibri"/>
          <w:b/>
          <w:bCs/>
          <w:lang w:val="ro-RO"/>
        </w:rPr>
        <w:t xml:space="preserve"> IV, CAS, CASS</w:t>
      </w:r>
      <w:r w:rsidR="003C0DF9" w:rsidRPr="00834B27">
        <w:rPr>
          <w:rFonts w:ascii="Calibri" w:hAnsi="Calibri" w:cs="Calibri"/>
          <w:b/>
          <w:bCs/>
          <w:lang w:val="ro-RO"/>
        </w:rPr>
        <w:t>.</w:t>
      </w:r>
      <w:r w:rsidR="00490E98" w:rsidRPr="00834B27">
        <w:rPr>
          <w:rFonts w:ascii="Calibri" w:hAnsi="Calibri" w:cs="Calibri"/>
          <w:b/>
          <w:bCs/>
          <w:lang w:val="ro-RO"/>
        </w:rPr>
        <w:t xml:space="preserve"> </w:t>
      </w:r>
      <w:r w:rsidR="003C0DF9" w:rsidRPr="00834B27">
        <w:rPr>
          <w:rFonts w:ascii="Calibri" w:hAnsi="Calibri" w:cs="Calibri"/>
          <w:b/>
          <w:bCs/>
          <w:lang w:val="ro-RO"/>
        </w:rPr>
        <w:t>Î</w:t>
      </w:r>
      <w:r w:rsidR="00490E98" w:rsidRPr="00834B27">
        <w:rPr>
          <w:rFonts w:ascii="Calibri" w:hAnsi="Calibri" w:cs="Calibri"/>
          <w:b/>
          <w:bCs/>
          <w:lang w:val="ro-RO"/>
        </w:rPr>
        <w:t>n medie</w:t>
      </w:r>
      <w:r w:rsidR="003C0DF9" w:rsidRPr="00834B27">
        <w:rPr>
          <w:rFonts w:ascii="Calibri" w:hAnsi="Calibri" w:cs="Calibri"/>
          <w:b/>
          <w:bCs/>
          <w:lang w:val="ro-RO"/>
        </w:rPr>
        <w:t>,</w:t>
      </w:r>
      <w:r w:rsidR="00490E98" w:rsidRPr="00834B27">
        <w:rPr>
          <w:rFonts w:ascii="Calibri" w:hAnsi="Calibri" w:cs="Calibri"/>
          <w:b/>
          <w:bCs/>
          <w:lang w:val="ro-RO"/>
        </w:rPr>
        <w:t xml:space="preserve"> aproape 4 </w:t>
      </w:r>
      <w:r w:rsidR="00B91E74" w:rsidRPr="00834B27">
        <w:rPr>
          <w:rFonts w:ascii="Calibri" w:hAnsi="Calibri" w:cs="Calibri"/>
          <w:b/>
          <w:bCs/>
          <w:lang w:val="ro-RO"/>
        </w:rPr>
        <w:t>modificări</w:t>
      </w:r>
      <w:r w:rsidR="00490E98" w:rsidRPr="00834B27">
        <w:rPr>
          <w:rFonts w:ascii="Calibri" w:hAnsi="Calibri" w:cs="Calibri"/>
          <w:b/>
          <w:bCs/>
          <w:lang w:val="ro-RO"/>
        </w:rPr>
        <w:t>/lun</w:t>
      </w:r>
      <w:r w:rsidR="004E4818" w:rsidRPr="00834B27">
        <w:rPr>
          <w:rFonts w:ascii="Calibri" w:hAnsi="Calibri" w:cs="Calibri"/>
          <w:b/>
          <w:bCs/>
          <w:lang w:val="ro-RO"/>
        </w:rPr>
        <w:t>ă</w:t>
      </w:r>
      <w:r w:rsidR="00A306EE" w:rsidRPr="00834B27">
        <w:rPr>
          <w:rFonts w:ascii="Calibri" w:hAnsi="Calibri" w:cs="Calibri"/>
          <w:b/>
          <w:bCs/>
          <w:lang w:val="ro-RO"/>
        </w:rPr>
        <w:t>!</w:t>
      </w:r>
    </w:p>
    <w:p w14:paraId="184505A7" w14:textId="1EC6A033" w:rsidR="00780A61" w:rsidRPr="00834B27" w:rsidRDefault="00780A61" w:rsidP="00B91E74">
      <w:pPr>
        <w:spacing w:line="276" w:lineRule="auto"/>
        <w:jc w:val="both"/>
        <w:rPr>
          <w:rFonts w:ascii="Calibri" w:hAnsi="Calibri" w:cs="Calibri"/>
          <w:lang w:val="ro-RO"/>
        </w:rPr>
      </w:pPr>
      <w:r w:rsidRPr="00834B27">
        <w:rPr>
          <w:rFonts w:ascii="Calibri" w:hAnsi="Calibri" w:cs="Calibri"/>
          <w:lang w:val="ro-RO"/>
        </w:rPr>
        <w:t>Interesant de observat</w:t>
      </w:r>
      <w:r w:rsidR="005C0924" w:rsidRPr="00834B27">
        <w:rPr>
          <w:rFonts w:ascii="Calibri" w:hAnsi="Calibri" w:cs="Calibri"/>
          <w:lang w:val="ro-RO"/>
        </w:rPr>
        <w:t xml:space="preserve"> este</w:t>
      </w:r>
      <w:r w:rsidRPr="00834B27">
        <w:rPr>
          <w:rFonts w:ascii="Calibri" w:hAnsi="Calibri" w:cs="Calibri"/>
          <w:lang w:val="ro-RO"/>
        </w:rPr>
        <w:t xml:space="preserve"> </w:t>
      </w:r>
      <w:r w:rsidR="00B91E74" w:rsidRPr="00834B27">
        <w:rPr>
          <w:rFonts w:ascii="Calibri" w:hAnsi="Calibri" w:cs="Calibri"/>
          <w:lang w:val="ro-RO"/>
        </w:rPr>
        <w:t>ș</w:t>
      </w:r>
      <w:r w:rsidRPr="00834B27">
        <w:rPr>
          <w:rFonts w:ascii="Calibri" w:hAnsi="Calibri" w:cs="Calibri"/>
          <w:lang w:val="ro-RO"/>
        </w:rPr>
        <w:t>i c</w:t>
      </w:r>
      <w:r w:rsidR="00B91E74" w:rsidRPr="00834B27">
        <w:rPr>
          <w:rFonts w:ascii="Calibri" w:hAnsi="Calibri" w:cs="Calibri"/>
          <w:lang w:val="ro-RO"/>
        </w:rPr>
        <w:t>ă</w:t>
      </w:r>
      <w:r w:rsidRPr="00834B27">
        <w:rPr>
          <w:rFonts w:ascii="Calibri" w:hAnsi="Calibri" w:cs="Calibri"/>
          <w:lang w:val="ro-RO"/>
        </w:rPr>
        <w:t xml:space="preserve"> </w:t>
      </w:r>
      <w:r w:rsidR="00FD2AD2" w:rsidRPr="00834B27">
        <w:rPr>
          <w:rFonts w:ascii="Calibri" w:hAnsi="Calibri" w:cs="Calibri"/>
          <w:lang w:val="ro-RO"/>
        </w:rPr>
        <w:t xml:space="preserve">impozitul pe venit aferent </w:t>
      </w:r>
      <w:r w:rsidR="00B91E74" w:rsidRPr="00834B27">
        <w:rPr>
          <w:rFonts w:ascii="Calibri" w:hAnsi="Calibri" w:cs="Calibri"/>
          <w:lang w:val="ro-RO"/>
        </w:rPr>
        <w:t>declara</w:t>
      </w:r>
      <w:r w:rsidR="00D77C4B" w:rsidRPr="00834B27">
        <w:rPr>
          <w:rFonts w:ascii="Calibri" w:hAnsi="Calibri" w:cs="Calibri"/>
          <w:lang w:val="ro-RO"/>
        </w:rPr>
        <w:t>ț</w:t>
      </w:r>
      <w:r w:rsidR="00B91E74" w:rsidRPr="00834B27">
        <w:rPr>
          <w:rFonts w:ascii="Calibri" w:hAnsi="Calibri" w:cs="Calibri"/>
          <w:lang w:val="ro-RO"/>
        </w:rPr>
        <w:t>iei</w:t>
      </w:r>
      <w:r w:rsidR="00FD2AD2" w:rsidRPr="00834B27">
        <w:rPr>
          <w:rFonts w:ascii="Calibri" w:hAnsi="Calibri" w:cs="Calibri"/>
          <w:lang w:val="ro-RO"/>
        </w:rPr>
        <w:t xml:space="preserve"> unice (D212) </w:t>
      </w:r>
      <w:r w:rsidR="00B91E74" w:rsidRPr="00834B27">
        <w:rPr>
          <w:rFonts w:ascii="Calibri" w:hAnsi="Calibri" w:cs="Calibri"/>
          <w:lang w:val="ro-RO"/>
        </w:rPr>
        <w:t>reprezintă</w:t>
      </w:r>
      <w:r w:rsidR="005124E4" w:rsidRPr="00834B27">
        <w:rPr>
          <w:rFonts w:ascii="Calibri" w:hAnsi="Calibri" w:cs="Calibri"/>
          <w:lang w:val="ro-RO"/>
        </w:rPr>
        <w:t xml:space="preserve"> doar </w:t>
      </w:r>
      <w:r w:rsidR="004525DC" w:rsidRPr="00834B27">
        <w:rPr>
          <w:rFonts w:ascii="Calibri" w:hAnsi="Calibri" w:cs="Calibri"/>
          <w:b/>
          <w:bCs/>
          <w:lang w:val="ro-RO"/>
        </w:rPr>
        <w:t>6,2%</w:t>
      </w:r>
      <w:r w:rsidR="004525DC" w:rsidRPr="00834B27">
        <w:rPr>
          <w:rFonts w:ascii="Calibri" w:hAnsi="Calibri" w:cs="Calibri"/>
          <w:lang w:val="ro-RO"/>
        </w:rPr>
        <w:t xml:space="preserve"> din total, </w:t>
      </w:r>
      <w:r w:rsidR="00B91E74" w:rsidRPr="00834B27">
        <w:rPr>
          <w:rFonts w:ascii="Calibri" w:hAnsi="Calibri" w:cs="Calibri"/>
          <w:lang w:val="ro-RO"/>
        </w:rPr>
        <w:t>deși</w:t>
      </w:r>
      <w:r w:rsidR="004525DC" w:rsidRPr="00834B27">
        <w:rPr>
          <w:rFonts w:ascii="Calibri" w:hAnsi="Calibri" w:cs="Calibri"/>
          <w:lang w:val="ro-RO"/>
        </w:rPr>
        <w:t xml:space="preserve"> aici sunt incluse </w:t>
      </w:r>
      <w:r w:rsidR="006B291F" w:rsidRPr="00834B27">
        <w:rPr>
          <w:rFonts w:ascii="Calibri" w:hAnsi="Calibri" w:cs="Calibri"/>
          <w:lang w:val="ro-RO"/>
        </w:rPr>
        <w:t xml:space="preserve">veniturile din </w:t>
      </w:r>
      <w:r w:rsidR="00B91E74" w:rsidRPr="00834B27">
        <w:rPr>
          <w:rFonts w:ascii="Calibri" w:hAnsi="Calibri" w:cs="Calibri"/>
          <w:lang w:val="ro-RO"/>
        </w:rPr>
        <w:t>activită</w:t>
      </w:r>
      <w:r w:rsidR="00D77C4B" w:rsidRPr="00834B27">
        <w:rPr>
          <w:rFonts w:ascii="Calibri" w:hAnsi="Calibri" w:cs="Calibri"/>
          <w:lang w:val="ro-RO"/>
        </w:rPr>
        <w:t>ț</w:t>
      </w:r>
      <w:r w:rsidR="00B91E74" w:rsidRPr="00834B27">
        <w:rPr>
          <w:rFonts w:ascii="Calibri" w:hAnsi="Calibri" w:cs="Calibri"/>
          <w:lang w:val="ro-RO"/>
        </w:rPr>
        <w:t>i</w:t>
      </w:r>
      <w:r w:rsidR="006B291F" w:rsidRPr="00834B27">
        <w:rPr>
          <w:rFonts w:ascii="Calibri" w:hAnsi="Calibri" w:cs="Calibri"/>
          <w:lang w:val="ro-RO"/>
        </w:rPr>
        <w:t xml:space="preserve"> independente, veniturile din dividende </w:t>
      </w:r>
      <w:r w:rsidR="00B91E74" w:rsidRPr="00834B27">
        <w:rPr>
          <w:rFonts w:ascii="Calibri" w:hAnsi="Calibri" w:cs="Calibri"/>
          <w:lang w:val="ro-RO"/>
        </w:rPr>
        <w:t>ș</w:t>
      </w:r>
      <w:r w:rsidR="00AB4D4F" w:rsidRPr="00834B27">
        <w:rPr>
          <w:rFonts w:ascii="Calibri" w:hAnsi="Calibri" w:cs="Calibri"/>
          <w:lang w:val="ro-RO"/>
        </w:rPr>
        <w:t xml:space="preserve">i </w:t>
      </w:r>
      <w:r w:rsidR="00B91E74" w:rsidRPr="00834B27">
        <w:rPr>
          <w:rFonts w:ascii="Calibri" w:hAnsi="Calibri" w:cs="Calibri"/>
          <w:lang w:val="ro-RO"/>
        </w:rPr>
        <w:t>dobânzi</w:t>
      </w:r>
      <w:r w:rsidR="00AB4D4F" w:rsidRPr="00834B27">
        <w:rPr>
          <w:rFonts w:ascii="Calibri" w:hAnsi="Calibri" w:cs="Calibri"/>
          <w:lang w:val="ro-RO"/>
        </w:rPr>
        <w:t xml:space="preserve"> </w:t>
      </w:r>
      <w:r w:rsidR="00B91E74" w:rsidRPr="00834B27">
        <w:rPr>
          <w:rFonts w:ascii="Calibri" w:hAnsi="Calibri" w:cs="Calibri"/>
          <w:lang w:val="ro-RO"/>
        </w:rPr>
        <w:t>ob</w:t>
      </w:r>
      <w:r w:rsidR="00D77C4B" w:rsidRPr="00834B27">
        <w:rPr>
          <w:rFonts w:ascii="Calibri" w:hAnsi="Calibri" w:cs="Calibri"/>
          <w:lang w:val="ro-RO"/>
        </w:rPr>
        <w:t>ț</w:t>
      </w:r>
      <w:r w:rsidR="00B91E74" w:rsidRPr="00834B27">
        <w:rPr>
          <w:rFonts w:ascii="Calibri" w:hAnsi="Calibri" w:cs="Calibri"/>
          <w:lang w:val="ro-RO"/>
        </w:rPr>
        <w:t>inute</w:t>
      </w:r>
      <w:r w:rsidR="006B291F" w:rsidRPr="00834B27">
        <w:rPr>
          <w:rFonts w:ascii="Calibri" w:hAnsi="Calibri" w:cs="Calibri"/>
          <w:lang w:val="ro-RO"/>
        </w:rPr>
        <w:t xml:space="preserve"> din </w:t>
      </w:r>
      <w:r w:rsidR="00B91E74" w:rsidRPr="00834B27">
        <w:rPr>
          <w:rFonts w:ascii="Calibri" w:hAnsi="Calibri" w:cs="Calibri"/>
          <w:lang w:val="ro-RO"/>
        </w:rPr>
        <w:t>străinătate</w:t>
      </w:r>
      <w:r w:rsidR="006B291F" w:rsidRPr="00834B27">
        <w:rPr>
          <w:rFonts w:ascii="Calibri" w:hAnsi="Calibri" w:cs="Calibri"/>
          <w:lang w:val="ro-RO"/>
        </w:rPr>
        <w:t xml:space="preserve">, veniturile din chirii, veniturile din </w:t>
      </w:r>
      <w:r w:rsidR="00B91E74" w:rsidRPr="00834B27">
        <w:rPr>
          <w:rFonts w:ascii="Calibri" w:hAnsi="Calibri" w:cs="Calibri"/>
          <w:lang w:val="ro-RO"/>
        </w:rPr>
        <w:t>câștiguri</w:t>
      </w:r>
      <w:r w:rsidR="006B291F" w:rsidRPr="00834B27">
        <w:rPr>
          <w:rFonts w:ascii="Calibri" w:hAnsi="Calibri" w:cs="Calibri"/>
          <w:lang w:val="ro-RO"/>
        </w:rPr>
        <w:t xml:space="preserve"> </w:t>
      </w:r>
      <w:r w:rsidR="00E753DE" w:rsidRPr="00834B27">
        <w:rPr>
          <w:rFonts w:ascii="Calibri" w:hAnsi="Calibri" w:cs="Calibri"/>
          <w:lang w:val="ro-RO"/>
        </w:rPr>
        <w:t xml:space="preserve">din transferul titlurilor de participare </w:t>
      </w:r>
      <w:r w:rsidR="00B91E74" w:rsidRPr="00834B27">
        <w:rPr>
          <w:rFonts w:ascii="Calibri" w:hAnsi="Calibri" w:cs="Calibri"/>
          <w:lang w:val="ro-RO"/>
        </w:rPr>
        <w:t>ș</w:t>
      </w:r>
      <w:r w:rsidR="00E753DE" w:rsidRPr="00834B27">
        <w:rPr>
          <w:rFonts w:ascii="Calibri" w:hAnsi="Calibri" w:cs="Calibri"/>
          <w:lang w:val="ro-RO"/>
        </w:rPr>
        <w:t xml:space="preserve">i instrumentelor derivate (altele </w:t>
      </w:r>
      <w:r w:rsidR="00B91E74" w:rsidRPr="00834B27">
        <w:rPr>
          <w:rFonts w:ascii="Calibri" w:hAnsi="Calibri" w:cs="Calibri"/>
          <w:lang w:val="ro-RO"/>
        </w:rPr>
        <w:t>decât</w:t>
      </w:r>
      <w:r w:rsidR="00E753DE" w:rsidRPr="00834B27">
        <w:rPr>
          <w:rFonts w:ascii="Calibri" w:hAnsi="Calibri" w:cs="Calibri"/>
          <w:lang w:val="ro-RO"/>
        </w:rPr>
        <w:t xml:space="preserve"> c</w:t>
      </w:r>
      <w:r w:rsidR="005C0924" w:rsidRPr="00834B27">
        <w:rPr>
          <w:rFonts w:ascii="Calibri" w:hAnsi="Calibri" w:cs="Calibri"/>
          <w:lang w:val="ro-RO"/>
        </w:rPr>
        <w:t>ele</w:t>
      </w:r>
      <w:r w:rsidR="00E753DE" w:rsidRPr="00834B27">
        <w:rPr>
          <w:rFonts w:ascii="Calibri" w:hAnsi="Calibri" w:cs="Calibri"/>
          <w:lang w:val="ro-RO"/>
        </w:rPr>
        <w:t xml:space="preserve"> </w:t>
      </w:r>
      <w:r w:rsidR="00B91E74" w:rsidRPr="00834B27">
        <w:rPr>
          <w:rFonts w:ascii="Calibri" w:hAnsi="Calibri" w:cs="Calibri"/>
          <w:lang w:val="ro-RO"/>
        </w:rPr>
        <w:t>tranzac</w:t>
      </w:r>
      <w:r w:rsidR="00D77C4B" w:rsidRPr="00834B27">
        <w:rPr>
          <w:rFonts w:ascii="Calibri" w:hAnsi="Calibri" w:cs="Calibri"/>
          <w:lang w:val="ro-RO"/>
        </w:rPr>
        <w:t>ț</w:t>
      </w:r>
      <w:r w:rsidR="00B91E74" w:rsidRPr="00834B27">
        <w:rPr>
          <w:rFonts w:ascii="Calibri" w:hAnsi="Calibri" w:cs="Calibri"/>
          <w:lang w:val="ro-RO"/>
        </w:rPr>
        <w:t>ionate</w:t>
      </w:r>
      <w:r w:rsidR="00E753DE" w:rsidRPr="00834B27">
        <w:rPr>
          <w:rFonts w:ascii="Calibri" w:hAnsi="Calibri" w:cs="Calibri"/>
          <w:lang w:val="ro-RO"/>
        </w:rPr>
        <w:t xml:space="preserve"> prin in</w:t>
      </w:r>
      <w:r w:rsidR="00AB4D4F" w:rsidRPr="00834B27">
        <w:rPr>
          <w:rFonts w:ascii="Calibri" w:hAnsi="Calibri" w:cs="Calibri"/>
          <w:lang w:val="ro-RO"/>
        </w:rPr>
        <w:t xml:space="preserve">termediari </w:t>
      </w:r>
      <w:r w:rsidR="00B91E74" w:rsidRPr="00834B27">
        <w:rPr>
          <w:rFonts w:ascii="Calibri" w:hAnsi="Calibri" w:cs="Calibri"/>
          <w:lang w:val="ro-RO"/>
        </w:rPr>
        <w:t>înregistra</w:t>
      </w:r>
      <w:r w:rsidR="00D77C4B" w:rsidRPr="00834B27">
        <w:rPr>
          <w:rFonts w:ascii="Calibri" w:hAnsi="Calibri" w:cs="Calibri"/>
          <w:lang w:val="ro-RO"/>
        </w:rPr>
        <w:t>ț</w:t>
      </w:r>
      <w:r w:rsidR="00B91E74" w:rsidRPr="00834B27">
        <w:rPr>
          <w:rFonts w:ascii="Calibri" w:hAnsi="Calibri" w:cs="Calibri"/>
          <w:lang w:val="ro-RO"/>
        </w:rPr>
        <w:t>i</w:t>
      </w:r>
      <w:r w:rsidR="00AB4D4F" w:rsidRPr="00834B27">
        <w:rPr>
          <w:rFonts w:ascii="Calibri" w:hAnsi="Calibri" w:cs="Calibri"/>
          <w:lang w:val="ro-RO"/>
        </w:rPr>
        <w:t xml:space="preserve"> </w:t>
      </w:r>
      <w:r w:rsidR="00B91E74" w:rsidRPr="00834B27">
        <w:rPr>
          <w:rFonts w:ascii="Calibri" w:hAnsi="Calibri" w:cs="Calibri"/>
          <w:lang w:val="ro-RO"/>
        </w:rPr>
        <w:t>î</w:t>
      </w:r>
      <w:r w:rsidR="00AB4D4F" w:rsidRPr="00834B27">
        <w:rPr>
          <w:rFonts w:ascii="Calibri" w:hAnsi="Calibri" w:cs="Calibri"/>
          <w:lang w:val="ro-RO"/>
        </w:rPr>
        <w:t>n Rom</w:t>
      </w:r>
      <w:r w:rsidR="00B91E74" w:rsidRPr="00834B27">
        <w:rPr>
          <w:rFonts w:ascii="Calibri" w:hAnsi="Calibri" w:cs="Calibri"/>
          <w:lang w:val="ro-RO"/>
        </w:rPr>
        <w:t>â</w:t>
      </w:r>
      <w:r w:rsidR="00AB4D4F" w:rsidRPr="00834B27">
        <w:rPr>
          <w:rFonts w:ascii="Calibri" w:hAnsi="Calibri" w:cs="Calibri"/>
          <w:lang w:val="ro-RO"/>
        </w:rPr>
        <w:t>nia)</w:t>
      </w:r>
      <w:r w:rsidR="00A42ADC" w:rsidRPr="00834B27">
        <w:rPr>
          <w:rFonts w:ascii="Calibri" w:hAnsi="Calibri" w:cs="Calibri"/>
          <w:lang w:val="ro-RO"/>
        </w:rPr>
        <w:t xml:space="preserve"> precum </w:t>
      </w:r>
      <w:r w:rsidR="00B91E74" w:rsidRPr="00834B27">
        <w:rPr>
          <w:rFonts w:ascii="Calibri" w:hAnsi="Calibri" w:cs="Calibri"/>
          <w:lang w:val="ro-RO"/>
        </w:rPr>
        <w:t>ș</w:t>
      </w:r>
      <w:r w:rsidR="00A42ADC" w:rsidRPr="00834B27">
        <w:rPr>
          <w:rFonts w:ascii="Calibri" w:hAnsi="Calibri" w:cs="Calibri"/>
          <w:lang w:val="ro-RO"/>
        </w:rPr>
        <w:t xml:space="preserve">i alte venituri, </w:t>
      </w:r>
      <w:r w:rsidR="00B91E74" w:rsidRPr="00834B27">
        <w:rPr>
          <w:rFonts w:ascii="Calibri" w:hAnsi="Calibri" w:cs="Calibri"/>
          <w:lang w:val="ro-RO"/>
        </w:rPr>
        <w:t>î</w:t>
      </w:r>
      <w:r w:rsidR="00A42ADC" w:rsidRPr="00834B27">
        <w:rPr>
          <w:rFonts w:ascii="Calibri" w:hAnsi="Calibri" w:cs="Calibri"/>
          <w:lang w:val="ro-RO"/>
        </w:rPr>
        <w:t xml:space="preserve">n special cele din </w:t>
      </w:r>
      <w:r w:rsidR="00B91E74" w:rsidRPr="00834B27">
        <w:rPr>
          <w:rFonts w:ascii="Calibri" w:hAnsi="Calibri" w:cs="Calibri"/>
          <w:lang w:val="ro-RO"/>
        </w:rPr>
        <w:t>transferul</w:t>
      </w:r>
      <w:r w:rsidR="004C1823" w:rsidRPr="00834B27">
        <w:rPr>
          <w:rFonts w:ascii="Calibri" w:hAnsi="Calibri" w:cs="Calibri"/>
          <w:lang w:val="ro-RO"/>
        </w:rPr>
        <w:t xml:space="preserve"> de criptomonede.</w:t>
      </w:r>
      <w:r w:rsidR="004E5173" w:rsidRPr="00834B27">
        <w:rPr>
          <w:rFonts w:ascii="Calibri" w:hAnsi="Calibri" w:cs="Calibri"/>
          <w:lang w:val="ro-RO"/>
        </w:rPr>
        <w:t xml:space="preserve"> </w:t>
      </w:r>
      <w:r w:rsidR="009749D5" w:rsidRPr="00834B27">
        <w:rPr>
          <w:rFonts w:ascii="Calibri" w:hAnsi="Calibri" w:cs="Calibri"/>
          <w:lang w:val="ro-RO"/>
        </w:rPr>
        <w:t xml:space="preserve">O pondere </w:t>
      </w:r>
      <w:r w:rsidR="00B91E74" w:rsidRPr="00834B27">
        <w:rPr>
          <w:rFonts w:ascii="Calibri" w:hAnsi="Calibri" w:cs="Calibri"/>
          <w:lang w:val="ro-RO"/>
        </w:rPr>
        <w:t>atât</w:t>
      </w:r>
      <w:r w:rsidR="009749D5" w:rsidRPr="00834B27">
        <w:rPr>
          <w:rFonts w:ascii="Calibri" w:hAnsi="Calibri" w:cs="Calibri"/>
          <w:lang w:val="ro-RO"/>
        </w:rPr>
        <w:t xml:space="preserve"> de </w:t>
      </w:r>
      <w:r w:rsidR="00B91E74" w:rsidRPr="00834B27">
        <w:rPr>
          <w:rFonts w:ascii="Calibri" w:hAnsi="Calibri" w:cs="Calibri"/>
          <w:lang w:val="ro-RO"/>
        </w:rPr>
        <w:t>scăzută</w:t>
      </w:r>
      <w:r w:rsidR="009749D5" w:rsidRPr="00834B27">
        <w:rPr>
          <w:rFonts w:ascii="Calibri" w:hAnsi="Calibri" w:cs="Calibri"/>
          <w:lang w:val="ro-RO"/>
        </w:rPr>
        <w:t xml:space="preserve"> </w:t>
      </w:r>
      <w:r w:rsidR="00B91E74" w:rsidRPr="00834B27">
        <w:rPr>
          <w:rFonts w:ascii="Calibri" w:hAnsi="Calibri" w:cs="Calibri"/>
          <w:lang w:val="ro-RO"/>
        </w:rPr>
        <w:t>î</w:t>
      </w:r>
      <w:r w:rsidR="009749D5" w:rsidRPr="00834B27">
        <w:rPr>
          <w:rFonts w:ascii="Calibri" w:hAnsi="Calibri" w:cs="Calibri"/>
          <w:lang w:val="ro-RO"/>
        </w:rPr>
        <w:t>n acest caz indic</w:t>
      </w:r>
      <w:r w:rsidR="00B91E74" w:rsidRPr="00834B27">
        <w:rPr>
          <w:rFonts w:ascii="Calibri" w:hAnsi="Calibri" w:cs="Calibri"/>
          <w:lang w:val="ro-RO"/>
        </w:rPr>
        <w:t>ă, î</w:t>
      </w:r>
      <w:r w:rsidR="001A4EAD" w:rsidRPr="00834B27">
        <w:rPr>
          <w:rFonts w:ascii="Calibri" w:hAnsi="Calibri" w:cs="Calibri"/>
          <w:lang w:val="ro-RO"/>
        </w:rPr>
        <w:t xml:space="preserve">n opinia </w:t>
      </w:r>
      <w:r w:rsidR="00B91E74" w:rsidRPr="00834B27">
        <w:rPr>
          <w:rFonts w:ascii="Calibri" w:hAnsi="Calibri" w:cs="Calibri"/>
          <w:lang w:val="ro-RO"/>
        </w:rPr>
        <w:t>noastră</w:t>
      </w:r>
      <w:r w:rsidR="001A4EAD" w:rsidRPr="00834B27">
        <w:rPr>
          <w:rFonts w:ascii="Calibri" w:hAnsi="Calibri" w:cs="Calibri"/>
          <w:lang w:val="ro-RO"/>
        </w:rPr>
        <w:t xml:space="preserve">, </w:t>
      </w:r>
      <w:r w:rsidR="00CF3AEE" w:rsidRPr="00834B27">
        <w:rPr>
          <w:rFonts w:ascii="Calibri" w:hAnsi="Calibri" w:cs="Calibri"/>
          <w:lang w:val="ro-RO"/>
        </w:rPr>
        <w:t xml:space="preserve">probleme grave de </w:t>
      </w:r>
      <w:r w:rsidR="001A4EAD" w:rsidRPr="00834B27">
        <w:rPr>
          <w:rFonts w:ascii="Calibri" w:hAnsi="Calibri" w:cs="Calibri"/>
          <w:lang w:val="ro-RO"/>
        </w:rPr>
        <w:t>conformare</w:t>
      </w:r>
      <w:r w:rsidR="003C0DF9" w:rsidRPr="00834B27">
        <w:rPr>
          <w:rFonts w:ascii="Calibri" w:hAnsi="Calibri" w:cs="Calibri"/>
          <w:lang w:val="ro-RO"/>
        </w:rPr>
        <w:t xml:space="preserve"> și/sau </w:t>
      </w:r>
      <w:r w:rsidR="001A4EAD" w:rsidRPr="00834B27">
        <w:rPr>
          <w:rFonts w:ascii="Calibri" w:hAnsi="Calibri" w:cs="Calibri"/>
          <w:lang w:val="ro-RO"/>
        </w:rPr>
        <w:t xml:space="preserve">administrare, probleme ce sunt </w:t>
      </w:r>
      <w:r w:rsidR="00B91E74" w:rsidRPr="00834B27">
        <w:rPr>
          <w:rFonts w:ascii="Calibri" w:hAnsi="Calibri" w:cs="Calibri"/>
          <w:lang w:val="ro-RO"/>
        </w:rPr>
        <w:t>ș</w:t>
      </w:r>
      <w:r w:rsidR="0016631D" w:rsidRPr="00834B27">
        <w:rPr>
          <w:rFonts w:ascii="Calibri" w:hAnsi="Calibri" w:cs="Calibri"/>
          <w:lang w:val="ro-RO"/>
        </w:rPr>
        <w:t>i rezultatul reglement</w:t>
      </w:r>
      <w:r w:rsidR="003C0DF9" w:rsidRPr="00834B27">
        <w:rPr>
          <w:rFonts w:ascii="Calibri" w:hAnsi="Calibri" w:cs="Calibri"/>
          <w:lang w:val="ro-RO"/>
        </w:rPr>
        <w:t>ă</w:t>
      </w:r>
      <w:r w:rsidR="0016631D" w:rsidRPr="00834B27">
        <w:rPr>
          <w:rFonts w:ascii="Calibri" w:hAnsi="Calibri" w:cs="Calibri"/>
          <w:lang w:val="ro-RO"/>
        </w:rPr>
        <w:t xml:space="preserve">rii fragmentate </w:t>
      </w:r>
      <w:r w:rsidR="00B91E74" w:rsidRPr="00834B27">
        <w:rPr>
          <w:rFonts w:ascii="Calibri" w:hAnsi="Calibri" w:cs="Calibri"/>
          <w:lang w:val="ro-RO"/>
        </w:rPr>
        <w:t>ș</w:t>
      </w:r>
      <w:r w:rsidR="00FF4241" w:rsidRPr="00834B27">
        <w:rPr>
          <w:rFonts w:ascii="Calibri" w:hAnsi="Calibri" w:cs="Calibri"/>
          <w:lang w:val="ro-RO"/>
        </w:rPr>
        <w:t xml:space="preserve">i </w:t>
      </w:r>
      <w:r w:rsidR="00B91E74" w:rsidRPr="00834B27">
        <w:rPr>
          <w:rFonts w:ascii="Calibri" w:hAnsi="Calibri" w:cs="Calibri"/>
          <w:lang w:val="ro-RO"/>
        </w:rPr>
        <w:t>î</w:t>
      </w:r>
      <w:r w:rsidR="00FF4241" w:rsidRPr="00834B27">
        <w:rPr>
          <w:rFonts w:ascii="Calibri" w:hAnsi="Calibri" w:cs="Calibri"/>
          <w:lang w:val="ro-RO"/>
        </w:rPr>
        <w:t>n continu</w:t>
      </w:r>
      <w:r w:rsidR="00B91E74" w:rsidRPr="00834B27">
        <w:rPr>
          <w:rFonts w:ascii="Calibri" w:hAnsi="Calibri" w:cs="Calibri"/>
          <w:lang w:val="ro-RO"/>
        </w:rPr>
        <w:t>ă</w:t>
      </w:r>
      <w:r w:rsidR="00FF4241" w:rsidRPr="00834B27">
        <w:rPr>
          <w:rFonts w:ascii="Calibri" w:hAnsi="Calibri" w:cs="Calibri"/>
          <w:lang w:val="ro-RO"/>
        </w:rPr>
        <w:t xml:space="preserve"> schimbare </w:t>
      </w:r>
      <w:r w:rsidR="00B91E74" w:rsidRPr="00834B27">
        <w:rPr>
          <w:rFonts w:ascii="Calibri" w:hAnsi="Calibri" w:cs="Calibri"/>
          <w:lang w:val="ro-RO"/>
        </w:rPr>
        <w:t>î</w:t>
      </w:r>
      <w:r w:rsidR="00910EF8" w:rsidRPr="00834B27">
        <w:rPr>
          <w:rFonts w:ascii="Calibri" w:hAnsi="Calibri" w:cs="Calibri"/>
          <w:lang w:val="ro-RO"/>
        </w:rPr>
        <w:t xml:space="preserve">n domeniul </w:t>
      </w:r>
      <w:r w:rsidR="00B91E74" w:rsidRPr="00834B27">
        <w:rPr>
          <w:rFonts w:ascii="Calibri" w:hAnsi="Calibri" w:cs="Calibri"/>
          <w:lang w:val="ro-RO"/>
        </w:rPr>
        <w:t>impozitării</w:t>
      </w:r>
      <w:r w:rsidR="00910EF8" w:rsidRPr="00834B27">
        <w:rPr>
          <w:rFonts w:ascii="Calibri" w:hAnsi="Calibri" w:cs="Calibri"/>
          <w:lang w:val="ro-RO"/>
        </w:rPr>
        <w:t xml:space="preserve"> veniturilor personale.</w:t>
      </w:r>
    </w:p>
    <w:p w14:paraId="6D0AD9CC" w14:textId="77777777" w:rsidR="005E334A" w:rsidRPr="00834B27" w:rsidRDefault="005E334A" w:rsidP="00B91E74">
      <w:pPr>
        <w:spacing w:line="276" w:lineRule="auto"/>
        <w:jc w:val="both"/>
        <w:rPr>
          <w:rFonts w:ascii="Calibri" w:hAnsi="Calibri" w:cs="Calibri"/>
          <w:lang w:val="ro-RO"/>
        </w:rPr>
      </w:pPr>
    </w:p>
    <w:p w14:paraId="33A5D759" w14:textId="0BA4DF68" w:rsidR="00F409D8" w:rsidRPr="00834B27" w:rsidRDefault="005E334A" w:rsidP="008B51BD">
      <w:pPr>
        <w:keepNext/>
        <w:spacing w:line="276" w:lineRule="auto"/>
        <w:jc w:val="both"/>
        <w:rPr>
          <w:rFonts w:ascii="Calibri" w:hAnsi="Calibri" w:cs="Calibri"/>
          <w:b/>
          <w:bCs/>
          <w:lang w:val="ro-RO"/>
        </w:rPr>
      </w:pPr>
      <w:r w:rsidRPr="00834B27">
        <w:rPr>
          <w:rFonts w:ascii="Calibri" w:hAnsi="Calibri" w:cs="Calibri"/>
          <w:b/>
          <w:bCs/>
          <w:lang w:val="ro-RO"/>
        </w:rPr>
        <w:t>TABELUL 2</w:t>
      </w:r>
      <w:r w:rsidR="00AF4792" w:rsidRPr="00834B27">
        <w:rPr>
          <w:rFonts w:ascii="Calibri" w:hAnsi="Calibri" w:cs="Calibri"/>
          <w:b/>
          <w:bCs/>
          <w:lang w:val="ro-RO"/>
        </w:rPr>
        <w:t xml:space="preserve"> – Pondere </w:t>
      </w:r>
      <w:r w:rsidR="0059015D" w:rsidRPr="00834B27">
        <w:rPr>
          <w:rFonts w:ascii="Calibri" w:hAnsi="Calibri" w:cs="Calibri"/>
          <w:b/>
          <w:bCs/>
          <w:lang w:val="ro-RO"/>
        </w:rPr>
        <w:t xml:space="preserve">IV </w:t>
      </w:r>
      <w:r w:rsidR="00DF2DDF" w:rsidRPr="00834B27">
        <w:rPr>
          <w:rFonts w:ascii="Calibri" w:hAnsi="Calibri" w:cs="Calibri"/>
          <w:b/>
          <w:bCs/>
          <w:lang w:val="ro-RO"/>
        </w:rPr>
        <w:t xml:space="preserve">pentru </w:t>
      </w:r>
      <w:r w:rsidR="00223F27" w:rsidRPr="00834B27">
        <w:rPr>
          <w:rFonts w:ascii="Calibri" w:hAnsi="Calibri" w:cs="Calibri"/>
          <w:b/>
          <w:bCs/>
          <w:lang w:val="ro-RO"/>
        </w:rPr>
        <w:t xml:space="preserve">venituri salariale </w:t>
      </w:r>
      <w:r w:rsidR="005C0924" w:rsidRPr="00834B27">
        <w:rPr>
          <w:rFonts w:ascii="Calibri" w:hAnsi="Calibri" w:cs="Calibri"/>
          <w:b/>
          <w:bCs/>
          <w:lang w:val="ro-RO"/>
        </w:rPr>
        <w:t>ș</w:t>
      </w:r>
      <w:r w:rsidR="00223F27" w:rsidRPr="00834B27">
        <w:rPr>
          <w:rFonts w:ascii="Calibri" w:hAnsi="Calibri" w:cs="Calibri"/>
          <w:b/>
          <w:bCs/>
          <w:lang w:val="ro-RO"/>
        </w:rPr>
        <w:t xml:space="preserve">i ne-salariale </w:t>
      </w:r>
      <w:r w:rsidR="005C0924" w:rsidRPr="00834B27">
        <w:rPr>
          <w:rFonts w:ascii="Calibri" w:hAnsi="Calibri" w:cs="Calibri"/>
          <w:b/>
          <w:bCs/>
          <w:lang w:val="ro-RO"/>
        </w:rPr>
        <w:t>î</w:t>
      </w:r>
      <w:r w:rsidR="00223F27" w:rsidRPr="00834B27">
        <w:rPr>
          <w:rFonts w:ascii="Calibri" w:hAnsi="Calibri" w:cs="Calibri"/>
          <w:b/>
          <w:bCs/>
          <w:lang w:val="ro-RO"/>
        </w:rPr>
        <w:t>n total IV bugetat</w:t>
      </w:r>
    </w:p>
    <w:tbl>
      <w:tblPr>
        <w:tblW w:w="9505" w:type="dxa"/>
        <w:tblLook w:val="04A0" w:firstRow="1" w:lastRow="0" w:firstColumn="1" w:lastColumn="0" w:noHBand="0" w:noVBand="1"/>
      </w:tblPr>
      <w:tblGrid>
        <w:gridCol w:w="1360"/>
        <w:gridCol w:w="4223"/>
        <w:gridCol w:w="2522"/>
        <w:gridCol w:w="1400"/>
      </w:tblGrid>
      <w:tr w:rsidR="00053D74" w:rsidRPr="00834B27" w14:paraId="2FCE3B56" w14:textId="77777777" w:rsidTr="006948A1">
        <w:trPr>
          <w:trHeight w:val="323"/>
        </w:trPr>
        <w:tc>
          <w:tcPr>
            <w:tcW w:w="1360" w:type="dxa"/>
            <w:tcBorders>
              <w:top w:val="single" w:sz="4" w:space="0" w:color="auto"/>
              <w:left w:val="single" w:sz="4" w:space="0" w:color="auto"/>
              <w:bottom w:val="single" w:sz="4" w:space="0" w:color="auto"/>
              <w:right w:val="single" w:sz="4" w:space="0" w:color="auto"/>
            </w:tcBorders>
            <w:shd w:val="clear" w:color="000000" w:fill="AEAAAA"/>
            <w:noWrap/>
            <w:vAlign w:val="bottom"/>
            <w:hideMark/>
          </w:tcPr>
          <w:p w14:paraId="5606B235" w14:textId="02D2AC87" w:rsidR="00053D74" w:rsidRPr="00834B27" w:rsidRDefault="00053D74" w:rsidP="006948A1">
            <w:pPr>
              <w:keepNext/>
              <w:spacing w:after="0" w:line="276" w:lineRule="auto"/>
              <w:jc w:val="center"/>
              <w:rPr>
                <w:rFonts w:ascii="Calibri" w:eastAsia="Times New Roman" w:hAnsi="Calibri" w:cs="Calibri"/>
                <w:b/>
                <w:bCs/>
                <w:color w:val="000000"/>
                <w:kern w:val="0"/>
                <w:lang w:val="ro-RO" w:eastAsia="ro-RO"/>
                <w14:ligatures w14:val="none"/>
              </w:rPr>
            </w:pPr>
          </w:p>
        </w:tc>
        <w:tc>
          <w:tcPr>
            <w:tcW w:w="4223" w:type="dxa"/>
            <w:tcBorders>
              <w:top w:val="single" w:sz="4" w:space="0" w:color="auto"/>
              <w:left w:val="nil"/>
              <w:bottom w:val="single" w:sz="4" w:space="0" w:color="auto"/>
              <w:right w:val="single" w:sz="4" w:space="0" w:color="auto"/>
            </w:tcBorders>
            <w:shd w:val="clear" w:color="000000" w:fill="AEAAAA"/>
            <w:noWrap/>
            <w:vAlign w:val="center"/>
            <w:hideMark/>
          </w:tcPr>
          <w:p w14:paraId="59EF717F" w14:textId="3FD907BA" w:rsidR="00053D74" w:rsidRPr="00834B27" w:rsidRDefault="00053D74" w:rsidP="006948A1">
            <w:pPr>
              <w:keepNext/>
              <w:spacing w:after="0" w:line="276" w:lineRule="auto"/>
              <w:jc w:val="center"/>
              <w:rPr>
                <w:rFonts w:ascii="Calibri" w:eastAsia="Times New Roman" w:hAnsi="Calibri" w:cs="Calibri"/>
                <w:b/>
                <w:bCs/>
                <w:color w:val="000000"/>
                <w:kern w:val="0"/>
                <w:lang w:val="ro-RO" w:eastAsia="ro-RO"/>
                <w14:ligatures w14:val="none"/>
              </w:rPr>
            </w:pPr>
            <w:r w:rsidRPr="00834B27">
              <w:rPr>
                <w:rFonts w:ascii="Calibri" w:eastAsia="Times New Roman" w:hAnsi="Calibri" w:cs="Calibri"/>
                <w:b/>
                <w:bCs/>
                <w:color w:val="000000"/>
                <w:kern w:val="0"/>
                <w:lang w:val="ro-RO" w:eastAsia="ro-RO"/>
                <w14:ligatures w14:val="none"/>
              </w:rPr>
              <w:t>Tip Venit</w:t>
            </w:r>
          </w:p>
        </w:tc>
        <w:tc>
          <w:tcPr>
            <w:tcW w:w="2522" w:type="dxa"/>
            <w:tcBorders>
              <w:top w:val="single" w:sz="4" w:space="0" w:color="auto"/>
              <w:left w:val="nil"/>
              <w:bottom w:val="single" w:sz="4" w:space="0" w:color="auto"/>
              <w:right w:val="single" w:sz="4" w:space="0" w:color="auto"/>
            </w:tcBorders>
            <w:shd w:val="clear" w:color="000000" w:fill="AEAAAA"/>
            <w:noWrap/>
            <w:vAlign w:val="center"/>
            <w:hideMark/>
          </w:tcPr>
          <w:p w14:paraId="51E1F199" w14:textId="16542720" w:rsidR="00053D74" w:rsidRPr="00834B27" w:rsidRDefault="00053D74" w:rsidP="006948A1">
            <w:pPr>
              <w:keepNext/>
              <w:spacing w:after="0" w:line="276" w:lineRule="auto"/>
              <w:jc w:val="center"/>
              <w:rPr>
                <w:rFonts w:ascii="Calibri" w:eastAsia="Times New Roman" w:hAnsi="Calibri" w:cs="Calibri"/>
                <w:b/>
                <w:bCs/>
                <w:color w:val="000000"/>
                <w:kern w:val="0"/>
                <w:lang w:val="ro-RO" w:eastAsia="ro-RO"/>
                <w14:ligatures w14:val="none"/>
              </w:rPr>
            </w:pPr>
            <w:r w:rsidRPr="00834B27">
              <w:rPr>
                <w:rFonts w:ascii="Calibri" w:eastAsia="Times New Roman" w:hAnsi="Calibri" w:cs="Calibri"/>
                <w:b/>
                <w:bCs/>
                <w:color w:val="000000"/>
                <w:kern w:val="0"/>
                <w:lang w:val="ro-RO" w:eastAsia="ro-RO"/>
                <w14:ligatures w14:val="none"/>
              </w:rPr>
              <w:t>Venituri bugetare</w:t>
            </w:r>
            <w:r w:rsidR="00A721BB" w:rsidRPr="00834B27">
              <w:rPr>
                <w:rFonts w:ascii="Calibri" w:eastAsia="Times New Roman" w:hAnsi="Calibri" w:cs="Calibri"/>
                <w:b/>
                <w:bCs/>
                <w:color w:val="000000"/>
                <w:kern w:val="0"/>
                <w:lang w:val="ro-RO" w:eastAsia="ro-RO"/>
                <w14:ligatures w14:val="none"/>
              </w:rPr>
              <w:t xml:space="preserve"> (mii lei)</w:t>
            </w:r>
          </w:p>
        </w:tc>
        <w:tc>
          <w:tcPr>
            <w:tcW w:w="1400" w:type="dxa"/>
            <w:tcBorders>
              <w:top w:val="single" w:sz="4" w:space="0" w:color="auto"/>
              <w:left w:val="nil"/>
              <w:bottom w:val="single" w:sz="4" w:space="0" w:color="auto"/>
              <w:right w:val="single" w:sz="4" w:space="0" w:color="auto"/>
            </w:tcBorders>
            <w:shd w:val="clear" w:color="000000" w:fill="AEAAAA"/>
            <w:noWrap/>
            <w:vAlign w:val="center"/>
            <w:hideMark/>
          </w:tcPr>
          <w:p w14:paraId="63FE59F7" w14:textId="77777777" w:rsidR="00053D74" w:rsidRPr="00834B27" w:rsidRDefault="00053D74" w:rsidP="006948A1">
            <w:pPr>
              <w:keepNext/>
              <w:spacing w:after="0" w:line="276" w:lineRule="auto"/>
              <w:jc w:val="center"/>
              <w:rPr>
                <w:rFonts w:ascii="Calibri" w:eastAsia="Times New Roman" w:hAnsi="Calibri" w:cs="Calibri"/>
                <w:b/>
                <w:bCs/>
                <w:color w:val="000000"/>
                <w:kern w:val="0"/>
                <w:lang w:val="ro-RO" w:eastAsia="ro-RO"/>
                <w14:ligatures w14:val="none"/>
              </w:rPr>
            </w:pPr>
            <w:r w:rsidRPr="00834B27">
              <w:rPr>
                <w:rFonts w:ascii="Calibri" w:eastAsia="Times New Roman" w:hAnsi="Calibri" w:cs="Calibri"/>
                <w:b/>
                <w:bCs/>
                <w:color w:val="000000"/>
                <w:kern w:val="0"/>
                <w:lang w:val="ro-RO" w:eastAsia="ro-RO"/>
                <w14:ligatures w14:val="none"/>
              </w:rPr>
              <w:t>Pondere</w:t>
            </w:r>
          </w:p>
        </w:tc>
      </w:tr>
      <w:tr w:rsidR="00053D74" w:rsidRPr="00834B27" w14:paraId="145C923A" w14:textId="77777777" w:rsidTr="000068DD">
        <w:trPr>
          <w:trHeight w:val="323"/>
        </w:trPr>
        <w:tc>
          <w:tcPr>
            <w:tcW w:w="1360" w:type="dxa"/>
            <w:tcBorders>
              <w:top w:val="nil"/>
              <w:left w:val="single" w:sz="4" w:space="0" w:color="auto"/>
              <w:bottom w:val="single" w:sz="4" w:space="0" w:color="auto"/>
              <w:right w:val="single" w:sz="4" w:space="0" w:color="auto"/>
            </w:tcBorders>
            <w:noWrap/>
            <w:vAlign w:val="bottom"/>
            <w:hideMark/>
          </w:tcPr>
          <w:p w14:paraId="15C72D95" w14:textId="77777777" w:rsidR="00053D74" w:rsidRPr="00834B27" w:rsidRDefault="00053D74" w:rsidP="006948A1">
            <w:pPr>
              <w:keepNext/>
              <w:spacing w:after="0" w:line="276" w:lineRule="auto"/>
              <w:jc w:val="center"/>
              <w:rPr>
                <w:rFonts w:ascii="Calibri" w:eastAsia="Times New Roman" w:hAnsi="Calibri" w:cs="Calibri"/>
                <w:b/>
                <w:bCs/>
                <w:color w:val="000000"/>
                <w:kern w:val="0"/>
                <w:lang w:val="ro-RO" w:eastAsia="ro-RO"/>
                <w14:ligatures w14:val="none"/>
              </w:rPr>
            </w:pPr>
            <w:r w:rsidRPr="00834B27">
              <w:rPr>
                <w:rFonts w:ascii="Calibri" w:eastAsia="Times New Roman" w:hAnsi="Calibri" w:cs="Calibri"/>
                <w:b/>
                <w:bCs/>
                <w:color w:val="000000"/>
                <w:kern w:val="0"/>
                <w:lang w:val="ro-RO" w:eastAsia="ro-RO"/>
                <w14:ligatures w14:val="none"/>
              </w:rPr>
              <w:t>1.1</w:t>
            </w:r>
          </w:p>
        </w:tc>
        <w:tc>
          <w:tcPr>
            <w:tcW w:w="4223" w:type="dxa"/>
            <w:tcBorders>
              <w:top w:val="nil"/>
              <w:left w:val="nil"/>
              <w:bottom w:val="single" w:sz="4" w:space="0" w:color="auto"/>
              <w:right w:val="single" w:sz="4" w:space="0" w:color="auto"/>
            </w:tcBorders>
            <w:noWrap/>
            <w:vAlign w:val="center"/>
            <w:hideMark/>
          </w:tcPr>
          <w:p w14:paraId="152C70B8" w14:textId="77777777" w:rsidR="00053D74" w:rsidRPr="00834B27" w:rsidRDefault="00053D74" w:rsidP="000068DD">
            <w:pPr>
              <w:keepNext/>
              <w:spacing w:after="0" w:line="276" w:lineRule="auto"/>
              <w:jc w:val="center"/>
              <w:rPr>
                <w:rFonts w:ascii="Calibri" w:eastAsia="Times New Roman" w:hAnsi="Calibri" w:cs="Calibri"/>
                <w:color w:val="000000"/>
                <w:kern w:val="0"/>
                <w:lang w:val="ro-RO" w:eastAsia="ro-RO"/>
                <w14:ligatures w14:val="none"/>
              </w:rPr>
            </w:pPr>
            <w:r w:rsidRPr="00834B27">
              <w:rPr>
                <w:rFonts w:ascii="Calibri" w:eastAsia="Times New Roman" w:hAnsi="Calibri" w:cs="Calibri"/>
                <w:color w:val="000000"/>
                <w:kern w:val="0"/>
                <w:lang w:val="ro-RO" w:eastAsia="ro-RO"/>
                <w14:ligatures w14:val="none"/>
              </w:rPr>
              <w:t>Venituri din salarii și asimilate</w:t>
            </w:r>
          </w:p>
        </w:tc>
        <w:tc>
          <w:tcPr>
            <w:tcW w:w="2522" w:type="dxa"/>
            <w:tcBorders>
              <w:top w:val="nil"/>
              <w:left w:val="nil"/>
              <w:bottom w:val="single" w:sz="4" w:space="0" w:color="auto"/>
              <w:right w:val="single" w:sz="4" w:space="0" w:color="auto"/>
            </w:tcBorders>
            <w:noWrap/>
            <w:vAlign w:val="center"/>
            <w:hideMark/>
          </w:tcPr>
          <w:p w14:paraId="64ECF02C" w14:textId="77777777" w:rsidR="00053D74" w:rsidRPr="00834B27" w:rsidRDefault="00053D74" w:rsidP="000068DD">
            <w:pPr>
              <w:keepNext/>
              <w:spacing w:after="0" w:line="276" w:lineRule="auto"/>
              <w:jc w:val="center"/>
              <w:rPr>
                <w:rFonts w:ascii="Calibri" w:eastAsia="Times New Roman" w:hAnsi="Calibri" w:cs="Calibri"/>
                <w:color w:val="000000"/>
                <w:kern w:val="0"/>
                <w:lang w:val="ro-RO" w:eastAsia="ro-RO"/>
                <w14:ligatures w14:val="none"/>
              </w:rPr>
            </w:pPr>
            <w:r w:rsidRPr="00834B27">
              <w:rPr>
                <w:rFonts w:ascii="Calibri" w:eastAsia="Times New Roman" w:hAnsi="Calibri" w:cs="Calibri"/>
                <w:color w:val="000000"/>
                <w:kern w:val="0"/>
                <w:lang w:val="ro-RO" w:eastAsia="ro-RO"/>
                <w14:ligatures w14:val="none"/>
              </w:rPr>
              <w:t>36.571.371</w:t>
            </w:r>
          </w:p>
        </w:tc>
        <w:tc>
          <w:tcPr>
            <w:tcW w:w="1400" w:type="dxa"/>
            <w:tcBorders>
              <w:top w:val="nil"/>
              <w:left w:val="nil"/>
              <w:bottom w:val="single" w:sz="4" w:space="0" w:color="auto"/>
              <w:right w:val="single" w:sz="4" w:space="0" w:color="auto"/>
            </w:tcBorders>
            <w:noWrap/>
            <w:vAlign w:val="center"/>
            <w:hideMark/>
          </w:tcPr>
          <w:p w14:paraId="70C6C410" w14:textId="15886162" w:rsidR="00053D74" w:rsidRPr="00834B27" w:rsidRDefault="00053D74" w:rsidP="000068DD">
            <w:pPr>
              <w:keepNext/>
              <w:spacing w:after="0" w:line="276" w:lineRule="auto"/>
              <w:jc w:val="center"/>
              <w:rPr>
                <w:rFonts w:ascii="Calibri" w:eastAsia="Times New Roman" w:hAnsi="Calibri" w:cs="Calibri"/>
                <w:color w:val="000000"/>
                <w:kern w:val="0"/>
                <w:lang w:val="ro-RO" w:eastAsia="ro-RO"/>
                <w14:ligatures w14:val="none"/>
              </w:rPr>
            </w:pPr>
            <w:r w:rsidRPr="00834B27">
              <w:rPr>
                <w:rFonts w:ascii="Calibri" w:eastAsia="Times New Roman" w:hAnsi="Calibri" w:cs="Calibri"/>
                <w:color w:val="000000"/>
                <w:kern w:val="0"/>
                <w:lang w:val="ro-RO" w:eastAsia="ro-RO"/>
                <w14:ligatures w14:val="none"/>
              </w:rPr>
              <w:t>6</w:t>
            </w:r>
            <w:r w:rsidR="006948A1" w:rsidRPr="00834B27">
              <w:rPr>
                <w:rFonts w:ascii="Calibri" w:eastAsia="Times New Roman" w:hAnsi="Calibri" w:cs="Calibri"/>
                <w:color w:val="000000"/>
                <w:kern w:val="0"/>
                <w:lang w:val="ro-RO" w:eastAsia="ro-RO"/>
                <w14:ligatures w14:val="none"/>
              </w:rPr>
              <w:t>3,8</w:t>
            </w:r>
            <w:r w:rsidRPr="00834B27">
              <w:rPr>
                <w:rFonts w:ascii="Calibri" w:eastAsia="Times New Roman" w:hAnsi="Calibri" w:cs="Calibri"/>
                <w:color w:val="000000"/>
                <w:kern w:val="0"/>
                <w:lang w:val="ro-RO" w:eastAsia="ro-RO"/>
                <w14:ligatures w14:val="none"/>
              </w:rPr>
              <w:t>%</w:t>
            </w:r>
          </w:p>
        </w:tc>
      </w:tr>
      <w:tr w:rsidR="00053D74" w:rsidRPr="00834B27" w14:paraId="07FF23D0" w14:textId="77777777" w:rsidTr="000068DD">
        <w:trPr>
          <w:trHeight w:val="323"/>
        </w:trPr>
        <w:tc>
          <w:tcPr>
            <w:tcW w:w="1360" w:type="dxa"/>
            <w:tcBorders>
              <w:top w:val="single" w:sz="4" w:space="0" w:color="auto"/>
              <w:left w:val="single" w:sz="4" w:space="0" w:color="auto"/>
              <w:bottom w:val="single" w:sz="4" w:space="0" w:color="auto"/>
              <w:right w:val="single" w:sz="4" w:space="0" w:color="auto"/>
            </w:tcBorders>
            <w:noWrap/>
            <w:vAlign w:val="bottom"/>
            <w:hideMark/>
          </w:tcPr>
          <w:p w14:paraId="3E626AA6" w14:textId="77777777" w:rsidR="00053D74" w:rsidRPr="00834B27" w:rsidRDefault="00053D74" w:rsidP="006948A1">
            <w:pPr>
              <w:keepNext/>
              <w:spacing w:after="0" w:line="276" w:lineRule="auto"/>
              <w:jc w:val="center"/>
              <w:rPr>
                <w:rFonts w:ascii="Calibri" w:eastAsia="Times New Roman" w:hAnsi="Calibri" w:cs="Calibri"/>
                <w:b/>
                <w:bCs/>
                <w:color w:val="000000"/>
                <w:kern w:val="0"/>
                <w:lang w:val="ro-RO" w:eastAsia="ro-RO"/>
                <w14:ligatures w14:val="none"/>
              </w:rPr>
            </w:pPr>
            <w:r w:rsidRPr="00834B27">
              <w:rPr>
                <w:rFonts w:ascii="Calibri" w:eastAsia="Times New Roman" w:hAnsi="Calibri" w:cs="Calibri"/>
                <w:b/>
                <w:bCs/>
                <w:color w:val="000000"/>
                <w:kern w:val="0"/>
                <w:lang w:val="ro-RO" w:eastAsia="ro-RO"/>
                <w14:ligatures w14:val="none"/>
              </w:rPr>
              <w:t>1.2</w:t>
            </w:r>
          </w:p>
        </w:tc>
        <w:tc>
          <w:tcPr>
            <w:tcW w:w="4223" w:type="dxa"/>
            <w:tcBorders>
              <w:top w:val="single" w:sz="4" w:space="0" w:color="auto"/>
              <w:left w:val="single" w:sz="4" w:space="0" w:color="auto"/>
              <w:bottom w:val="single" w:sz="4" w:space="0" w:color="auto"/>
              <w:right w:val="single" w:sz="4" w:space="0" w:color="auto"/>
            </w:tcBorders>
            <w:noWrap/>
            <w:vAlign w:val="center"/>
            <w:hideMark/>
          </w:tcPr>
          <w:p w14:paraId="60A24941" w14:textId="77777777" w:rsidR="00053D74" w:rsidRPr="00834B27" w:rsidRDefault="00053D74" w:rsidP="000068DD">
            <w:pPr>
              <w:keepNext/>
              <w:spacing w:after="0" w:line="276" w:lineRule="auto"/>
              <w:jc w:val="center"/>
              <w:rPr>
                <w:rFonts w:ascii="Calibri" w:eastAsia="Times New Roman" w:hAnsi="Calibri" w:cs="Calibri"/>
                <w:color w:val="000000"/>
                <w:kern w:val="0"/>
                <w:lang w:val="ro-RO" w:eastAsia="ro-RO"/>
                <w14:ligatures w14:val="none"/>
              </w:rPr>
            </w:pPr>
            <w:r w:rsidRPr="00834B27">
              <w:rPr>
                <w:rFonts w:ascii="Calibri" w:eastAsia="Times New Roman" w:hAnsi="Calibri" w:cs="Calibri"/>
                <w:color w:val="000000"/>
                <w:kern w:val="0"/>
                <w:lang w:val="ro-RO" w:eastAsia="ro-RO"/>
                <w14:ligatures w14:val="none"/>
              </w:rPr>
              <w:t>Venituri ne-salariale</w:t>
            </w:r>
          </w:p>
        </w:tc>
        <w:tc>
          <w:tcPr>
            <w:tcW w:w="2522" w:type="dxa"/>
            <w:tcBorders>
              <w:top w:val="single" w:sz="4" w:space="0" w:color="auto"/>
              <w:left w:val="single" w:sz="4" w:space="0" w:color="auto"/>
              <w:bottom w:val="single" w:sz="4" w:space="0" w:color="auto"/>
              <w:right w:val="single" w:sz="4" w:space="0" w:color="auto"/>
            </w:tcBorders>
            <w:noWrap/>
            <w:vAlign w:val="center"/>
            <w:hideMark/>
          </w:tcPr>
          <w:p w14:paraId="4CE1327B" w14:textId="440234D7" w:rsidR="00053D74" w:rsidRPr="00834B27" w:rsidRDefault="006948A1" w:rsidP="000068DD">
            <w:pPr>
              <w:keepNext/>
              <w:spacing w:after="0" w:line="276" w:lineRule="auto"/>
              <w:jc w:val="center"/>
              <w:rPr>
                <w:rFonts w:ascii="Calibri" w:eastAsia="Times New Roman" w:hAnsi="Calibri" w:cs="Calibri"/>
                <w:color w:val="000000"/>
                <w:kern w:val="0"/>
                <w:lang w:val="ro-RO" w:eastAsia="ro-RO"/>
                <w14:ligatures w14:val="none"/>
              </w:rPr>
            </w:pPr>
            <w:r w:rsidRPr="00834B27">
              <w:rPr>
                <w:rFonts w:ascii="Calibri" w:eastAsia="Times New Roman" w:hAnsi="Calibri" w:cs="Calibri"/>
                <w:color w:val="000000"/>
                <w:kern w:val="0"/>
                <w:lang w:val="ro-RO" w:eastAsia="ro-RO"/>
                <w14:ligatures w14:val="none"/>
              </w:rPr>
              <w:t>20.733.122</w:t>
            </w:r>
          </w:p>
        </w:tc>
        <w:tc>
          <w:tcPr>
            <w:tcW w:w="1400" w:type="dxa"/>
            <w:tcBorders>
              <w:top w:val="single" w:sz="4" w:space="0" w:color="auto"/>
              <w:left w:val="single" w:sz="4" w:space="0" w:color="auto"/>
              <w:bottom w:val="single" w:sz="4" w:space="0" w:color="auto"/>
              <w:right w:val="single" w:sz="4" w:space="0" w:color="auto"/>
            </w:tcBorders>
            <w:noWrap/>
            <w:vAlign w:val="center"/>
            <w:hideMark/>
          </w:tcPr>
          <w:p w14:paraId="765A79CA" w14:textId="2A5EF668" w:rsidR="00053D74" w:rsidRPr="00834B27" w:rsidRDefault="00053D74" w:rsidP="000068DD">
            <w:pPr>
              <w:keepNext/>
              <w:spacing w:after="0" w:line="276" w:lineRule="auto"/>
              <w:jc w:val="center"/>
              <w:rPr>
                <w:rFonts w:ascii="Calibri" w:eastAsia="Times New Roman" w:hAnsi="Calibri" w:cs="Calibri"/>
                <w:color w:val="000000"/>
                <w:kern w:val="0"/>
                <w:lang w:val="ro-RO" w:eastAsia="ro-RO"/>
                <w14:ligatures w14:val="none"/>
              </w:rPr>
            </w:pPr>
            <w:r w:rsidRPr="00834B27">
              <w:rPr>
                <w:rFonts w:ascii="Calibri" w:eastAsia="Times New Roman" w:hAnsi="Calibri" w:cs="Calibri"/>
                <w:color w:val="000000"/>
                <w:kern w:val="0"/>
                <w:lang w:val="ro-RO" w:eastAsia="ro-RO"/>
                <w14:ligatures w14:val="none"/>
              </w:rPr>
              <w:t>3</w:t>
            </w:r>
            <w:r w:rsidR="006948A1" w:rsidRPr="00834B27">
              <w:rPr>
                <w:rFonts w:ascii="Calibri" w:eastAsia="Times New Roman" w:hAnsi="Calibri" w:cs="Calibri"/>
                <w:color w:val="000000"/>
                <w:kern w:val="0"/>
                <w:lang w:val="ro-RO" w:eastAsia="ro-RO"/>
                <w14:ligatures w14:val="none"/>
              </w:rPr>
              <w:t>6,2</w:t>
            </w:r>
            <w:r w:rsidRPr="00834B27">
              <w:rPr>
                <w:rFonts w:ascii="Calibri" w:eastAsia="Times New Roman" w:hAnsi="Calibri" w:cs="Calibri"/>
                <w:color w:val="000000"/>
                <w:kern w:val="0"/>
                <w:lang w:val="ro-RO" w:eastAsia="ro-RO"/>
                <w14:ligatures w14:val="none"/>
              </w:rPr>
              <w:t>%</w:t>
            </w:r>
          </w:p>
        </w:tc>
      </w:tr>
    </w:tbl>
    <w:p w14:paraId="1D0BFB2E" w14:textId="6ACF3897" w:rsidR="00F409D8" w:rsidRPr="00834B27" w:rsidRDefault="00053D74" w:rsidP="00B91E74">
      <w:pPr>
        <w:spacing w:line="276" w:lineRule="auto"/>
        <w:jc w:val="both"/>
        <w:rPr>
          <w:rFonts w:ascii="Calibri" w:hAnsi="Calibri" w:cs="Calibri"/>
          <w:i/>
          <w:iCs/>
          <w:lang w:val="ro-RO"/>
        </w:rPr>
      </w:pPr>
      <w:r w:rsidRPr="00834B27">
        <w:rPr>
          <w:rFonts w:ascii="Calibri" w:hAnsi="Calibri" w:cs="Calibri"/>
          <w:i/>
          <w:iCs/>
          <w:lang w:val="ro-RO"/>
        </w:rPr>
        <w:t>Sursa:</w:t>
      </w:r>
      <w:r w:rsidR="0006504B" w:rsidRPr="00834B27">
        <w:rPr>
          <w:rFonts w:ascii="Calibri" w:hAnsi="Calibri" w:cs="Calibri"/>
          <w:i/>
          <w:iCs/>
          <w:lang w:val="ro-RO"/>
        </w:rPr>
        <w:t xml:space="preserve"> Legea Bugetului de Stat, 2025</w:t>
      </w:r>
    </w:p>
    <w:p w14:paraId="14A2BB3F" w14:textId="77777777" w:rsidR="0027724D" w:rsidRPr="00834B27" w:rsidRDefault="0027724D" w:rsidP="00B91E74">
      <w:pPr>
        <w:spacing w:line="276" w:lineRule="auto"/>
        <w:jc w:val="both"/>
        <w:rPr>
          <w:rFonts w:ascii="Calibri" w:hAnsi="Calibri" w:cs="Calibri"/>
          <w:i/>
          <w:iCs/>
          <w:lang w:val="ro-RO"/>
        </w:rPr>
      </w:pPr>
    </w:p>
    <w:p w14:paraId="16FE77B8" w14:textId="1154257F" w:rsidR="0027724D" w:rsidRPr="00834B27" w:rsidRDefault="0027724D" w:rsidP="00B91E74">
      <w:pPr>
        <w:spacing w:line="276" w:lineRule="auto"/>
        <w:jc w:val="both"/>
        <w:rPr>
          <w:rFonts w:ascii="Calibri" w:hAnsi="Calibri" w:cs="Calibri"/>
          <w:b/>
          <w:bCs/>
          <w:lang w:val="ro-RO"/>
        </w:rPr>
      </w:pPr>
      <w:r w:rsidRPr="00834B27">
        <w:rPr>
          <w:rFonts w:ascii="Calibri" w:hAnsi="Calibri" w:cs="Calibri"/>
          <w:b/>
          <w:bCs/>
          <w:lang w:val="ro-RO"/>
        </w:rPr>
        <w:t>T</w:t>
      </w:r>
      <w:r w:rsidR="00256D17" w:rsidRPr="00834B27">
        <w:rPr>
          <w:rFonts w:ascii="Calibri" w:hAnsi="Calibri" w:cs="Calibri"/>
          <w:b/>
          <w:bCs/>
          <w:lang w:val="ro-RO"/>
        </w:rPr>
        <w:t>ABELUL</w:t>
      </w:r>
      <w:r w:rsidRPr="00834B27">
        <w:rPr>
          <w:rFonts w:ascii="Calibri" w:hAnsi="Calibri" w:cs="Calibri"/>
          <w:b/>
          <w:bCs/>
          <w:lang w:val="ro-RO"/>
        </w:rPr>
        <w:t xml:space="preserve"> 3 </w:t>
      </w:r>
      <w:r w:rsidR="00DC211D" w:rsidRPr="00834B27">
        <w:rPr>
          <w:rFonts w:ascii="Calibri" w:hAnsi="Calibri" w:cs="Calibri"/>
          <w:b/>
          <w:bCs/>
          <w:lang w:val="ro-RO"/>
        </w:rPr>
        <w:t>–</w:t>
      </w:r>
      <w:r w:rsidRPr="00834B27">
        <w:rPr>
          <w:rFonts w:ascii="Calibri" w:hAnsi="Calibri" w:cs="Calibri"/>
          <w:b/>
          <w:bCs/>
          <w:lang w:val="ro-RO"/>
        </w:rPr>
        <w:t xml:space="preserve"> </w:t>
      </w:r>
      <w:r w:rsidR="00DC211D" w:rsidRPr="00834B27">
        <w:rPr>
          <w:rFonts w:ascii="Calibri" w:hAnsi="Calibri" w:cs="Calibri"/>
          <w:b/>
          <w:bCs/>
          <w:lang w:val="ro-RO"/>
        </w:rPr>
        <w:t>Pondere IV pentru care impozitul se re</w:t>
      </w:r>
      <w:r w:rsidR="00D77C4B" w:rsidRPr="00834B27">
        <w:rPr>
          <w:rFonts w:ascii="Calibri" w:hAnsi="Calibri" w:cs="Calibri"/>
          <w:b/>
          <w:bCs/>
          <w:lang w:val="ro-RO"/>
        </w:rPr>
        <w:t>ț</w:t>
      </w:r>
      <w:r w:rsidR="00DC211D" w:rsidRPr="00834B27">
        <w:rPr>
          <w:rFonts w:ascii="Calibri" w:hAnsi="Calibri" w:cs="Calibri"/>
          <w:b/>
          <w:bCs/>
          <w:lang w:val="ro-RO"/>
        </w:rPr>
        <w:t>ine la surs</w:t>
      </w:r>
      <w:r w:rsidR="00C75F3E" w:rsidRPr="00834B27">
        <w:rPr>
          <w:rFonts w:ascii="Calibri" w:hAnsi="Calibri" w:cs="Calibri"/>
          <w:b/>
          <w:bCs/>
          <w:lang w:val="ro-RO"/>
        </w:rPr>
        <w:t>ă</w:t>
      </w:r>
      <w:r w:rsidR="00DC211D" w:rsidRPr="00834B27">
        <w:rPr>
          <w:rFonts w:ascii="Calibri" w:hAnsi="Calibri" w:cs="Calibri"/>
          <w:b/>
          <w:bCs/>
          <w:lang w:val="ro-RO"/>
        </w:rPr>
        <w:t xml:space="preserve"> </w:t>
      </w:r>
      <w:r w:rsidR="00C75F3E" w:rsidRPr="00834B27">
        <w:rPr>
          <w:rFonts w:ascii="Calibri" w:hAnsi="Calibri" w:cs="Calibri"/>
          <w:b/>
          <w:bCs/>
          <w:lang w:val="ro-RO"/>
        </w:rPr>
        <w:t>î</w:t>
      </w:r>
      <w:r w:rsidR="00DC211D" w:rsidRPr="00834B27">
        <w:rPr>
          <w:rFonts w:ascii="Calibri" w:hAnsi="Calibri" w:cs="Calibri"/>
          <w:b/>
          <w:bCs/>
          <w:lang w:val="ro-RO"/>
        </w:rPr>
        <w:t>n total IV bugetat</w:t>
      </w:r>
    </w:p>
    <w:tbl>
      <w:tblPr>
        <w:tblW w:w="9515" w:type="dxa"/>
        <w:tblLook w:val="04A0" w:firstRow="1" w:lastRow="0" w:firstColumn="1" w:lastColumn="0" w:noHBand="0" w:noVBand="1"/>
      </w:tblPr>
      <w:tblGrid>
        <w:gridCol w:w="1119"/>
        <w:gridCol w:w="4716"/>
        <w:gridCol w:w="2413"/>
        <w:gridCol w:w="1267"/>
      </w:tblGrid>
      <w:tr w:rsidR="00361A8B" w:rsidRPr="00834B27" w14:paraId="2138F743" w14:textId="77777777" w:rsidTr="006948A1">
        <w:trPr>
          <w:trHeight w:val="288"/>
        </w:trPr>
        <w:tc>
          <w:tcPr>
            <w:tcW w:w="1119" w:type="dxa"/>
            <w:tcBorders>
              <w:top w:val="single" w:sz="4" w:space="0" w:color="auto"/>
              <w:left w:val="single" w:sz="4" w:space="0" w:color="auto"/>
              <w:bottom w:val="single" w:sz="4" w:space="0" w:color="auto"/>
              <w:right w:val="single" w:sz="4" w:space="0" w:color="auto"/>
            </w:tcBorders>
            <w:shd w:val="clear" w:color="000000" w:fill="AEAAAA"/>
            <w:noWrap/>
            <w:vAlign w:val="bottom"/>
            <w:hideMark/>
          </w:tcPr>
          <w:p w14:paraId="6CA406FF" w14:textId="77777777" w:rsidR="00361A8B" w:rsidRPr="00834B27" w:rsidRDefault="00361A8B" w:rsidP="008349A7">
            <w:pPr>
              <w:spacing w:line="276" w:lineRule="auto"/>
              <w:jc w:val="both"/>
              <w:rPr>
                <w:rFonts w:ascii="Calibri" w:eastAsia="Times New Roman" w:hAnsi="Calibri" w:cs="Calibri"/>
                <w:b/>
                <w:bCs/>
                <w:color w:val="000000"/>
                <w:kern w:val="0"/>
                <w:lang w:val="ro-RO" w:eastAsia="ro-RO"/>
                <w14:ligatures w14:val="none"/>
              </w:rPr>
            </w:pPr>
            <w:r w:rsidRPr="00834B27">
              <w:rPr>
                <w:rFonts w:ascii="Calibri" w:eastAsia="Times New Roman" w:hAnsi="Calibri" w:cs="Calibri"/>
                <w:b/>
                <w:bCs/>
                <w:color w:val="000000"/>
                <w:kern w:val="0"/>
                <w:lang w:val="ro-RO" w:eastAsia="ro-RO"/>
                <w14:ligatures w14:val="none"/>
              </w:rPr>
              <w:t> </w:t>
            </w:r>
          </w:p>
        </w:tc>
        <w:tc>
          <w:tcPr>
            <w:tcW w:w="4716" w:type="dxa"/>
            <w:tcBorders>
              <w:top w:val="single" w:sz="4" w:space="0" w:color="auto"/>
              <w:left w:val="nil"/>
              <w:bottom w:val="single" w:sz="4" w:space="0" w:color="auto"/>
              <w:right w:val="single" w:sz="4" w:space="0" w:color="auto"/>
            </w:tcBorders>
            <w:shd w:val="clear" w:color="000000" w:fill="AEAAAA"/>
            <w:noWrap/>
            <w:vAlign w:val="center"/>
            <w:hideMark/>
          </w:tcPr>
          <w:p w14:paraId="6BAD6570" w14:textId="040A2FCF" w:rsidR="00361A8B" w:rsidRPr="00834B27" w:rsidRDefault="00361A8B" w:rsidP="006948A1">
            <w:pPr>
              <w:spacing w:after="0" w:line="276" w:lineRule="auto"/>
              <w:jc w:val="center"/>
              <w:rPr>
                <w:rFonts w:ascii="Calibri" w:eastAsia="Times New Roman" w:hAnsi="Calibri" w:cs="Calibri"/>
                <w:b/>
                <w:bCs/>
                <w:color w:val="000000"/>
                <w:kern w:val="0"/>
                <w:lang w:val="ro-RO" w:eastAsia="ro-RO"/>
                <w14:ligatures w14:val="none"/>
              </w:rPr>
            </w:pPr>
            <w:r w:rsidRPr="00834B27">
              <w:rPr>
                <w:rFonts w:ascii="Calibri" w:eastAsia="Times New Roman" w:hAnsi="Calibri" w:cs="Calibri"/>
                <w:b/>
                <w:bCs/>
                <w:color w:val="000000"/>
                <w:kern w:val="0"/>
                <w:lang w:val="ro-RO" w:eastAsia="ro-RO"/>
                <w14:ligatures w14:val="none"/>
              </w:rPr>
              <w:t>Tip Venit</w:t>
            </w:r>
          </w:p>
        </w:tc>
        <w:tc>
          <w:tcPr>
            <w:tcW w:w="2413" w:type="dxa"/>
            <w:tcBorders>
              <w:top w:val="single" w:sz="4" w:space="0" w:color="auto"/>
              <w:left w:val="nil"/>
              <w:bottom w:val="nil"/>
              <w:right w:val="single" w:sz="4" w:space="0" w:color="auto"/>
            </w:tcBorders>
            <w:shd w:val="clear" w:color="000000" w:fill="AEAAAA"/>
            <w:noWrap/>
            <w:vAlign w:val="center"/>
            <w:hideMark/>
          </w:tcPr>
          <w:p w14:paraId="76195CD1" w14:textId="77777777" w:rsidR="00361A8B" w:rsidRPr="00834B27" w:rsidRDefault="00361A8B" w:rsidP="006948A1">
            <w:pPr>
              <w:spacing w:after="0" w:line="276" w:lineRule="auto"/>
              <w:jc w:val="center"/>
              <w:rPr>
                <w:rFonts w:ascii="Calibri" w:eastAsia="Times New Roman" w:hAnsi="Calibri" w:cs="Calibri"/>
                <w:b/>
                <w:bCs/>
                <w:color w:val="000000"/>
                <w:kern w:val="0"/>
                <w:lang w:val="ro-RO" w:eastAsia="ro-RO"/>
                <w14:ligatures w14:val="none"/>
              </w:rPr>
            </w:pPr>
            <w:r w:rsidRPr="00834B27">
              <w:rPr>
                <w:rFonts w:ascii="Calibri" w:eastAsia="Times New Roman" w:hAnsi="Calibri" w:cs="Calibri"/>
                <w:b/>
                <w:bCs/>
                <w:color w:val="000000"/>
                <w:kern w:val="0"/>
                <w:lang w:val="ro-RO" w:eastAsia="ro-RO"/>
                <w14:ligatures w14:val="none"/>
              </w:rPr>
              <w:t>Venituri bugetare (mii lei)</w:t>
            </w:r>
          </w:p>
        </w:tc>
        <w:tc>
          <w:tcPr>
            <w:tcW w:w="1267" w:type="dxa"/>
            <w:tcBorders>
              <w:top w:val="single" w:sz="4" w:space="0" w:color="auto"/>
              <w:left w:val="nil"/>
              <w:bottom w:val="nil"/>
              <w:right w:val="single" w:sz="4" w:space="0" w:color="auto"/>
            </w:tcBorders>
            <w:shd w:val="clear" w:color="000000" w:fill="AEAAAA"/>
            <w:noWrap/>
            <w:vAlign w:val="center"/>
            <w:hideMark/>
          </w:tcPr>
          <w:p w14:paraId="460AA3C1" w14:textId="2A2884EA" w:rsidR="00361A8B" w:rsidRPr="00834B27" w:rsidRDefault="00361A8B" w:rsidP="006948A1">
            <w:pPr>
              <w:spacing w:after="0" w:line="276" w:lineRule="auto"/>
              <w:jc w:val="center"/>
              <w:rPr>
                <w:rFonts w:ascii="Calibri" w:eastAsia="Times New Roman" w:hAnsi="Calibri" w:cs="Calibri"/>
                <w:b/>
                <w:bCs/>
                <w:color w:val="000000"/>
                <w:kern w:val="0"/>
                <w:lang w:val="ro-RO" w:eastAsia="ro-RO"/>
                <w14:ligatures w14:val="none"/>
              </w:rPr>
            </w:pPr>
            <w:r w:rsidRPr="00834B27">
              <w:rPr>
                <w:rFonts w:ascii="Calibri" w:eastAsia="Times New Roman" w:hAnsi="Calibri" w:cs="Calibri"/>
                <w:b/>
                <w:bCs/>
                <w:color w:val="000000"/>
                <w:kern w:val="0"/>
                <w:lang w:val="ro-RO" w:eastAsia="ro-RO"/>
                <w14:ligatures w14:val="none"/>
              </w:rPr>
              <w:t>Propor</w:t>
            </w:r>
            <w:r w:rsidR="00D77C4B" w:rsidRPr="00834B27">
              <w:rPr>
                <w:rFonts w:ascii="Calibri" w:eastAsia="Times New Roman" w:hAnsi="Calibri" w:cs="Calibri"/>
                <w:b/>
                <w:bCs/>
                <w:color w:val="000000"/>
                <w:kern w:val="0"/>
                <w:lang w:val="ro-RO" w:eastAsia="ro-RO"/>
                <w14:ligatures w14:val="none"/>
              </w:rPr>
              <w:t>ț</w:t>
            </w:r>
            <w:r w:rsidRPr="00834B27">
              <w:rPr>
                <w:rFonts w:ascii="Calibri" w:eastAsia="Times New Roman" w:hAnsi="Calibri" w:cs="Calibri"/>
                <w:b/>
                <w:bCs/>
                <w:color w:val="000000"/>
                <w:kern w:val="0"/>
                <w:lang w:val="ro-RO" w:eastAsia="ro-RO"/>
                <w14:ligatures w14:val="none"/>
              </w:rPr>
              <w:t>ie</w:t>
            </w:r>
          </w:p>
        </w:tc>
      </w:tr>
      <w:tr w:rsidR="00361A8B" w:rsidRPr="00834B27" w14:paraId="5C5D7614" w14:textId="77777777" w:rsidTr="008349A7">
        <w:trPr>
          <w:trHeight w:val="306"/>
        </w:trPr>
        <w:tc>
          <w:tcPr>
            <w:tcW w:w="1119" w:type="dxa"/>
            <w:tcBorders>
              <w:top w:val="nil"/>
              <w:left w:val="single" w:sz="4" w:space="0" w:color="auto"/>
              <w:bottom w:val="single" w:sz="4" w:space="0" w:color="auto"/>
              <w:right w:val="single" w:sz="4" w:space="0" w:color="auto"/>
            </w:tcBorders>
            <w:noWrap/>
            <w:vAlign w:val="bottom"/>
            <w:hideMark/>
          </w:tcPr>
          <w:p w14:paraId="21727825" w14:textId="77777777" w:rsidR="00361A8B" w:rsidRPr="00834B27" w:rsidRDefault="00361A8B" w:rsidP="006948A1">
            <w:pPr>
              <w:spacing w:after="0" w:line="276" w:lineRule="auto"/>
              <w:jc w:val="center"/>
              <w:rPr>
                <w:rFonts w:ascii="Calibri" w:eastAsia="Times New Roman" w:hAnsi="Calibri" w:cs="Calibri"/>
                <w:b/>
                <w:bCs/>
                <w:color w:val="000000"/>
                <w:kern w:val="0"/>
                <w:lang w:val="ro-RO" w:eastAsia="ro-RO"/>
                <w14:ligatures w14:val="none"/>
              </w:rPr>
            </w:pPr>
            <w:r w:rsidRPr="00834B27">
              <w:rPr>
                <w:rFonts w:ascii="Calibri" w:eastAsia="Times New Roman" w:hAnsi="Calibri" w:cs="Calibri"/>
                <w:b/>
                <w:bCs/>
                <w:color w:val="000000"/>
                <w:kern w:val="0"/>
                <w:lang w:val="ro-RO" w:eastAsia="ro-RO"/>
                <w14:ligatures w14:val="none"/>
              </w:rPr>
              <w:lastRenderedPageBreak/>
              <w:t>1.1</w:t>
            </w:r>
          </w:p>
        </w:tc>
        <w:tc>
          <w:tcPr>
            <w:tcW w:w="4716" w:type="dxa"/>
            <w:tcBorders>
              <w:top w:val="nil"/>
              <w:left w:val="nil"/>
              <w:bottom w:val="single" w:sz="4" w:space="0" w:color="auto"/>
              <w:right w:val="single" w:sz="4" w:space="0" w:color="auto"/>
            </w:tcBorders>
            <w:noWrap/>
            <w:vAlign w:val="bottom"/>
            <w:hideMark/>
          </w:tcPr>
          <w:p w14:paraId="3F77DCC3" w14:textId="16C8E5B0" w:rsidR="00361A8B" w:rsidRPr="00834B27" w:rsidRDefault="00361A8B" w:rsidP="006948A1">
            <w:pPr>
              <w:spacing w:after="0" w:line="276" w:lineRule="auto"/>
              <w:jc w:val="both"/>
              <w:rPr>
                <w:rFonts w:ascii="Calibri" w:eastAsia="Times New Roman" w:hAnsi="Calibri" w:cs="Calibri"/>
                <w:color w:val="000000"/>
                <w:kern w:val="0"/>
                <w:lang w:val="ro-RO" w:eastAsia="ro-RO"/>
                <w14:ligatures w14:val="none"/>
              </w:rPr>
            </w:pPr>
            <w:r w:rsidRPr="00834B27">
              <w:rPr>
                <w:rFonts w:ascii="Calibri" w:eastAsia="Times New Roman" w:hAnsi="Calibri" w:cs="Calibri"/>
                <w:color w:val="000000"/>
                <w:kern w:val="0"/>
                <w:lang w:val="ro-RO" w:eastAsia="ro-RO"/>
                <w14:ligatures w14:val="none"/>
              </w:rPr>
              <w:t>Încasări din re</w:t>
            </w:r>
            <w:r w:rsidR="00D77C4B" w:rsidRPr="00834B27">
              <w:rPr>
                <w:rFonts w:ascii="Calibri" w:eastAsia="Times New Roman" w:hAnsi="Calibri" w:cs="Calibri"/>
                <w:color w:val="000000"/>
                <w:kern w:val="0"/>
                <w:lang w:val="ro-RO" w:eastAsia="ro-RO"/>
                <w14:ligatures w14:val="none"/>
              </w:rPr>
              <w:t>ț</w:t>
            </w:r>
            <w:r w:rsidRPr="00834B27">
              <w:rPr>
                <w:rFonts w:ascii="Calibri" w:eastAsia="Times New Roman" w:hAnsi="Calibri" w:cs="Calibri"/>
                <w:color w:val="000000"/>
                <w:kern w:val="0"/>
                <w:lang w:val="ro-RO" w:eastAsia="ro-RO"/>
                <w14:ligatures w14:val="none"/>
              </w:rPr>
              <w:t>inere la sursă</w:t>
            </w:r>
          </w:p>
        </w:tc>
        <w:tc>
          <w:tcPr>
            <w:tcW w:w="2413" w:type="dxa"/>
            <w:tcBorders>
              <w:top w:val="single" w:sz="4" w:space="0" w:color="auto"/>
              <w:left w:val="nil"/>
              <w:bottom w:val="single" w:sz="4" w:space="0" w:color="auto"/>
              <w:right w:val="single" w:sz="4" w:space="0" w:color="auto"/>
            </w:tcBorders>
            <w:noWrap/>
            <w:vAlign w:val="bottom"/>
            <w:hideMark/>
          </w:tcPr>
          <w:p w14:paraId="745CFCF4" w14:textId="10B278C0" w:rsidR="00361A8B" w:rsidRPr="00834B27" w:rsidRDefault="00361A8B" w:rsidP="006948A1">
            <w:pPr>
              <w:spacing w:after="0" w:line="276" w:lineRule="auto"/>
              <w:jc w:val="center"/>
              <w:rPr>
                <w:rFonts w:ascii="Calibri" w:eastAsia="Times New Roman" w:hAnsi="Calibri" w:cs="Calibri"/>
                <w:color w:val="000000"/>
                <w:kern w:val="0"/>
                <w:lang w:val="ro-RO" w:eastAsia="ro-RO"/>
                <w14:ligatures w14:val="none"/>
              </w:rPr>
            </w:pPr>
            <w:r w:rsidRPr="00834B27">
              <w:rPr>
                <w:rFonts w:ascii="Calibri" w:eastAsia="Times New Roman" w:hAnsi="Calibri" w:cs="Calibri"/>
                <w:color w:val="000000"/>
                <w:kern w:val="0"/>
                <w:lang w:val="ro-RO" w:eastAsia="ro-RO"/>
                <w14:ligatures w14:val="none"/>
              </w:rPr>
              <w:t>52.549.230</w:t>
            </w:r>
          </w:p>
        </w:tc>
        <w:tc>
          <w:tcPr>
            <w:tcW w:w="1267" w:type="dxa"/>
            <w:tcBorders>
              <w:top w:val="single" w:sz="4" w:space="0" w:color="auto"/>
              <w:left w:val="nil"/>
              <w:bottom w:val="single" w:sz="4" w:space="0" w:color="auto"/>
              <w:right w:val="single" w:sz="4" w:space="0" w:color="auto"/>
            </w:tcBorders>
            <w:noWrap/>
            <w:vAlign w:val="bottom"/>
            <w:hideMark/>
          </w:tcPr>
          <w:p w14:paraId="2E610DDC" w14:textId="08873728" w:rsidR="00361A8B" w:rsidRPr="00834B27" w:rsidRDefault="00361A8B" w:rsidP="006948A1">
            <w:pPr>
              <w:spacing w:after="0" w:line="276" w:lineRule="auto"/>
              <w:jc w:val="center"/>
              <w:rPr>
                <w:rFonts w:ascii="Calibri" w:eastAsia="Times New Roman" w:hAnsi="Calibri" w:cs="Calibri"/>
                <w:color w:val="000000"/>
                <w:kern w:val="0"/>
                <w:lang w:val="ro-RO" w:eastAsia="ro-RO"/>
                <w14:ligatures w14:val="none"/>
              </w:rPr>
            </w:pPr>
            <w:r w:rsidRPr="00834B27">
              <w:rPr>
                <w:rFonts w:ascii="Calibri" w:eastAsia="Times New Roman" w:hAnsi="Calibri" w:cs="Calibri"/>
                <w:color w:val="000000"/>
                <w:kern w:val="0"/>
                <w:lang w:val="ro-RO" w:eastAsia="ro-RO"/>
                <w14:ligatures w14:val="none"/>
              </w:rPr>
              <w:t>91,7%</w:t>
            </w:r>
          </w:p>
        </w:tc>
      </w:tr>
      <w:tr w:rsidR="00361A8B" w:rsidRPr="00834B27" w14:paraId="57267D5A" w14:textId="77777777" w:rsidTr="008349A7">
        <w:trPr>
          <w:trHeight w:val="288"/>
        </w:trPr>
        <w:tc>
          <w:tcPr>
            <w:tcW w:w="1119" w:type="dxa"/>
            <w:tcBorders>
              <w:top w:val="nil"/>
              <w:left w:val="single" w:sz="4" w:space="0" w:color="auto"/>
              <w:bottom w:val="single" w:sz="4" w:space="0" w:color="auto"/>
              <w:right w:val="single" w:sz="4" w:space="0" w:color="auto"/>
            </w:tcBorders>
            <w:noWrap/>
            <w:vAlign w:val="bottom"/>
            <w:hideMark/>
          </w:tcPr>
          <w:p w14:paraId="0887D036" w14:textId="77777777" w:rsidR="00361A8B" w:rsidRPr="00834B27" w:rsidRDefault="00361A8B" w:rsidP="006948A1">
            <w:pPr>
              <w:spacing w:after="0" w:line="276" w:lineRule="auto"/>
              <w:jc w:val="center"/>
              <w:rPr>
                <w:rFonts w:ascii="Calibri" w:eastAsia="Times New Roman" w:hAnsi="Calibri" w:cs="Calibri"/>
                <w:b/>
                <w:bCs/>
                <w:color w:val="000000"/>
                <w:kern w:val="0"/>
                <w:lang w:val="ro-RO" w:eastAsia="ro-RO"/>
                <w14:ligatures w14:val="none"/>
              </w:rPr>
            </w:pPr>
            <w:r w:rsidRPr="00834B27">
              <w:rPr>
                <w:rFonts w:ascii="Calibri" w:eastAsia="Times New Roman" w:hAnsi="Calibri" w:cs="Calibri"/>
                <w:b/>
                <w:bCs/>
                <w:color w:val="000000"/>
                <w:kern w:val="0"/>
                <w:lang w:val="ro-RO" w:eastAsia="ro-RO"/>
                <w14:ligatures w14:val="none"/>
              </w:rPr>
              <w:t>1.2</w:t>
            </w:r>
          </w:p>
        </w:tc>
        <w:tc>
          <w:tcPr>
            <w:tcW w:w="4716" w:type="dxa"/>
            <w:tcBorders>
              <w:top w:val="nil"/>
              <w:left w:val="nil"/>
              <w:bottom w:val="single" w:sz="4" w:space="0" w:color="auto"/>
              <w:right w:val="single" w:sz="4" w:space="0" w:color="auto"/>
            </w:tcBorders>
            <w:noWrap/>
            <w:vAlign w:val="bottom"/>
            <w:hideMark/>
          </w:tcPr>
          <w:p w14:paraId="5D4B4D28" w14:textId="5879BF50" w:rsidR="00361A8B" w:rsidRPr="00834B27" w:rsidRDefault="00361A8B" w:rsidP="006948A1">
            <w:pPr>
              <w:spacing w:after="0" w:line="276" w:lineRule="auto"/>
              <w:jc w:val="both"/>
              <w:rPr>
                <w:rFonts w:ascii="Calibri" w:eastAsia="Times New Roman" w:hAnsi="Calibri" w:cs="Calibri"/>
                <w:color w:val="000000"/>
                <w:kern w:val="0"/>
                <w:lang w:val="ro-RO" w:eastAsia="ro-RO"/>
                <w14:ligatures w14:val="none"/>
              </w:rPr>
            </w:pPr>
            <w:r w:rsidRPr="00834B27">
              <w:rPr>
                <w:rFonts w:ascii="Calibri" w:eastAsia="Times New Roman" w:hAnsi="Calibri" w:cs="Calibri"/>
                <w:color w:val="000000"/>
                <w:kern w:val="0"/>
                <w:lang w:val="ro-RO" w:eastAsia="ro-RO"/>
                <w14:ligatures w14:val="none"/>
              </w:rPr>
              <w:t>Încasări din declara</w:t>
            </w:r>
            <w:r w:rsidR="00D77C4B" w:rsidRPr="00834B27">
              <w:rPr>
                <w:rFonts w:ascii="Calibri" w:eastAsia="Times New Roman" w:hAnsi="Calibri" w:cs="Calibri"/>
                <w:color w:val="000000"/>
                <w:kern w:val="0"/>
                <w:lang w:val="ro-RO" w:eastAsia="ro-RO"/>
                <w14:ligatures w14:val="none"/>
              </w:rPr>
              <w:t>ț</w:t>
            </w:r>
            <w:r w:rsidRPr="00834B27">
              <w:rPr>
                <w:rFonts w:ascii="Calibri" w:eastAsia="Times New Roman" w:hAnsi="Calibri" w:cs="Calibri"/>
                <w:color w:val="000000"/>
                <w:kern w:val="0"/>
                <w:lang w:val="ro-RO" w:eastAsia="ro-RO"/>
                <w14:ligatures w14:val="none"/>
              </w:rPr>
              <w:t>ia unică</w:t>
            </w:r>
          </w:p>
        </w:tc>
        <w:tc>
          <w:tcPr>
            <w:tcW w:w="2413" w:type="dxa"/>
            <w:tcBorders>
              <w:top w:val="nil"/>
              <w:left w:val="nil"/>
              <w:bottom w:val="single" w:sz="4" w:space="0" w:color="auto"/>
              <w:right w:val="single" w:sz="4" w:space="0" w:color="auto"/>
            </w:tcBorders>
            <w:noWrap/>
            <w:vAlign w:val="bottom"/>
            <w:hideMark/>
          </w:tcPr>
          <w:p w14:paraId="2CDBD172" w14:textId="1B55A649" w:rsidR="00361A8B" w:rsidRPr="00834B27" w:rsidRDefault="00DB632C" w:rsidP="006948A1">
            <w:pPr>
              <w:spacing w:after="0" w:line="276" w:lineRule="auto"/>
              <w:jc w:val="center"/>
              <w:rPr>
                <w:rFonts w:ascii="Calibri" w:eastAsia="Times New Roman" w:hAnsi="Calibri" w:cs="Calibri"/>
                <w:color w:val="000000"/>
                <w:kern w:val="0"/>
                <w:lang w:val="ro-RO" w:eastAsia="ro-RO"/>
                <w14:ligatures w14:val="none"/>
              </w:rPr>
            </w:pPr>
            <w:r w:rsidRPr="00834B27">
              <w:rPr>
                <w:rFonts w:ascii="Calibri" w:eastAsia="Times New Roman" w:hAnsi="Calibri" w:cs="Calibri"/>
                <w:color w:val="000000"/>
                <w:kern w:val="0"/>
                <w:lang w:val="ro-RO" w:eastAsia="ro-RO"/>
                <w14:ligatures w14:val="none"/>
              </w:rPr>
              <w:t>4.755.263</w:t>
            </w:r>
          </w:p>
        </w:tc>
        <w:tc>
          <w:tcPr>
            <w:tcW w:w="1267" w:type="dxa"/>
            <w:tcBorders>
              <w:top w:val="nil"/>
              <w:left w:val="nil"/>
              <w:bottom w:val="single" w:sz="4" w:space="0" w:color="auto"/>
              <w:right w:val="single" w:sz="4" w:space="0" w:color="auto"/>
            </w:tcBorders>
            <w:noWrap/>
            <w:vAlign w:val="bottom"/>
            <w:hideMark/>
          </w:tcPr>
          <w:p w14:paraId="07FEDB0F" w14:textId="581BAB8F" w:rsidR="00361A8B" w:rsidRPr="00834B27" w:rsidRDefault="00361A8B" w:rsidP="006948A1">
            <w:pPr>
              <w:spacing w:after="0" w:line="276" w:lineRule="auto"/>
              <w:jc w:val="center"/>
              <w:rPr>
                <w:rFonts w:ascii="Calibri" w:eastAsia="Times New Roman" w:hAnsi="Calibri" w:cs="Calibri"/>
                <w:color w:val="000000"/>
                <w:kern w:val="0"/>
                <w:lang w:val="ro-RO" w:eastAsia="ro-RO"/>
                <w14:ligatures w14:val="none"/>
              </w:rPr>
            </w:pPr>
            <w:r w:rsidRPr="00834B27">
              <w:rPr>
                <w:rFonts w:ascii="Calibri" w:eastAsia="Times New Roman" w:hAnsi="Calibri" w:cs="Calibri"/>
                <w:color w:val="000000"/>
                <w:kern w:val="0"/>
                <w:lang w:val="ro-RO" w:eastAsia="ro-RO"/>
                <w14:ligatures w14:val="none"/>
              </w:rPr>
              <w:t>8,30%</w:t>
            </w:r>
          </w:p>
        </w:tc>
      </w:tr>
    </w:tbl>
    <w:p w14:paraId="25DEBA76" w14:textId="4BD14884" w:rsidR="00361A8B" w:rsidRPr="00834B27" w:rsidRDefault="00361A8B" w:rsidP="00B91E74">
      <w:pPr>
        <w:spacing w:line="276" w:lineRule="auto"/>
        <w:jc w:val="both"/>
        <w:rPr>
          <w:rFonts w:ascii="Calibri" w:hAnsi="Calibri" w:cs="Calibri"/>
          <w:i/>
          <w:iCs/>
          <w:lang w:val="ro-RO"/>
        </w:rPr>
      </w:pPr>
      <w:r w:rsidRPr="00834B27">
        <w:rPr>
          <w:rFonts w:ascii="Calibri" w:hAnsi="Calibri" w:cs="Calibri"/>
          <w:i/>
          <w:iCs/>
          <w:lang w:val="ro-RO"/>
        </w:rPr>
        <w:t>Sursa: Legea Bugetului de Stat, 2025</w:t>
      </w:r>
    </w:p>
    <w:p w14:paraId="10C112C6" w14:textId="77777777" w:rsidR="00361A8B" w:rsidRPr="00834B27" w:rsidRDefault="00361A8B" w:rsidP="00B91E74">
      <w:pPr>
        <w:spacing w:line="276" w:lineRule="auto"/>
        <w:jc w:val="both"/>
        <w:rPr>
          <w:rFonts w:ascii="Calibri" w:hAnsi="Calibri" w:cs="Calibri"/>
          <w:i/>
          <w:iCs/>
          <w:lang w:val="ro-RO"/>
        </w:rPr>
      </w:pPr>
    </w:p>
    <w:p w14:paraId="1EDC55C9" w14:textId="7DD261BE" w:rsidR="00D52112" w:rsidRPr="00834B27" w:rsidRDefault="00D52112" w:rsidP="00B91E74">
      <w:pPr>
        <w:spacing w:line="276" w:lineRule="auto"/>
        <w:jc w:val="both"/>
        <w:rPr>
          <w:rFonts w:ascii="Calibri" w:hAnsi="Calibri" w:cs="Calibri"/>
          <w:lang w:val="ro-RO"/>
        </w:rPr>
      </w:pPr>
      <w:r w:rsidRPr="00834B27">
        <w:rPr>
          <w:rFonts w:ascii="Calibri" w:hAnsi="Calibri" w:cs="Calibri"/>
          <w:lang w:val="ro-RO"/>
        </w:rPr>
        <w:t xml:space="preserve">O </w:t>
      </w:r>
      <w:r w:rsidR="00B91E74" w:rsidRPr="00834B27">
        <w:rPr>
          <w:rFonts w:ascii="Calibri" w:hAnsi="Calibri" w:cs="Calibri"/>
          <w:lang w:val="ro-RO"/>
        </w:rPr>
        <w:t>situa</w:t>
      </w:r>
      <w:r w:rsidR="00D77C4B" w:rsidRPr="00834B27">
        <w:rPr>
          <w:rFonts w:ascii="Calibri" w:hAnsi="Calibri" w:cs="Calibri"/>
          <w:lang w:val="ro-RO"/>
        </w:rPr>
        <w:t>ț</w:t>
      </w:r>
      <w:r w:rsidR="00B91E74" w:rsidRPr="00834B27">
        <w:rPr>
          <w:rFonts w:ascii="Calibri" w:hAnsi="Calibri" w:cs="Calibri"/>
          <w:lang w:val="ro-RO"/>
        </w:rPr>
        <w:t>ie</w:t>
      </w:r>
      <w:r w:rsidR="00B24A46" w:rsidRPr="00834B27">
        <w:rPr>
          <w:rFonts w:ascii="Calibri" w:hAnsi="Calibri" w:cs="Calibri"/>
          <w:lang w:val="ro-RO"/>
        </w:rPr>
        <w:t xml:space="preserve"> </w:t>
      </w:r>
      <w:r w:rsidR="00DC211D" w:rsidRPr="00834B27">
        <w:rPr>
          <w:rFonts w:ascii="Calibri" w:hAnsi="Calibri" w:cs="Calibri"/>
          <w:lang w:val="ro-RO"/>
        </w:rPr>
        <w:t>similar</w:t>
      </w:r>
      <w:r w:rsidR="007F38A1" w:rsidRPr="00834B27">
        <w:rPr>
          <w:rFonts w:ascii="Calibri" w:hAnsi="Calibri" w:cs="Calibri"/>
          <w:lang w:val="ro-RO"/>
        </w:rPr>
        <w:t>ă</w:t>
      </w:r>
      <w:r w:rsidR="007D70EC" w:rsidRPr="00834B27">
        <w:rPr>
          <w:rFonts w:ascii="Calibri" w:hAnsi="Calibri" w:cs="Calibri"/>
          <w:lang w:val="ro-RO"/>
        </w:rPr>
        <w:t xml:space="preserve"> o </w:t>
      </w:r>
      <w:r w:rsidR="00B91E74" w:rsidRPr="00834B27">
        <w:rPr>
          <w:rFonts w:ascii="Calibri" w:hAnsi="Calibri" w:cs="Calibri"/>
          <w:lang w:val="ro-RO"/>
        </w:rPr>
        <w:t>întâlnim</w:t>
      </w:r>
      <w:r w:rsidR="007D70EC" w:rsidRPr="00834B27">
        <w:rPr>
          <w:rFonts w:ascii="Calibri" w:hAnsi="Calibri" w:cs="Calibri"/>
          <w:lang w:val="ro-RO"/>
        </w:rPr>
        <w:t xml:space="preserve"> </w:t>
      </w:r>
      <w:r w:rsidR="00B91E74" w:rsidRPr="00834B27">
        <w:rPr>
          <w:rFonts w:ascii="Calibri" w:hAnsi="Calibri" w:cs="Calibri"/>
          <w:lang w:val="ro-RO"/>
        </w:rPr>
        <w:t>ș</w:t>
      </w:r>
      <w:r w:rsidR="007D70EC" w:rsidRPr="00834B27">
        <w:rPr>
          <w:rFonts w:ascii="Calibri" w:hAnsi="Calibri" w:cs="Calibri"/>
          <w:lang w:val="ro-RO"/>
        </w:rPr>
        <w:t>i la CAS (</w:t>
      </w:r>
      <w:r w:rsidR="00F409D8" w:rsidRPr="00834B27">
        <w:rPr>
          <w:rFonts w:ascii="Calibri" w:hAnsi="Calibri" w:cs="Calibri"/>
          <w:lang w:val="ro-RO"/>
        </w:rPr>
        <w:t>T</w:t>
      </w:r>
      <w:r w:rsidR="007D70EC" w:rsidRPr="00834B27">
        <w:rPr>
          <w:rFonts w:ascii="Calibri" w:hAnsi="Calibri" w:cs="Calibri"/>
          <w:lang w:val="ro-RO"/>
        </w:rPr>
        <w:t xml:space="preserve">abelul </w:t>
      </w:r>
      <w:r w:rsidR="00DC211D" w:rsidRPr="00834B27">
        <w:rPr>
          <w:rFonts w:ascii="Calibri" w:hAnsi="Calibri" w:cs="Calibri"/>
          <w:lang w:val="ro-RO"/>
        </w:rPr>
        <w:t>4</w:t>
      </w:r>
      <w:r w:rsidR="007D70EC" w:rsidRPr="00834B27">
        <w:rPr>
          <w:rFonts w:ascii="Calibri" w:hAnsi="Calibri" w:cs="Calibri"/>
          <w:lang w:val="ro-RO"/>
        </w:rPr>
        <w:t xml:space="preserve">) </w:t>
      </w:r>
      <w:r w:rsidR="00B91E74" w:rsidRPr="00834B27">
        <w:rPr>
          <w:rFonts w:ascii="Calibri" w:hAnsi="Calibri" w:cs="Calibri"/>
          <w:lang w:val="ro-RO"/>
        </w:rPr>
        <w:t>ș</w:t>
      </w:r>
      <w:r w:rsidR="007D70EC" w:rsidRPr="00834B27">
        <w:rPr>
          <w:rFonts w:ascii="Calibri" w:hAnsi="Calibri" w:cs="Calibri"/>
          <w:lang w:val="ro-RO"/>
        </w:rPr>
        <w:t>i la CASS (</w:t>
      </w:r>
      <w:r w:rsidR="00CA7A6F" w:rsidRPr="00834B27">
        <w:rPr>
          <w:rFonts w:ascii="Calibri" w:hAnsi="Calibri" w:cs="Calibri"/>
          <w:lang w:val="ro-RO"/>
        </w:rPr>
        <w:t>T</w:t>
      </w:r>
      <w:r w:rsidR="007D70EC" w:rsidRPr="00834B27">
        <w:rPr>
          <w:rFonts w:ascii="Calibri" w:hAnsi="Calibri" w:cs="Calibri"/>
          <w:lang w:val="ro-RO"/>
        </w:rPr>
        <w:t xml:space="preserve">abelul </w:t>
      </w:r>
      <w:r w:rsidR="00DC211D" w:rsidRPr="00834B27">
        <w:rPr>
          <w:rFonts w:ascii="Calibri" w:hAnsi="Calibri" w:cs="Calibri"/>
          <w:lang w:val="ro-RO"/>
        </w:rPr>
        <w:t>5</w:t>
      </w:r>
      <w:r w:rsidR="007D70EC" w:rsidRPr="00834B27">
        <w:rPr>
          <w:rFonts w:ascii="Calibri" w:hAnsi="Calibri" w:cs="Calibri"/>
          <w:lang w:val="ro-RO"/>
        </w:rPr>
        <w:t>).</w:t>
      </w:r>
    </w:p>
    <w:p w14:paraId="2768EF72" w14:textId="77777777" w:rsidR="003C0DF9" w:rsidRPr="00834B27" w:rsidRDefault="003C0DF9">
      <w:pPr>
        <w:rPr>
          <w:rFonts w:ascii="Calibri" w:hAnsi="Calibri" w:cs="Calibri"/>
          <w:b/>
          <w:bCs/>
          <w:lang w:val="ro-RO"/>
        </w:rPr>
      </w:pPr>
      <w:r w:rsidRPr="00834B27">
        <w:rPr>
          <w:rFonts w:ascii="Calibri" w:hAnsi="Calibri" w:cs="Calibri"/>
          <w:b/>
          <w:bCs/>
          <w:lang w:val="ro-RO"/>
        </w:rPr>
        <w:br w:type="page"/>
      </w:r>
    </w:p>
    <w:p w14:paraId="5406F65B" w14:textId="0133F02F" w:rsidR="005E334A" w:rsidRPr="00834B27" w:rsidRDefault="005E334A" w:rsidP="00B91E74">
      <w:pPr>
        <w:spacing w:line="276" w:lineRule="auto"/>
        <w:jc w:val="both"/>
        <w:rPr>
          <w:rFonts w:ascii="Calibri" w:hAnsi="Calibri" w:cs="Calibri"/>
          <w:lang w:val="ro-RO"/>
        </w:rPr>
      </w:pPr>
      <w:r w:rsidRPr="00834B27">
        <w:rPr>
          <w:rFonts w:ascii="Calibri" w:hAnsi="Calibri" w:cs="Calibri"/>
          <w:b/>
          <w:bCs/>
          <w:lang w:val="ro-RO"/>
        </w:rPr>
        <w:lastRenderedPageBreak/>
        <w:t xml:space="preserve">TABELUL </w:t>
      </w:r>
      <w:r w:rsidR="00DC211D" w:rsidRPr="00834B27">
        <w:rPr>
          <w:rFonts w:ascii="Calibri" w:hAnsi="Calibri" w:cs="Calibri"/>
          <w:b/>
          <w:bCs/>
          <w:lang w:val="ro-RO"/>
        </w:rPr>
        <w:t>4</w:t>
      </w:r>
      <w:r w:rsidR="00DF2DDF" w:rsidRPr="00834B27">
        <w:rPr>
          <w:rFonts w:ascii="Calibri" w:hAnsi="Calibri" w:cs="Calibri"/>
          <w:lang w:val="ro-RO"/>
        </w:rPr>
        <w:t xml:space="preserve"> - </w:t>
      </w:r>
      <w:r w:rsidR="00DF2DDF" w:rsidRPr="00834B27">
        <w:rPr>
          <w:rFonts w:ascii="Calibri" w:hAnsi="Calibri" w:cs="Calibri"/>
          <w:b/>
          <w:bCs/>
          <w:lang w:val="ro-RO"/>
        </w:rPr>
        <w:t xml:space="preserve">Pondere CAS pentru venituri salariale si ne-salariale </w:t>
      </w:r>
      <w:r w:rsidR="00256D17" w:rsidRPr="00834B27">
        <w:rPr>
          <w:rFonts w:ascii="Calibri" w:hAnsi="Calibri" w:cs="Calibri"/>
          <w:b/>
          <w:bCs/>
          <w:lang w:val="ro-RO"/>
        </w:rPr>
        <w:t>î</w:t>
      </w:r>
      <w:r w:rsidR="00DF2DDF" w:rsidRPr="00834B27">
        <w:rPr>
          <w:rFonts w:ascii="Calibri" w:hAnsi="Calibri" w:cs="Calibri"/>
          <w:b/>
          <w:bCs/>
          <w:lang w:val="ro-RO"/>
        </w:rPr>
        <w:t>n total CAS bugetat</w:t>
      </w:r>
    </w:p>
    <w:tbl>
      <w:tblPr>
        <w:tblW w:w="9515" w:type="dxa"/>
        <w:tblLook w:val="04A0" w:firstRow="1" w:lastRow="0" w:firstColumn="1" w:lastColumn="0" w:noHBand="0" w:noVBand="1"/>
      </w:tblPr>
      <w:tblGrid>
        <w:gridCol w:w="1119"/>
        <w:gridCol w:w="4716"/>
        <w:gridCol w:w="2413"/>
        <w:gridCol w:w="1267"/>
      </w:tblGrid>
      <w:tr w:rsidR="00CB3599" w:rsidRPr="00834B27" w14:paraId="2B253FD5" w14:textId="77777777" w:rsidTr="006948A1">
        <w:trPr>
          <w:trHeight w:val="288"/>
        </w:trPr>
        <w:tc>
          <w:tcPr>
            <w:tcW w:w="1119" w:type="dxa"/>
            <w:tcBorders>
              <w:top w:val="single" w:sz="4" w:space="0" w:color="auto"/>
              <w:left w:val="single" w:sz="4" w:space="0" w:color="auto"/>
              <w:bottom w:val="single" w:sz="4" w:space="0" w:color="auto"/>
              <w:right w:val="single" w:sz="4" w:space="0" w:color="auto"/>
            </w:tcBorders>
            <w:shd w:val="clear" w:color="000000" w:fill="AEAAAA"/>
            <w:noWrap/>
            <w:vAlign w:val="bottom"/>
            <w:hideMark/>
          </w:tcPr>
          <w:p w14:paraId="7C618127" w14:textId="77777777" w:rsidR="00CB3599" w:rsidRPr="00834B27" w:rsidRDefault="00CB3599" w:rsidP="006948A1">
            <w:pPr>
              <w:spacing w:after="0" w:line="276" w:lineRule="auto"/>
              <w:jc w:val="both"/>
              <w:rPr>
                <w:rFonts w:ascii="Calibri" w:eastAsia="Times New Roman" w:hAnsi="Calibri" w:cs="Calibri"/>
                <w:b/>
                <w:bCs/>
                <w:color w:val="000000"/>
                <w:kern w:val="0"/>
                <w:lang w:val="ro-RO" w:eastAsia="ro-RO"/>
                <w14:ligatures w14:val="none"/>
              </w:rPr>
            </w:pPr>
            <w:r w:rsidRPr="00834B27">
              <w:rPr>
                <w:rFonts w:ascii="Calibri" w:eastAsia="Times New Roman" w:hAnsi="Calibri" w:cs="Calibri"/>
                <w:b/>
                <w:bCs/>
                <w:color w:val="000000"/>
                <w:kern w:val="0"/>
                <w:lang w:val="ro-RO" w:eastAsia="ro-RO"/>
                <w14:ligatures w14:val="none"/>
              </w:rPr>
              <w:t> </w:t>
            </w:r>
          </w:p>
        </w:tc>
        <w:tc>
          <w:tcPr>
            <w:tcW w:w="4716" w:type="dxa"/>
            <w:tcBorders>
              <w:top w:val="single" w:sz="4" w:space="0" w:color="auto"/>
              <w:left w:val="nil"/>
              <w:bottom w:val="single" w:sz="4" w:space="0" w:color="auto"/>
              <w:right w:val="single" w:sz="4" w:space="0" w:color="auto"/>
            </w:tcBorders>
            <w:shd w:val="clear" w:color="000000" w:fill="AEAAAA"/>
            <w:noWrap/>
            <w:vAlign w:val="center"/>
            <w:hideMark/>
          </w:tcPr>
          <w:p w14:paraId="43A4B239" w14:textId="05561C73" w:rsidR="00CB3599" w:rsidRPr="00834B27" w:rsidRDefault="00CB3599" w:rsidP="006948A1">
            <w:pPr>
              <w:spacing w:after="0" w:line="276" w:lineRule="auto"/>
              <w:jc w:val="center"/>
              <w:rPr>
                <w:rFonts w:ascii="Calibri" w:eastAsia="Times New Roman" w:hAnsi="Calibri" w:cs="Calibri"/>
                <w:b/>
                <w:bCs/>
                <w:color w:val="000000"/>
                <w:kern w:val="0"/>
                <w:lang w:val="ro-RO" w:eastAsia="ro-RO"/>
                <w14:ligatures w14:val="none"/>
              </w:rPr>
            </w:pPr>
            <w:r w:rsidRPr="00834B27">
              <w:rPr>
                <w:rFonts w:ascii="Calibri" w:eastAsia="Times New Roman" w:hAnsi="Calibri" w:cs="Calibri"/>
                <w:b/>
                <w:bCs/>
                <w:color w:val="000000"/>
                <w:kern w:val="0"/>
                <w:lang w:val="ro-RO" w:eastAsia="ro-RO"/>
                <w14:ligatures w14:val="none"/>
              </w:rPr>
              <w:t>Tip Venit</w:t>
            </w:r>
          </w:p>
        </w:tc>
        <w:tc>
          <w:tcPr>
            <w:tcW w:w="2413" w:type="dxa"/>
            <w:tcBorders>
              <w:top w:val="single" w:sz="4" w:space="0" w:color="auto"/>
              <w:left w:val="nil"/>
              <w:bottom w:val="nil"/>
              <w:right w:val="single" w:sz="4" w:space="0" w:color="auto"/>
            </w:tcBorders>
            <w:shd w:val="clear" w:color="000000" w:fill="AEAAAA"/>
            <w:noWrap/>
            <w:vAlign w:val="center"/>
            <w:hideMark/>
          </w:tcPr>
          <w:p w14:paraId="205614B1" w14:textId="1C715BAF" w:rsidR="00CB3599" w:rsidRPr="00834B27" w:rsidRDefault="00CB3599" w:rsidP="006948A1">
            <w:pPr>
              <w:spacing w:after="0" w:line="276" w:lineRule="auto"/>
              <w:jc w:val="center"/>
              <w:rPr>
                <w:rFonts w:ascii="Calibri" w:eastAsia="Times New Roman" w:hAnsi="Calibri" w:cs="Calibri"/>
                <w:b/>
                <w:bCs/>
                <w:color w:val="000000"/>
                <w:kern w:val="0"/>
                <w:lang w:val="ro-RO" w:eastAsia="ro-RO"/>
                <w14:ligatures w14:val="none"/>
              </w:rPr>
            </w:pPr>
            <w:r w:rsidRPr="00834B27">
              <w:rPr>
                <w:rFonts w:ascii="Calibri" w:eastAsia="Times New Roman" w:hAnsi="Calibri" w:cs="Calibri"/>
                <w:b/>
                <w:bCs/>
                <w:color w:val="000000"/>
                <w:kern w:val="0"/>
                <w:lang w:val="ro-RO" w:eastAsia="ro-RO"/>
                <w14:ligatures w14:val="none"/>
              </w:rPr>
              <w:t>Venituri bugetare</w:t>
            </w:r>
            <w:r w:rsidR="00A721BB" w:rsidRPr="00834B27">
              <w:rPr>
                <w:rFonts w:ascii="Calibri" w:eastAsia="Times New Roman" w:hAnsi="Calibri" w:cs="Calibri"/>
                <w:b/>
                <w:bCs/>
                <w:color w:val="000000"/>
                <w:kern w:val="0"/>
                <w:lang w:val="ro-RO" w:eastAsia="ro-RO"/>
                <w14:ligatures w14:val="none"/>
              </w:rPr>
              <w:t xml:space="preserve"> (mii lei)</w:t>
            </w:r>
          </w:p>
        </w:tc>
        <w:tc>
          <w:tcPr>
            <w:tcW w:w="1267" w:type="dxa"/>
            <w:tcBorders>
              <w:top w:val="single" w:sz="4" w:space="0" w:color="auto"/>
              <w:left w:val="nil"/>
              <w:bottom w:val="nil"/>
              <w:right w:val="single" w:sz="4" w:space="0" w:color="auto"/>
            </w:tcBorders>
            <w:shd w:val="clear" w:color="000000" w:fill="AEAAAA"/>
            <w:noWrap/>
            <w:vAlign w:val="center"/>
            <w:hideMark/>
          </w:tcPr>
          <w:p w14:paraId="216497EE" w14:textId="19BFB9A6" w:rsidR="00CB3599" w:rsidRPr="00834B27" w:rsidRDefault="00CB3599" w:rsidP="006948A1">
            <w:pPr>
              <w:spacing w:after="0" w:line="276" w:lineRule="auto"/>
              <w:jc w:val="center"/>
              <w:rPr>
                <w:rFonts w:ascii="Calibri" w:eastAsia="Times New Roman" w:hAnsi="Calibri" w:cs="Calibri"/>
                <w:b/>
                <w:bCs/>
                <w:color w:val="000000"/>
                <w:kern w:val="0"/>
                <w:lang w:val="ro-RO" w:eastAsia="ro-RO"/>
                <w14:ligatures w14:val="none"/>
              </w:rPr>
            </w:pPr>
            <w:r w:rsidRPr="00834B27">
              <w:rPr>
                <w:rFonts w:ascii="Calibri" w:eastAsia="Times New Roman" w:hAnsi="Calibri" w:cs="Calibri"/>
                <w:b/>
                <w:bCs/>
                <w:color w:val="000000"/>
                <w:kern w:val="0"/>
                <w:lang w:val="ro-RO" w:eastAsia="ro-RO"/>
                <w14:ligatures w14:val="none"/>
              </w:rPr>
              <w:t>Propor</w:t>
            </w:r>
            <w:r w:rsidR="00D77C4B" w:rsidRPr="00834B27">
              <w:rPr>
                <w:rFonts w:ascii="Calibri" w:eastAsia="Times New Roman" w:hAnsi="Calibri" w:cs="Calibri"/>
                <w:b/>
                <w:bCs/>
                <w:color w:val="000000"/>
                <w:kern w:val="0"/>
                <w:lang w:val="ro-RO" w:eastAsia="ro-RO"/>
                <w14:ligatures w14:val="none"/>
              </w:rPr>
              <w:t>ț</w:t>
            </w:r>
            <w:r w:rsidRPr="00834B27">
              <w:rPr>
                <w:rFonts w:ascii="Calibri" w:eastAsia="Times New Roman" w:hAnsi="Calibri" w:cs="Calibri"/>
                <w:b/>
                <w:bCs/>
                <w:color w:val="000000"/>
                <w:kern w:val="0"/>
                <w:lang w:val="ro-RO" w:eastAsia="ro-RO"/>
                <w14:ligatures w14:val="none"/>
              </w:rPr>
              <w:t>ie</w:t>
            </w:r>
          </w:p>
        </w:tc>
      </w:tr>
      <w:tr w:rsidR="00CB3599" w:rsidRPr="00834B27" w14:paraId="4C81F696" w14:textId="77777777" w:rsidTr="006948A1">
        <w:trPr>
          <w:trHeight w:val="306"/>
        </w:trPr>
        <w:tc>
          <w:tcPr>
            <w:tcW w:w="1119" w:type="dxa"/>
            <w:tcBorders>
              <w:top w:val="nil"/>
              <w:left w:val="single" w:sz="4" w:space="0" w:color="auto"/>
              <w:bottom w:val="single" w:sz="4" w:space="0" w:color="auto"/>
              <w:right w:val="single" w:sz="4" w:space="0" w:color="auto"/>
            </w:tcBorders>
            <w:noWrap/>
            <w:vAlign w:val="bottom"/>
            <w:hideMark/>
          </w:tcPr>
          <w:p w14:paraId="4F0E94F6" w14:textId="77777777" w:rsidR="00CB3599" w:rsidRPr="00834B27" w:rsidRDefault="00CB3599" w:rsidP="006948A1">
            <w:pPr>
              <w:spacing w:after="0" w:line="276" w:lineRule="auto"/>
              <w:jc w:val="center"/>
              <w:rPr>
                <w:rFonts w:ascii="Calibri" w:eastAsia="Times New Roman" w:hAnsi="Calibri" w:cs="Calibri"/>
                <w:b/>
                <w:bCs/>
                <w:color w:val="000000"/>
                <w:kern w:val="0"/>
                <w:lang w:val="ro-RO" w:eastAsia="ro-RO"/>
                <w14:ligatures w14:val="none"/>
              </w:rPr>
            </w:pPr>
            <w:r w:rsidRPr="00834B27">
              <w:rPr>
                <w:rFonts w:ascii="Calibri" w:eastAsia="Times New Roman" w:hAnsi="Calibri" w:cs="Calibri"/>
                <w:b/>
                <w:bCs/>
                <w:color w:val="000000"/>
                <w:kern w:val="0"/>
                <w:lang w:val="ro-RO" w:eastAsia="ro-RO"/>
                <w14:ligatures w14:val="none"/>
              </w:rPr>
              <w:t>1.1</w:t>
            </w:r>
          </w:p>
        </w:tc>
        <w:tc>
          <w:tcPr>
            <w:tcW w:w="4716" w:type="dxa"/>
            <w:tcBorders>
              <w:top w:val="nil"/>
              <w:left w:val="nil"/>
              <w:bottom w:val="single" w:sz="4" w:space="0" w:color="auto"/>
              <w:right w:val="single" w:sz="4" w:space="0" w:color="auto"/>
            </w:tcBorders>
            <w:noWrap/>
            <w:vAlign w:val="bottom"/>
            <w:hideMark/>
          </w:tcPr>
          <w:p w14:paraId="7D757F40" w14:textId="5A525DB1" w:rsidR="00CB3599" w:rsidRPr="00834B27" w:rsidRDefault="00CB3599" w:rsidP="006948A1">
            <w:pPr>
              <w:spacing w:after="0" w:line="276" w:lineRule="auto"/>
              <w:jc w:val="both"/>
              <w:rPr>
                <w:rFonts w:ascii="Calibri" w:eastAsia="Times New Roman" w:hAnsi="Calibri" w:cs="Calibri"/>
                <w:color w:val="000000"/>
                <w:kern w:val="0"/>
                <w:lang w:val="ro-RO" w:eastAsia="ro-RO"/>
                <w14:ligatures w14:val="none"/>
              </w:rPr>
            </w:pPr>
            <w:r w:rsidRPr="00834B27">
              <w:rPr>
                <w:rFonts w:ascii="Calibri" w:eastAsia="Times New Roman" w:hAnsi="Calibri" w:cs="Calibri"/>
                <w:color w:val="000000"/>
                <w:kern w:val="0"/>
                <w:lang w:val="ro-RO" w:eastAsia="ro-RO"/>
                <w14:ligatures w14:val="none"/>
              </w:rPr>
              <w:t>Asigura</w:t>
            </w:r>
            <w:r w:rsidR="00D77C4B" w:rsidRPr="00834B27">
              <w:rPr>
                <w:rFonts w:ascii="Calibri" w:eastAsia="Times New Roman" w:hAnsi="Calibri" w:cs="Calibri"/>
                <w:color w:val="000000"/>
                <w:kern w:val="0"/>
                <w:lang w:val="ro-RO" w:eastAsia="ro-RO"/>
                <w14:ligatures w14:val="none"/>
              </w:rPr>
              <w:t>ț</w:t>
            </w:r>
            <w:r w:rsidRPr="00834B27">
              <w:rPr>
                <w:rFonts w:ascii="Calibri" w:eastAsia="Times New Roman" w:hAnsi="Calibri" w:cs="Calibri"/>
                <w:color w:val="000000"/>
                <w:kern w:val="0"/>
                <w:lang w:val="ro-RO" w:eastAsia="ro-RO"/>
                <w14:ligatures w14:val="none"/>
              </w:rPr>
              <w:t>i și angajatori</w:t>
            </w:r>
          </w:p>
        </w:tc>
        <w:tc>
          <w:tcPr>
            <w:tcW w:w="2413" w:type="dxa"/>
            <w:tcBorders>
              <w:top w:val="single" w:sz="4" w:space="0" w:color="auto"/>
              <w:left w:val="nil"/>
              <w:bottom w:val="single" w:sz="4" w:space="0" w:color="auto"/>
              <w:right w:val="single" w:sz="4" w:space="0" w:color="auto"/>
            </w:tcBorders>
            <w:noWrap/>
            <w:vAlign w:val="center"/>
            <w:hideMark/>
          </w:tcPr>
          <w:p w14:paraId="1F9FAAF2" w14:textId="77777777" w:rsidR="00CB3599" w:rsidRPr="00834B27" w:rsidRDefault="00CB3599" w:rsidP="006948A1">
            <w:pPr>
              <w:spacing w:after="0" w:line="276" w:lineRule="auto"/>
              <w:jc w:val="center"/>
              <w:rPr>
                <w:rFonts w:ascii="Calibri" w:eastAsia="Times New Roman" w:hAnsi="Calibri" w:cs="Calibri"/>
                <w:color w:val="000000"/>
                <w:kern w:val="0"/>
                <w:lang w:val="ro-RO" w:eastAsia="ro-RO"/>
                <w14:ligatures w14:val="none"/>
              </w:rPr>
            </w:pPr>
            <w:r w:rsidRPr="00834B27">
              <w:rPr>
                <w:rFonts w:ascii="Calibri" w:eastAsia="Times New Roman" w:hAnsi="Calibri" w:cs="Calibri"/>
                <w:color w:val="000000"/>
                <w:kern w:val="0"/>
                <w:lang w:val="ro-RO" w:eastAsia="ro-RO"/>
                <w14:ligatures w14:val="none"/>
              </w:rPr>
              <w:t>138.460.624</w:t>
            </w:r>
          </w:p>
        </w:tc>
        <w:tc>
          <w:tcPr>
            <w:tcW w:w="1267" w:type="dxa"/>
            <w:tcBorders>
              <w:top w:val="single" w:sz="4" w:space="0" w:color="auto"/>
              <w:left w:val="nil"/>
              <w:bottom w:val="single" w:sz="4" w:space="0" w:color="auto"/>
              <w:right w:val="single" w:sz="4" w:space="0" w:color="auto"/>
            </w:tcBorders>
            <w:noWrap/>
            <w:vAlign w:val="center"/>
            <w:hideMark/>
          </w:tcPr>
          <w:p w14:paraId="4B6DC095" w14:textId="77777777" w:rsidR="00CB3599" w:rsidRPr="00834B27" w:rsidRDefault="00CB3599" w:rsidP="006948A1">
            <w:pPr>
              <w:spacing w:after="0" w:line="276" w:lineRule="auto"/>
              <w:jc w:val="center"/>
              <w:rPr>
                <w:rFonts w:ascii="Calibri" w:eastAsia="Times New Roman" w:hAnsi="Calibri" w:cs="Calibri"/>
                <w:color w:val="000000"/>
                <w:kern w:val="0"/>
                <w:lang w:val="ro-RO" w:eastAsia="ro-RO"/>
                <w14:ligatures w14:val="none"/>
              </w:rPr>
            </w:pPr>
            <w:r w:rsidRPr="00834B27">
              <w:rPr>
                <w:rFonts w:ascii="Calibri" w:eastAsia="Times New Roman" w:hAnsi="Calibri" w:cs="Calibri"/>
                <w:color w:val="000000"/>
                <w:kern w:val="0"/>
                <w:lang w:val="ro-RO" w:eastAsia="ro-RO"/>
                <w14:ligatures w14:val="none"/>
              </w:rPr>
              <w:t>99,15%</w:t>
            </w:r>
          </w:p>
        </w:tc>
      </w:tr>
      <w:tr w:rsidR="00CB3599" w:rsidRPr="00834B27" w14:paraId="58E771D6" w14:textId="77777777" w:rsidTr="006948A1">
        <w:trPr>
          <w:trHeight w:val="288"/>
        </w:trPr>
        <w:tc>
          <w:tcPr>
            <w:tcW w:w="1119" w:type="dxa"/>
            <w:tcBorders>
              <w:top w:val="nil"/>
              <w:left w:val="single" w:sz="4" w:space="0" w:color="auto"/>
              <w:bottom w:val="single" w:sz="4" w:space="0" w:color="auto"/>
              <w:right w:val="single" w:sz="4" w:space="0" w:color="auto"/>
            </w:tcBorders>
            <w:noWrap/>
            <w:vAlign w:val="bottom"/>
            <w:hideMark/>
          </w:tcPr>
          <w:p w14:paraId="30DDA5E5" w14:textId="77777777" w:rsidR="00CB3599" w:rsidRPr="00834B27" w:rsidRDefault="00CB3599" w:rsidP="006948A1">
            <w:pPr>
              <w:spacing w:after="0" w:line="276" w:lineRule="auto"/>
              <w:jc w:val="center"/>
              <w:rPr>
                <w:rFonts w:ascii="Calibri" w:eastAsia="Times New Roman" w:hAnsi="Calibri" w:cs="Calibri"/>
                <w:b/>
                <w:bCs/>
                <w:color w:val="000000"/>
                <w:kern w:val="0"/>
                <w:lang w:val="ro-RO" w:eastAsia="ro-RO"/>
                <w14:ligatures w14:val="none"/>
              </w:rPr>
            </w:pPr>
            <w:r w:rsidRPr="00834B27">
              <w:rPr>
                <w:rFonts w:ascii="Calibri" w:eastAsia="Times New Roman" w:hAnsi="Calibri" w:cs="Calibri"/>
                <w:b/>
                <w:bCs/>
                <w:color w:val="000000"/>
                <w:kern w:val="0"/>
                <w:lang w:val="ro-RO" w:eastAsia="ro-RO"/>
                <w14:ligatures w14:val="none"/>
              </w:rPr>
              <w:t>1.2</w:t>
            </w:r>
          </w:p>
        </w:tc>
        <w:tc>
          <w:tcPr>
            <w:tcW w:w="4716" w:type="dxa"/>
            <w:tcBorders>
              <w:top w:val="nil"/>
              <w:left w:val="nil"/>
              <w:bottom w:val="single" w:sz="4" w:space="0" w:color="auto"/>
              <w:right w:val="single" w:sz="4" w:space="0" w:color="auto"/>
            </w:tcBorders>
            <w:noWrap/>
            <w:vAlign w:val="bottom"/>
            <w:hideMark/>
          </w:tcPr>
          <w:p w14:paraId="42320E05" w14:textId="77777777" w:rsidR="00CB3599" w:rsidRPr="00834B27" w:rsidRDefault="00CB3599" w:rsidP="006948A1">
            <w:pPr>
              <w:spacing w:after="0" w:line="276" w:lineRule="auto"/>
              <w:jc w:val="both"/>
              <w:rPr>
                <w:rFonts w:ascii="Calibri" w:eastAsia="Times New Roman" w:hAnsi="Calibri" w:cs="Calibri"/>
                <w:color w:val="000000"/>
                <w:kern w:val="0"/>
                <w:lang w:val="ro-RO" w:eastAsia="ro-RO"/>
                <w14:ligatures w14:val="none"/>
              </w:rPr>
            </w:pPr>
            <w:r w:rsidRPr="00834B27">
              <w:rPr>
                <w:rFonts w:ascii="Calibri" w:eastAsia="Times New Roman" w:hAnsi="Calibri" w:cs="Calibri"/>
                <w:color w:val="000000"/>
                <w:kern w:val="0"/>
                <w:lang w:val="ro-RO" w:eastAsia="ro-RO"/>
                <w14:ligatures w14:val="none"/>
              </w:rPr>
              <w:t>Venituri ne-salariale</w:t>
            </w:r>
          </w:p>
        </w:tc>
        <w:tc>
          <w:tcPr>
            <w:tcW w:w="2413" w:type="dxa"/>
            <w:tcBorders>
              <w:top w:val="nil"/>
              <w:left w:val="nil"/>
              <w:bottom w:val="single" w:sz="4" w:space="0" w:color="auto"/>
              <w:right w:val="single" w:sz="4" w:space="0" w:color="auto"/>
            </w:tcBorders>
            <w:noWrap/>
            <w:vAlign w:val="center"/>
            <w:hideMark/>
          </w:tcPr>
          <w:p w14:paraId="1550A8C4" w14:textId="77777777" w:rsidR="00CB3599" w:rsidRPr="00834B27" w:rsidRDefault="00CB3599" w:rsidP="006948A1">
            <w:pPr>
              <w:spacing w:after="0" w:line="276" w:lineRule="auto"/>
              <w:jc w:val="center"/>
              <w:rPr>
                <w:rFonts w:ascii="Calibri" w:eastAsia="Times New Roman" w:hAnsi="Calibri" w:cs="Calibri"/>
                <w:color w:val="000000"/>
                <w:kern w:val="0"/>
                <w:lang w:val="ro-RO" w:eastAsia="ro-RO"/>
                <w14:ligatures w14:val="none"/>
              </w:rPr>
            </w:pPr>
            <w:r w:rsidRPr="00834B27">
              <w:rPr>
                <w:rFonts w:ascii="Calibri" w:eastAsia="Times New Roman" w:hAnsi="Calibri" w:cs="Calibri"/>
                <w:color w:val="000000"/>
                <w:kern w:val="0"/>
                <w:lang w:val="ro-RO" w:eastAsia="ro-RO"/>
                <w14:ligatures w14:val="none"/>
              </w:rPr>
              <w:t>1.191.545</w:t>
            </w:r>
          </w:p>
        </w:tc>
        <w:tc>
          <w:tcPr>
            <w:tcW w:w="1267" w:type="dxa"/>
            <w:tcBorders>
              <w:top w:val="nil"/>
              <w:left w:val="nil"/>
              <w:bottom w:val="single" w:sz="4" w:space="0" w:color="auto"/>
              <w:right w:val="single" w:sz="4" w:space="0" w:color="auto"/>
            </w:tcBorders>
            <w:noWrap/>
            <w:vAlign w:val="center"/>
            <w:hideMark/>
          </w:tcPr>
          <w:p w14:paraId="52671D9A" w14:textId="77777777" w:rsidR="00CB3599" w:rsidRPr="00834B27" w:rsidRDefault="00CB3599" w:rsidP="006948A1">
            <w:pPr>
              <w:spacing w:after="0" w:line="276" w:lineRule="auto"/>
              <w:jc w:val="center"/>
              <w:rPr>
                <w:rFonts w:ascii="Calibri" w:eastAsia="Times New Roman" w:hAnsi="Calibri" w:cs="Calibri"/>
                <w:color w:val="000000"/>
                <w:kern w:val="0"/>
                <w:lang w:val="ro-RO" w:eastAsia="ro-RO"/>
                <w14:ligatures w14:val="none"/>
              </w:rPr>
            </w:pPr>
            <w:r w:rsidRPr="00834B27">
              <w:rPr>
                <w:rFonts w:ascii="Calibri" w:eastAsia="Times New Roman" w:hAnsi="Calibri" w:cs="Calibri"/>
                <w:color w:val="000000"/>
                <w:kern w:val="0"/>
                <w:lang w:val="ro-RO" w:eastAsia="ro-RO"/>
                <w14:ligatures w14:val="none"/>
              </w:rPr>
              <w:t>0,85%</w:t>
            </w:r>
          </w:p>
        </w:tc>
      </w:tr>
    </w:tbl>
    <w:p w14:paraId="464C3B0E" w14:textId="55617B66" w:rsidR="005E334A" w:rsidRPr="00834B27" w:rsidRDefault="00B12241" w:rsidP="00B91E74">
      <w:pPr>
        <w:spacing w:line="276" w:lineRule="auto"/>
        <w:jc w:val="both"/>
        <w:rPr>
          <w:rFonts w:ascii="Calibri" w:hAnsi="Calibri" w:cs="Calibri"/>
          <w:i/>
          <w:iCs/>
          <w:lang w:val="ro-RO"/>
        </w:rPr>
      </w:pPr>
      <w:r w:rsidRPr="00834B27">
        <w:rPr>
          <w:rFonts w:ascii="Calibri" w:hAnsi="Calibri" w:cs="Calibri"/>
          <w:i/>
          <w:iCs/>
          <w:lang w:val="ro-RO"/>
        </w:rPr>
        <w:t>Sursa: Legea Bugetului Asigurărilor Sociale, 2025</w:t>
      </w:r>
    </w:p>
    <w:p w14:paraId="52BC54EF" w14:textId="77777777" w:rsidR="000C6003" w:rsidRPr="00834B27" w:rsidRDefault="000C6003" w:rsidP="00B91E74">
      <w:pPr>
        <w:spacing w:line="276" w:lineRule="auto"/>
        <w:jc w:val="both"/>
        <w:rPr>
          <w:rFonts w:ascii="Calibri" w:hAnsi="Calibri" w:cs="Calibri"/>
          <w:lang w:val="ro-RO"/>
        </w:rPr>
      </w:pPr>
    </w:p>
    <w:p w14:paraId="23C02C1F" w14:textId="3AC9B9C4" w:rsidR="005E334A" w:rsidRPr="00834B27" w:rsidRDefault="005E334A" w:rsidP="00967BC7">
      <w:pPr>
        <w:keepNext/>
        <w:spacing w:line="276" w:lineRule="auto"/>
        <w:jc w:val="both"/>
        <w:rPr>
          <w:rFonts w:ascii="Calibri" w:hAnsi="Calibri" w:cs="Calibri"/>
          <w:lang w:val="ro-RO"/>
        </w:rPr>
      </w:pPr>
      <w:r w:rsidRPr="00834B27">
        <w:rPr>
          <w:rFonts w:ascii="Calibri" w:hAnsi="Calibri" w:cs="Calibri"/>
          <w:b/>
          <w:bCs/>
          <w:lang w:val="ro-RO"/>
        </w:rPr>
        <w:t xml:space="preserve">TABELUL </w:t>
      </w:r>
      <w:r w:rsidR="00DC211D" w:rsidRPr="00834B27">
        <w:rPr>
          <w:rFonts w:ascii="Calibri" w:hAnsi="Calibri" w:cs="Calibri"/>
          <w:b/>
          <w:bCs/>
          <w:lang w:val="ro-RO"/>
        </w:rPr>
        <w:t>5</w:t>
      </w:r>
      <w:r w:rsidR="00DF2DDF" w:rsidRPr="00834B27">
        <w:rPr>
          <w:rFonts w:ascii="Calibri" w:hAnsi="Calibri" w:cs="Calibri"/>
          <w:lang w:val="ro-RO"/>
        </w:rPr>
        <w:t xml:space="preserve"> - </w:t>
      </w:r>
      <w:r w:rsidR="00DF2DDF" w:rsidRPr="00834B27">
        <w:rPr>
          <w:rFonts w:ascii="Calibri" w:hAnsi="Calibri" w:cs="Calibri"/>
          <w:b/>
          <w:bCs/>
          <w:lang w:val="ro-RO"/>
        </w:rPr>
        <w:t xml:space="preserve">Pondere CASS pentru venituri salariale si ne-salariale </w:t>
      </w:r>
      <w:r w:rsidR="00256D17" w:rsidRPr="00834B27">
        <w:rPr>
          <w:rFonts w:ascii="Calibri" w:hAnsi="Calibri" w:cs="Calibri"/>
          <w:b/>
          <w:bCs/>
          <w:lang w:val="ro-RO"/>
        </w:rPr>
        <w:t>î</w:t>
      </w:r>
      <w:r w:rsidR="00DF2DDF" w:rsidRPr="00834B27">
        <w:rPr>
          <w:rFonts w:ascii="Calibri" w:hAnsi="Calibri" w:cs="Calibri"/>
          <w:b/>
          <w:bCs/>
          <w:lang w:val="ro-RO"/>
        </w:rPr>
        <w:t>n total CASS bugetat</w:t>
      </w:r>
    </w:p>
    <w:tbl>
      <w:tblPr>
        <w:tblW w:w="9580" w:type="dxa"/>
        <w:tblLook w:val="04A0" w:firstRow="1" w:lastRow="0" w:firstColumn="1" w:lastColumn="0" w:noHBand="0" w:noVBand="1"/>
      </w:tblPr>
      <w:tblGrid>
        <w:gridCol w:w="1371"/>
        <w:gridCol w:w="4256"/>
        <w:gridCol w:w="2542"/>
        <w:gridCol w:w="1411"/>
      </w:tblGrid>
      <w:tr w:rsidR="000C6003" w:rsidRPr="00834B27" w14:paraId="34C9E1FD" w14:textId="77777777" w:rsidTr="006948A1">
        <w:trPr>
          <w:trHeight w:val="307"/>
        </w:trPr>
        <w:tc>
          <w:tcPr>
            <w:tcW w:w="1371" w:type="dxa"/>
            <w:tcBorders>
              <w:top w:val="single" w:sz="4" w:space="0" w:color="auto"/>
              <w:left w:val="single" w:sz="4" w:space="0" w:color="auto"/>
              <w:bottom w:val="single" w:sz="4" w:space="0" w:color="auto"/>
              <w:right w:val="single" w:sz="4" w:space="0" w:color="auto"/>
            </w:tcBorders>
            <w:shd w:val="clear" w:color="000000" w:fill="AEAAAA"/>
            <w:noWrap/>
            <w:vAlign w:val="bottom"/>
            <w:hideMark/>
          </w:tcPr>
          <w:p w14:paraId="2F833AAD" w14:textId="77777777" w:rsidR="000C6003" w:rsidRPr="00834B27" w:rsidRDefault="000C6003" w:rsidP="00967BC7">
            <w:pPr>
              <w:keepNext/>
              <w:spacing w:after="0" w:line="276" w:lineRule="auto"/>
              <w:jc w:val="both"/>
              <w:rPr>
                <w:rFonts w:ascii="Calibri" w:eastAsia="Times New Roman" w:hAnsi="Calibri" w:cs="Calibri"/>
                <w:b/>
                <w:bCs/>
                <w:color w:val="000000"/>
                <w:kern w:val="0"/>
                <w:lang w:val="ro-RO" w:eastAsia="ro-RO"/>
                <w14:ligatures w14:val="none"/>
              </w:rPr>
            </w:pPr>
            <w:r w:rsidRPr="00834B27">
              <w:rPr>
                <w:rFonts w:ascii="Calibri" w:eastAsia="Times New Roman" w:hAnsi="Calibri" w:cs="Calibri"/>
                <w:b/>
                <w:bCs/>
                <w:color w:val="000000"/>
                <w:kern w:val="0"/>
                <w:lang w:val="ro-RO" w:eastAsia="ro-RO"/>
                <w14:ligatures w14:val="none"/>
              </w:rPr>
              <w:t> </w:t>
            </w:r>
          </w:p>
        </w:tc>
        <w:tc>
          <w:tcPr>
            <w:tcW w:w="4256" w:type="dxa"/>
            <w:tcBorders>
              <w:top w:val="single" w:sz="4" w:space="0" w:color="auto"/>
              <w:left w:val="nil"/>
              <w:bottom w:val="single" w:sz="4" w:space="0" w:color="auto"/>
              <w:right w:val="single" w:sz="4" w:space="0" w:color="auto"/>
            </w:tcBorders>
            <w:shd w:val="clear" w:color="000000" w:fill="AEAAAA"/>
            <w:noWrap/>
            <w:vAlign w:val="center"/>
            <w:hideMark/>
          </w:tcPr>
          <w:p w14:paraId="586EDCBB" w14:textId="2800CF42" w:rsidR="000C6003" w:rsidRPr="00834B27" w:rsidRDefault="000C6003" w:rsidP="00967BC7">
            <w:pPr>
              <w:keepNext/>
              <w:spacing w:after="0" w:line="276" w:lineRule="auto"/>
              <w:jc w:val="center"/>
              <w:rPr>
                <w:rFonts w:ascii="Calibri" w:eastAsia="Times New Roman" w:hAnsi="Calibri" w:cs="Calibri"/>
                <w:b/>
                <w:bCs/>
                <w:color w:val="000000"/>
                <w:kern w:val="0"/>
                <w:lang w:val="ro-RO" w:eastAsia="ro-RO"/>
                <w14:ligatures w14:val="none"/>
              </w:rPr>
            </w:pPr>
            <w:r w:rsidRPr="00834B27">
              <w:rPr>
                <w:rFonts w:ascii="Calibri" w:eastAsia="Times New Roman" w:hAnsi="Calibri" w:cs="Calibri"/>
                <w:b/>
                <w:bCs/>
                <w:color w:val="000000"/>
                <w:kern w:val="0"/>
                <w:lang w:val="ro-RO" w:eastAsia="ro-RO"/>
                <w14:ligatures w14:val="none"/>
              </w:rPr>
              <w:t>Tip Venit</w:t>
            </w:r>
          </w:p>
        </w:tc>
        <w:tc>
          <w:tcPr>
            <w:tcW w:w="2542" w:type="dxa"/>
            <w:tcBorders>
              <w:top w:val="single" w:sz="4" w:space="0" w:color="auto"/>
              <w:left w:val="nil"/>
              <w:bottom w:val="single" w:sz="4" w:space="0" w:color="auto"/>
              <w:right w:val="single" w:sz="4" w:space="0" w:color="auto"/>
            </w:tcBorders>
            <w:shd w:val="clear" w:color="000000" w:fill="AEAAAA"/>
            <w:noWrap/>
            <w:vAlign w:val="center"/>
            <w:hideMark/>
          </w:tcPr>
          <w:p w14:paraId="3016E2A1" w14:textId="76C6043C" w:rsidR="000C6003" w:rsidRPr="00834B27" w:rsidRDefault="000C6003" w:rsidP="00967BC7">
            <w:pPr>
              <w:keepNext/>
              <w:spacing w:after="0" w:line="276" w:lineRule="auto"/>
              <w:jc w:val="center"/>
              <w:rPr>
                <w:rFonts w:ascii="Calibri" w:eastAsia="Times New Roman" w:hAnsi="Calibri" w:cs="Calibri"/>
                <w:b/>
                <w:bCs/>
                <w:color w:val="000000"/>
                <w:kern w:val="0"/>
                <w:lang w:val="ro-RO" w:eastAsia="ro-RO"/>
                <w14:ligatures w14:val="none"/>
              </w:rPr>
            </w:pPr>
            <w:r w:rsidRPr="00834B27">
              <w:rPr>
                <w:rFonts w:ascii="Calibri" w:eastAsia="Times New Roman" w:hAnsi="Calibri" w:cs="Calibri"/>
                <w:b/>
                <w:bCs/>
                <w:color w:val="000000"/>
                <w:kern w:val="0"/>
                <w:lang w:val="ro-RO" w:eastAsia="ro-RO"/>
                <w14:ligatures w14:val="none"/>
              </w:rPr>
              <w:t>Venituri bugetare</w:t>
            </w:r>
            <w:r w:rsidR="00A721BB" w:rsidRPr="00834B27">
              <w:rPr>
                <w:rFonts w:ascii="Calibri" w:eastAsia="Times New Roman" w:hAnsi="Calibri" w:cs="Calibri"/>
                <w:b/>
                <w:bCs/>
                <w:color w:val="000000"/>
                <w:kern w:val="0"/>
                <w:lang w:val="ro-RO" w:eastAsia="ro-RO"/>
                <w14:ligatures w14:val="none"/>
              </w:rPr>
              <w:t xml:space="preserve"> (mii lei)</w:t>
            </w:r>
          </w:p>
        </w:tc>
        <w:tc>
          <w:tcPr>
            <w:tcW w:w="1411" w:type="dxa"/>
            <w:tcBorders>
              <w:top w:val="single" w:sz="4" w:space="0" w:color="auto"/>
              <w:left w:val="nil"/>
              <w:bottom w:val="single" w:sz="4" w:space="0" w:color="auto"/>
              <w:right w:val="single" w:sz="4" w:space="0" w:color="auto"/>
            </w:tcBorders>
            <w:shd w:val="clear" w:color="000000" w:fill="AEAAAA"/>
            <w:noWrap/>
            <w:vAlign w:val="center"/>
            <w:hideMark/>
          </w:tcPr>
          <w:p w14:paraId="7900F527" w14:textId="77777777" w:rsidR="000C6003" w:rsidRPr="00834B27" w:rsidRDefault="000C6003" w:rsidP="00967BC7">
            <w:pPr>
              <w:keepNext/>
              <w:spacing w:after="0" w:line="276" w:lineRule="auto"/>
              <w:jc w:val="center"/>
              <w:rPr>
                <w:rFonts w:ascii="Calibri" w:eastAsia="Times New Roman" w:hAnsi="Calibri" w:cs="Calibri"/>
                <w:b/>
                <w:bCs/>
                <w:color w:val="000000"/>
                <w:kern w:val="0"/>
                <w:lang w:val="ro-RO" w:eastAsia="ro-RO"/>
                <w14:ligatures w14:val="none"/>
              </w:rPr>
            </w:pPr>
            <w:r w:rsidRPr="00834B27">
              <w:rPr>
                <w:rFonts w:ascii="Calibri" w:eastAsia="Times New Roman" w:hAnsi="Calibri" w:cs="Calibri"/>
                <w:b/>
                <w:bCs/>
                <w:color w:val="000000"/>
                <w:kern w:val="0"/>
                <w:lang w:val="ro-RO" w:eastAsia="ro-RO"/>
                <w14:ligatures w14:val="none"/>
              </w:rPr>
              <w:t>Pondere</w:t>
            </w:r>
          </w:p>
        </w:tc>
      </w:tr>
      <w:tr w:rsidR="000C6003" w:rsidRPr="00834B27" w14:paraId="689FB2EE" w14:textId="77777777" w:rsidTr="006948A1">
        <w:trPr>
          <w:trHeight w:val="307"/>
        </w:trPr>
        <w:tc>
          <w:tcPr>
            <w:tcW w:w="1371" w:type="dxa"/>
            <w:tcBorders>
              <w:top w:val="nil"/>
              <w:left w:val="single" w:sz="4" w:space="0" w:color="auto"/>
              <w:bottom w:val="single" w:sz="4" w:space="0" w:color="auto"/>
              <w:right w:val="single" w:sz="4" w:space="0" w:color="auto"/>
            </w:tcBorders>
            <w:noWrap/>
            <w:vAlign w:val="bottom"/>
            <w:hideMark/>
          </w:tcPr>
          <w:p w14:paraId="3FEF7476" w14:textId="77777777" w:rsidR="000C6003" w:rsidRPr="00834B27" w:rsidRDefault="000C6003" w:rsidP="006948A1">
            <w:pPr>
              <w:spacing w:after="0" w:line="276" w:lineRule="auto"/>
              <w:jc w:val="center"/>
              <w:rPr>
                <w:rFonts w:ascii="Calibri" w:eastAsia="Times New Roman" w:hAnsi="Calibri" w:cs="Calibri"/>
                <w:b/>
                <w:bCs/>
                <w:color w:val="000000"/>
                <w:kern w:val="0"/>
                <w:lang w:val="ro-RO" w:eastAsia="ro-RO"/>
                <w14:ligatures w14:val="none"/>
              </w:rPr>
            </w:pPr>
            <w:r w:rsidRPr="00834B27">
              <w:rPr>
                <w:rFonts w:ascii="Calibri" w:eastAsia="Times New Roman" w:hAnsi="Calibri" w:cs="Calibri"/>
                <w:b/>
                <w:bCs/>
                <w:color w:val="000000"/>
                <w:kern w:val="0"/>
                <w:lang w:val="ro-RO" w:eastAsia="ro-RO"/>
                <w14:ligatures w14:val="none"/>
              </w:rPr>
              <w:t>1.1</w:t>
            </w:r>
          </w:p>
        </w:tc>
        <w:tc>
          <w:tcPr>
            <w:tcW w:w="4256" w:type="dxa"/>
            <w:tcBorders>
              <w:top w:val="nil"/>
              <w:left w:val="nil"/>
              <w:bottom w:val="single" w:sz="4" w:space="0" w:color="auto"/>
              <w:right w:val="single" w:sz="4" w:space="0" w:color="auto"/>
            </w:tcBorders>
            <w:noWrap/>
            <w:vAlign w:val="bottom"/>
            <w:hideMark/>
          </w:tcPr>
          <w:p w14:paraId="6053ACA1" w14:textId="77777777" w:rsidR="000C6003" w:rsidRPr="00834B27" w:rsidRDefault="000C6003" w:rsidP="006948A1">
            <w:pPr>
              <w:spacing w:after="0" w:line="276" w:lineRule="auto"/>
              <w:jc w:val="both"/>
              <w:rPr>
                <w:rFonts w:ascii="Calibri" w:eastAsia="Times New Roman" w:hAnsi="Calibri" w:cs="Calibri"/>
                <w:color w:val="000000"/>
                <w:kern w:val="0"/>
                <w:lang w:val="ro-RO" w:eastAsia="ro-RO"/>
                <w14:ligatures w14:val="none"/>
              </w:rPr>
            </w:pPr>
            <w:r w:rsidRPr="00834B27">
              <w:rPr>
                <w:rFonts w:ascii="Calibri" w:eastAsia="Times New Roman" w:hAnsi="Calibri" w:cs="Calibri"/>
                <w:color w:val="000000"/>
                <w:kern w:val="0"/>
                <w:lang w:val="ro-RO" w:eastAsia="ro-RO"/>
                <w14:ligatures w14:val="none"/>
              </w:rPr>
              <w:t>Venituri din salarii și asimilate</w:t>
            </w:r>
          </w:p>
        </w:tc>
        <w:tc>
          <w:tcPr>
            <w:tcW w:w="2542" w:type="dxa"/>
            <w:tcBorders>
              <w:top w:val="nil"/>
              <w:left w:val="nil"/>
              <w:bottom w:val="single" w:sz="4" w:space="0" w:color="auto"/>
              <w:right w:val="single" w:sz="4" w:space="0" w:color="auto"/>
            </w:tcBorders>
            <w:noWrap/>
            <w:vAlign w:val="center"/>
            <w:hideMark/>
          </w:tcPr>
          <w:p w14:paraId="05128D8F" w14:textId="67C290C5" w:rsidR="000C6003" w:rsidRPr="00834B27" w:rsidRDefault="000C6003" w:rsidP="006948A1">
            <w:pPr>
              <w:spacing w:after="0" w:line="276" w:lineRule="auto"/>
              <w:jc w:val="center"/>
              <w:rPr>
                <w:rFonts w:ascii="Calibri" w:eastAsia="Times New Roman" w:hAnsi="Calibri" w:cs="Calibri"/>
                <w:color w:val="000000"/>
                <w:kern w:val="0"/>
                <w:lang w:val="ro-RO" w:eastAsia="ro-RO"/>
                <w14:ligatures w14:val="none"/>
              </w:rPr>
            </w:pPr>
            <w:r w:rsidRPr="00834B27">
              <w:rPr>
                <w:rFonts w:ascii="Calibri" w:eastAsia="Times New Roman" w:hAnsi="Calibri" w:cs="Calibri"/>
                <w:color w:val="000000"/>
                <w:kern w:val="0"/>
                <w:lang w:val="ro-RO" w:eastAsia="ro-RO"/>
                <w14:ligatures w14:val="none"/>
              </w:rPr>
              <w:t>55.075.35</w:t>
            </w:r>
            <w:r w:rsidR="00AA4689" w:rsidRPr="00834B27">
              <w:rPr>
                <w:rFonts w:ascii="Calibri" w:eastAsia="Times New Roman" w:hAnsi="Calibri" w:cs="Calibri"/>
                <w:color w:val="000000"/>
                <w:kern w:val="0"/>
                <w:lang w:val="ro-RO" w:eastAsia="ro-RO"/>
                <w14:ligatures w14:val="none"/>
              </w:rPr>
              <w:t>6</w:t>
            </w:r>
          </w:p>
        </w:tc>
        <w:tc>
          <w:tcPr>
            <w:tcW w:w="1411" w:type="dxa"/>
            <w:tcBorders>
              <w:top w:val="nil"/>
              <w:left w:val="nil"/>
              <w:bottom w:val="single" w:sz="4" w:space="0" w:color="auto"/>
              <w:right w:val="single" w:sz="4" w:space="0" w:color="auto"/>
            </w:tcBorders>
            <w:noWrap/>
            <w:vAlign w:val="center"/>
            <w:hideMark/>
          </w:tcPr>
          <w:p w14:paraId="33CD5E19" w14:textId="77777777" w:rsidR="000C6003" w:rsidRPr="00834B27" w:rsidRDefault="000C6003" w:rsidP="006948A1">
            <w:pPr>
              <w:spacing w:after="0" w:line="276" w:lineRule="auto"/>
              <w:jc w:val="center"/>
              <w:rPr>
                <w:rFonts w:ascii="Calibri" w:eastAsia="Times New Roman" w:hAnsi="Calibri" w:cs="Calibri"/>
                <w:color w:val="000000"/>
                <w:kern w:val="0"/>
                <w:lang w:val="ro-RO" w:eastAsia="ro-RO"/>
                <w14:ligatures w14:val="none"/>
              </w:rPr>
            </w:pPr>
            <w:r w:rsidRPr="00834B27">
              <w:rPr>
                <w:rFonts w:ascii="Calibri" w:eastAsia="Times New Roman" w:hAnsi="Calibri" w:cs="Calibri"/>
                <w:color w:val="000000"/>
                <w:kern w:val="0"/>
                <w:lang w:val="ro-RO" w:eastAsia="ro-RO"/>
                <w14:ligatures w14:val="none"/>
              </w:rPr>
              <w:t>96,1%</w:t>
            </w:r>
          </w:p>
        </w:tc>
      </w:tr>
      <w:tr w:rsidR="000C6003" w:rsidRPr="00834B27" w14:paraId="79F33475" w14:textId="77777777" w:rsidTr="006948A1">
        <w:trPr>
          <w:trHeight w:val="307"/>
        </w:trPr>
        <w:tc>
          <w:tcPr>
            <w:tcW w:w="1371" w:type="dxa"/>
            <w:tcBorders>
              <w:top w:val="nil"/>
              <w:left w:val="single" w:sz="4" w:space="0" w:color="auto"/>
              <w:bottom w:val="single" w:sz="4" w:space="0" w:color="auto"/>
              <w:right w:val="single" w:sz="4" w:space="0" w:color="auto"/>
            </w:tcBorders>
            <w:noWrap/>
            <w:vAlign w:val="bottom"/>
            <w:hideMark/>
          </w:tcPr>
          <w:p w14:paraId="51A04A19" w14:textId="77777777" w:rsidR="000C6003" w:rsidRPr="00834B27" w:rsidRDefault="000C6003" w:rsidP="006948A1">
            <w:pPr>
              <w:spacing w:after="0" w:line="276" w:lineRule="auto"/>
              <w:jc w:val="center"/>
              <w:rPr>
                <w:rFonts w:ascii="Calibri" w:eastAsia="Times New Roman" w:hAnsi="Calibri" w:cs="Calibri"/>
                <w:b/>
                <w:bCs/>
                <w:color w:val="000000"/>
                <w:kern w:val="0"/>
                <w:lang w:val="ro-RO" w:eastAsia="ro-RO"/>
                <w14:ligatures w14:val="none"/>
              </w:rPr>
            </w:pPr>
            <w:r w:rsidRPr="00834B27">
              <w:rPr>
                <w:rFonts w:ascii="Calibri" w:eastAsia="Times New Roman" w:hAnsi="Calibri" w:cs="Calibri"/>
                <w:b/>
                <w:bCs/>
                <w:color w:val="000000"/>
                <w:kern w:val="0"/>
                <w:lang w:val="ro-RO" w:eastAsia="ro-RO"/>
                <w14:ligatures w14:val="none"/>
              </w:rPr>
              <w:t>1.2</w:t>
            </w:r>
          </w:p>
        </w:tc>
        <w:tc>
          <w:tcPr>
            <w:tcW w:w="4256" w:type="dxa"/>
            <w:tcBorders>
              <w:top w:val="nil"/>
              <w:left w:val="nil"/>
              <w:bottom w:val="single" w:sz="4" w:space="0" w:color="auto"/>
              <w:right w:val="single" w:sz="4" w:space="0" w:color="auto"/>
            </w:tcBorders>
            <w:noWrap/>
            <w:vAlign w:val="bottom"/>
            <w:hideMark/>
          </w:tcPr>
          <w:p w14:paraId="0D4781AB" w14:textId="77777777" w:rsidR="000C6003" w:rsidRPr="00834B27" w:rsidRDefault="000C6003" w:rsidP="006948A1">
            <w:pPr>
              <w:spacing w:after="0" w:line="276" w:lineRule="auto"/>
              <w:jc w:val="both"/>
              <w:rPr>
                <w:rFonts w:ascii="Calibri" w:eastAsia="Times New Roman" w:hAnsi="Calibri" w:cs="Calibri"/>
                <w:color w:val="000000"/>
                <w:kern w:val="0"/>
                <w:lang w:val="ro-RO" w:eastAsia="ro-RO"/>
                <w14:ligatures w14:val="none"/>
              </w:rPr>
            </w:pPr>
            <w:r w:rsidRPr="00834B27">
              <w:rPr>
                <w:rFonts w:ascii="Calibri" w:eastAsia="Times New Roman" w:hAnsi="Calibri" w:cs="Calibri"/>
                <w:color w:val="000000"/>
                <w:kern w:val="0"/>
                <w:lang w:val="ro-RO" w:eastAsia="ro-RO"/>
                <w14:ligatures w14:val="none"/>
              </w:rPr>
              <w:t>Venituri ne-salariale</w:t>
            </w:r>
          </w:p>
        </w:tc>
        <w:tc>
          <w:tcPr>
            <w:tcW w:w="2542" w:type="dxa"/>
            <w:tcBorders>
              <w:top w:val="nil"/>
              <w:left w:val="nil"/>
              <w:bottom w:val="single" w:sz="4" w:space="0" w:color="auto"/>
              <w:right w:val="single" w:sz="4" w:space="0" w:color="auto"/>
            </w:tcBorders>
            <w:noWrap/>
            <w:vAlign w:val="center"/>
            <w:hideMark/>
          </w:tcPr>
          <w:p w14:paraId="0B4635C5" w14:textId="41E902CE" w:rsidR="000C6003" w:rsidRPr="00834B27" w:rsidRDefault="000C6003" w:rsidP="006948A1">
            <w:pPr>
              <w:spacing w:after="0" w:line="276" w:lineRule="auto"/>
              <w:jc w:val="center"/>
              <w:rPr>
                <w:rFonts w:ascii="Calibri" w:eastAsia="Times New Roman" w:hAnsi="Calibri" w:cs="Calibri"/>
                <w:color w:val="000000"/>
                <w:kern w:val="0"/>
                <w:lang w:val="ro-RO" w:eastAsia="ro-RO"/>
                <w14:ligatures w14:val="none"/>
              </w:rPr>
            </w:pPr>
            <w:r w:rsidRPr="00834B27">
              <w:rPr>
                <w:rFonts w:ascii="Calibri" w:eastAsia="Times New Roman" w:hAnsi="Calibri" w:cs="Calibri"/>
                <w:color w:val="000000"/>
                <w:kern w:val="0"/>
                <w:lang w:val="ro-RO" w:eastAsia="ro-RO"/>
                <w14:ligatures w14:val="none"/>
              </w:rPr>
              <w:t>2.241.97</w:t>
            </w:r>
            <w:r w:rsidR="00AA4689" w:rsidRPr="00834B27">
              <w:rPr>
                <w:rFonts w:ascii="Calibri" w:eastAsia="Times New Roman" w:hAnsi="Calibri" w:cs="Calibri"/>
                <w:color w:val="000000"/>
                <w:kern w:val="0"/>
                <w:lang w:val="ro-RO" w:eastAsia="ro-RO"/>
                <w14:ligatures w14:val="none"/>
              </w:rPr>
              <w:t>8</w:t>
            </w:r>
          </w:p>
        </w:tc>
        <w:tc>
          <w:tcPr>
            <w:tcW w:w="1411" w:type="dxa"/>
            <w:tcBorders>
              <w:top w:val="nil"/>
              <w:left w:val="nil"/>
              <w:bottom w:val="single" w:sz="4" w:space="0" w:color="auto"/>
              <w:right w:val="single" w:sz="4" w:space="0" w:color="auto"/>
            </w:tcBorders>
            <w:noWrap/>
            <w:vAlign w:val="center"/>
            <w:hideMark/>
          </w:tcPr>
          <w:p w14:paraId="1F898655" w14:textId="77777777" w:rsidR="000C6003" w:rsidRPr="00834B27" w:rsidRDefault="000C6003" w:rsidP="006948A1">
            <w:pPr>
              <w:spacing w:after="0" w:line="276" w:lineRule="auto"/>
              <w:jc w:val="center"/>
              <w:rPr>
                <w:rFonts w:ascii="Calibri" w:eastAsia="Times New Roman" w:hAnsi="Calibri" w:cs="Calibri"/>
                <w:color w:val="000000"/>
                <w:kern w:val="0"/>
                <w:lang w:val="ro-RO" w:eastAsia="ro-RO"/>
                <w14:ligatures w14:val="none"/>
              </w:rPr>
            </w:pPr>
            <w:r w:rsidRPr="00834B27">
              <w:rPr>
                <w:rFonts w:ascii="Calibri" w:eastAsia="Times New Roman" w:hAnsi="Calibri" w:cs="Calibri"/>
                <w:color w:val="000000"/>
                <w:kern w:val="0"/>
                <w:lang w:val="ro-RO" w:eastAsia="ro-RO"/>
                <w14:ligatures w14:val="none"/>
              </w:rPr>
              <w:t>3,91%</w:t>
            </w:r>
          </w:p>
        </w:tc>
      </w:tr>
    </w:tbl>
    <w:p w14:paraId="42136E85" w14:textId="6E80C9E7" w:rsidR="003E26F2" w:rsidRPr="00834B27" w:rsidRDefault="00A45DB7" w:rsidP="00B91E74">
      <w:pPr>
        <w:spacing w:line="276" w:lineRule="auto"/>
        <w:jc w:val="both"/>
        <w:rPr>
          <w:rFonts w:ascii="Calibri" w:hAnsi="Calibri" w:cs="Calibri"/>
          <w:i/>
          <w:iCs/>
          <w:lang w:val="ro-RO"/>
        </w:rPr>
      </w:pPr>
      <w:r w:rsidRPr="00834B27">
        <w:rPr>
          <w:rFonts w:ascii="Calibri" w:hAnsi="Calibri" w:cs="Calibri"/>
          <w:i/>
          <w:iCs/>
          <w:lang w:val="ro-RO"/>
        </w:rPr>
        <w:t xml:space="preserve">Sursa: Raport de </w:t>
      </w:r>
      <w:r w:rsidR="00B91E74" w:rsidRPr="00834B27">
        <w:rPr>
          <w:rFonts w:ascii="Calibri" w:hAnsi="Calibri" w:cs="Calibri"/>
          <w:i/>
          <w:iCs/>
          <w:lang w:val="ro-RO"/>
        </w:rPr>
        <w:t>Execu</w:t>
      </w:r>
      <w:r w:rsidR="00D77C4B" w:rsidRPr="00834B27">
        <w:rPr>
          <w:rFonts w:ascii="Calibri" w:hAnsi="Calibri" w:cs="Calibri"/>
          <w:i/>
          <w:iCs/>
          <w:lang w:val="ro-RO"/>
        </w:rPr>
        <w:t>ț</w:t>
      </w:r>
      <w:r w:rsidR="00B91E74" w:rsidRPr="00834B27">
        <w:rPr>
          <w:rFonts w:ascii="Calibri" w:hAnsi="Calibri" w:cs="Calibri"/>
          <w:i/>
          <w:iCs/>
          <w:lang w:val="ro-RO"/>
        </w:rPr>
        <w:t>ie</w:t>
      </w:r>
      <w:r w:rsidRPr="00834B27">
        <w:rPr>
          <w:rFonts w:ascii="Calibri" w:hAnsi="Calibri" w:cs="Calibri"/>
          <w:i/>
          <w:iCs/>
          <w:lang w:val="ro-RO"/>
        </w:rPr>
        <w:t xml:space="preserve"> Bugetar</w:t>
      </w:r>
      <w:r w:rsidR="00B91E74" w:rsidRPr="00834B27">
        <w:rPr>
          <w:rFonts w:ascii="Calibri" w:hAnsi="Calibri" w:cs="Calibri"/>
          <w:i/>
          <w:iCs/>
          <w:lang w:val="ro-RO"/>
        </w:rPr>
        <w:t>ă</w:t>
      </w:r>
      <w:r w:rsidRPr="00834B27">
        <w:rPr>
          <w:rFonts w:ascii="Calibri" w:hAnsi="Calibri" w:cs="Calibri"/>
          <w:i/>
          <w:iCs/>
          <w:lang w:val="ro-RO"/>
        </w:rPr>
        <w:t xml:space="preserve"> COFOG3 </w:t>
      </w:r>
      <w:r w:rsidR="002E556F" w:rsidRPr="00834B27">
        <w:rPr>
          <w:rFonts w:ascii="Calibri" w:hAnsi="Calibri" w:cs="Calibri"/>
          <w:i/>
          <w:iCs/>
          <w:lang w:val="ro-RO"/>
        </w:rPr>
        <w:t>agregat la nivel de ordonator principal de credite</w:t>
      </w:r>
      <w:r w:rsidR="00632A55" w:rsidRPr="00834B27">
        <w:rPr>
          <w:rFonts w:ascii="Calibri" w:hAnsi="Calibri" w:cs="Calibri"/>
          <w:i/>
          <w:iCs/>
          <w:lang w:val="ro-RO"/>
        </w:rPr>
        <w:t>, 2024</w:t>
      </w:r>
    </w:p>
    <w:p w14:paraId="0D02A66B" w14:textId="608523B5" w:rsidR="009539A3" w:rsidRPr="00834B27" w:rsidRDefault="009539A3">
      <w:pPr>
        <w:rPr>
          <w:rFonts w:ascii="Calibri" w:hAnsi="Calibri" w:cs="Calibri"/>
          <w:lang w:val="ro-RO"/>
        </w:rPr>
      </w:pPr>
      <w:r w:rsidRPr="00834B27">
        <w:rPr>
          <w:rFonts w:ascii="Calibri" w:hAnsi="Calibri" w:cs="Calibri"/>
          <w:lang w:val="ro-RO"/>
        </w:rPr>
        <w:br w:type="page"/>
      </w:r>
    </w:p>
    <w:p w14:paraId="21E8C45D" w14:textId="1ADB87EA" w:rsidR="00E67792" w:rsidRPr="00834B27" w:rsidRDefault="00E67792" w:rsidP="009F2FDA">
      <w:pPr>
        <w:pStyle w:val="Listparagraf"/>
        <w:numPr>
          <w:ilvl w:val="0"/>
          <w:numId w:val="23"/>
        </w:numPr>
        <w:tabs>
          <w:tab w:val="left" w:pos="1260"/>
        </w:tabs>
        <w:spacing w:line="276" w:lineRule="auto"/>
        <w:contextualSpacing w:val="0"/>
        <w:jc w:val="both"/>
        <w:outlineLvl w:val="0"/>
        <w:rPr>
          <w:rFonts w:ascii="Calibri" w:hAnsi="Calibri" w:cs="Calibri"/>
          <w:b/>
          <w:bCs/>
          <w:lang w:val="ro-RO"/>
        </w:rPr>
      </w:pPr>
      <w:bookmarkStart w:id="16" w:name="_Toc223643885"/>
      <w:r w:rsidRPr="00834B27">
        <w:rPr>
          <w:rFonts w:ascii="Calibri" w:hAnsi="Calibri" w:cs="Calibri"/>
          <w:b/>
          <w:bCs/>
          <w:lang w:val="ro-RO"/>
        </w:rPr>
        <w:lastRenderedPageBreak/>
        <w:t>– Scenarii de reform</w:t>
      </w:r>
      <w:r w:rsidR="008B51BD" w:rsidRPr="00834B27">
        <w:rPr>
          <w:rFonts w:ascii="Calibri" w:hAnsi="Calibri" w:cs="Calibri"/>
          <w:b/>
          <w:bCs/>
          <w:lang w:val="ro-RO"/>
        </w:rPr>
        <w:t>ă</w:t>
      </w:r>
      <w:bookmarkEnd w:id="16"/>
    </w:p>
    <w:p w14:paraId="6133A112" w14:textId="77777777" w:rsidR="00B91E74" w:rsidRPr="00834B27" w:rsidRDefault="00B91E74" w:rsidP="00B91E74">
      <w:pPr>
        <w:pStyle w:val="Listparagraf"/>
        <w:tabs>
          <w:tab w:val="left" w:pos="1260"/>
        </w:tabs>
        <w:spacing w:line="276" w:lineRule="auto"/>
        <w:ind w:left="360"/>
        <w:contextualSpacing w:val="0"/>
        <w:jc w:val="both"/>
        <w:rPr>
          <w:rFonts w:ascii="Calibri" w:hAnsi="Calibri" w:cs="Calibri"/>
          <w:b/>
          <w:bCs/>
          <w:lang w:val="ro-RO"/>
        </w:rPr>
      </w:pPr>
    </w:p>
    <w:p w14:paraId="36FA1C7C" w14:textId="444BDED9" w:rsidR="00612F7B" w:rsidRPr="00834B27" w:rsidRDefault="00A306EE" w:rsidP="009F2FDA">
      <w:pPr>
        <w:pStyle w:val="Listparagraf"/>
        <w:numPr>
          <w:ilvl w:val="1"/>
          <w:numId w:val="32"/>
        </w:numPr>
        <w:spacing w:line="276" w:lineRule="auto"/>
        <w:ind w:left="720" w:hanging="720"/>
        <w:contextualSpacing w:val="0"/>
        <w:jc w:val="both"/>
        <w:outlineLvl w:val="1"/>
        <w:rPr>
          <w:rFonts w:ascii="Calibri" w:hAnsi="Calibri" w:cs="Calibri"/>
          <w:b/>
          <w:bCs/>
          <w:lang w:val="ro-RO"/>
        </w:rPr>
      </w:pPr>
      <w:bookmarkStart w:id="17" w:name="_Toc223643886"/>
      <w:r w:rsidRPr="00834B27">
        <w:rPr>
          <w:rFonts w:ascii="Calibri" w:hAnsi="Calibri" w:cs="Calibri"/>
          <w:b/>
          <w:bCs/>
          <w:lang w:val="ro-RO"/>
        </w:rPr>
        <w:t>Principii</w:t>
      </w:r>
      <w:bookmarkEnd w:id="17"/>
      <w:r w:rsidRPr="00834B27">
        <w:rPr>
          <w:rFonts w:ascii="Calibri" w:hAnsi="Calibri" w:cs="Calibri"/>
          <w:b/>
          <w:bCs/>
          <w:lang w:val="ro-RO"/>
        </w:rPr>
        <w:t xml:space="preserve"> </w:t>
      </w:r>
    </w:p>
    <w:p w14:paraId="22BD98FA" w14:textId="40223DB8" w:rsidR="00335159" w:rsidRPr="00834B27" w:rsidRDefault="00790202" w:rsidP="00B91E74">
      <w:pPr>
        <w:spacing w:line="276" w:lineRule="auto"/>
        <w:jc w:val="both"/>
        <w:rPr>
          <w:rFonts w:ascii="Calibri" w:hAnsi="Calibri" w:cs="Calibri"/>
          <w:lang w:val="ro-RO"/>
        </w:rPr>
      </w:pPr>
      <w:r w:rsidRPr="00834B27">
        <w:rPr>
          <w:rFonts w:ascii="Calibri" w:hAnsi="Calibri" w:cs="Calibri"/>
          <w:lang w:val="ro-RO"/>
        </w:rPr>
        <w:t>Cu titlu general, c</w:t>
      </w:r>
      <w:r w:rsidR="00F21007" w:rsidRPr="00834B27">
        <w:rPr>
          <w:rFonts w:ascii="Calibri" w:hAnsi="Calibri" w:cs="Calibri"/>
          <w:lang w:val="ro-RO"/>
        </w:rPr>
        <w:t>onsider</w:t>
      </w:r>
      <w:r w:rsidR="00B91E74" w:rsidRPr="00834B27">
        <w:rPr>
          <w:rFonts w:ascii="Calibri" w:hAnsi="Calibri" w:cs="Calibri"/>
          <w:lang w:val="ro-RO"/>
        </w:rPr>
        <w:t>ă</w:t>
      </w:r>
      <w:r w:rsidR="00F21007" w:rsidRPr="00834B27">
        <w:rPr>
          <w:rFonts w:ascii="Calibri" w:hAnsi="Calibri" w:cs="Calibri"/>
          <w:lang w:val="ro-RO"/>
        </w:rPr>
        <w:t>m</w:t>
      </w:r>
      <w:r w:rsidR="003E26F2" w:rsidRPr="00834B27">
        <w:rPr>
          <w:rFonts w:ascii="Calibri" w:hAnsi="Calibri" w:cs="Calibri"/>
          <w:lang w:val="ro-RO"/>
        </w:rPr>
        <w:t xml:space="preserve"> c</w:t>
      </w:r>
      <w:r w:rsidR="00B91E74" w:rsidRPr="00834B27">
        <w:rPr>
          <w:rFonts w:ascii="Calibri" w:hAnsi="Calibri" w:cs="Calibri"/>
          <w:lang w:val="ro-RO"/>
        </w:rPr>
        <w:t>ă</w:t>
      </w:r>
      <w:r w:rsidR="003E26F2" w:rsidRPr="00834B27">
        <w:rPr>
          <w:rFonts w:ascii="Calibri" w:hAnsi="Calibri" w:cs="Calibri"/>
          <w:lang w:val="ro-RO"/>
        </w:rPr>
        <w:t xml:space="preserve"> </w:t>
      </w:r>
      <w:r w:rsidR="003E26F2" w:rsidRPr="00834B27">
        <w:rPr>
          <w:rFonts w:ascii="Calibri" w:hAnsi="Calibri" w:cs="Calibri"/>
          <w:b/>
          <w:bCs/>
          <w:lang w:val="ro-RO"/>
        </w:rPr>
        <w:t>SFT trebuie s</w:t>
      </w:r>
      <w:r w:rsidR="00B91E74" w:rsidRPr="00834B27">
        <w:rPr>
          <w:rFonts w:ascii="Calibri" w:hAnsi="Calibri" w:cs="Calibri"/>
          <w:b/>
          <w:bCs/>
          <w:lang w:val="ro-RO"/>
        </w:rPr>
        <w:t>ă</w:t>
      </w:r>
      <w:r w:rsidR="003E26F2" w:rsidRPr="00834B27">
        <w:rPr>
          <w:rFonts w:ascii="Calibri" w:hAnsi="Calibri" w:cs="Calibri"/>
          <w:b/>
          <w:bCs/>
          <w:lang w:val="ro-RO"/>
        </w:rPr>
        <w:t xml:space="preserve"> depind</w:t>
      </w:r>
      <w:r w:rsidR="00B91E74" w:rsidRPr="00834B27">
        <w:rPr>
          <w:rFonts w:ascii="Calibri" w:hAnsi="Calibri" w:cs="Calibri"/>
          <w:b/>
          <w:bCs/>
          <w:lang w:val="ro-RO"/>
        </w:rPr>
        <w:t>ă</w:t>
      </w:r>
      <w:r w:rsidR="00B00B1B" w:rsidRPr="00834B27">
        <w:rPr>
          <w:rFonts w:ascii="Calibri" w:hAnsi="Calibri" w:cs="Calibri"/>
          <w:b/>
          <w:bCs/>
          <w:lang w:val="ro-RO"/>
        </w:rPr>
        <w:t xml:space="preserve"> doar de m</w:t>
      </w:r>
      <w:r w:rsidR="00B91E74" w:rsidRPr="00834B27">
        <w:rPr>
          <w:rFonts w:ascii="Calibri" w:hAnsi="Calibri" w:cs="Calibri"/>
          <w:b/>
          <w:bCs/>
          <w:lang w:val="ro-RO"/>
        </w:rPr>
        <w:t>ă</w:t>
      </w:r>
      <w:r w:rsidR="00B00B1B" w:rsidRPr="00834B27">
        <w:rPr>
          <w:rFonts w:ascii="Calibri" w:hAnsi="Calibri" w:cs="Calibri"/>
          <w:b/>
          <w:bCs/>
          <w:lang w:val="ro-RO"/>
        </w:rPr>
        <w:t xml:space="preserve">rimea venitului </w:t>
      </w:r>
      <w:r w:rsidR="00A50DE9" w:rsidRPr="00834B27">
        <w:rPr>
          <w:rFonts w:ascii="Calibri" w:hAnsi="Calibri" w:cs="Calibri"/>
          <w:b/>
          <w:bCs/>
          <w:lang w:val="ro-RO"/>
        </w:rPr>
        <w:t xml:space="preserve">impozabil </w:t>
      </w:r>
      <w:r w:rsidR="00B91E74" w:rsidRPr="00834B27">
        <w:rPr>
          <w:rFonts w:ascii="Calibri" w:hAnsi="Calibri" w:cs="Calibri"/>
          <w:b/>
          <w:bCs/>
          <w:lang w:val="ro-RO"/>
        </w:rPr>
        <w:t>ob</w:t>
      </w:r>
      <w:r w:rsidR="00D77C4B" w:rsidRPr="00834B27">
        <w:rPr>
          <w:rFonts w:ascii="Calibri" w:hAnsi="Calibri" w:cs="Calibri"/>
          <w:b/>
          <w:bCs/>
          <w:lang w:val="ro-RO"/>
        </w:rPr>
        <w:t>ț</w:t>
      </w:r>
      <w:r w:rsidR="00B91E74" w:rsidRPr="00834B27">
        <w:rPr>
          <w:rFonts w:ascii="Calibri" w:hAnsi="Calibri" w:cs="Calibri"/>
          <w:b/>
          <w:bCs/>
          <w:lang w:val="ro-RO"/>
        </w:rPr>
        <w:t>inut</w:t>
      </w:r>
      <w:r w:rsidR="00A50DE9" w:rsidRPr="00834B27">
        <w:rPr>
          <w:rFonts w:ascii="Calibri" w:hAnsi="Calibri" w:cs="Calibri"/>
          <w:b/>
          <w:bCs/>
          <w:lang w:val="ro-RO"/>
        </w:rPr>
        <w:t xml:space="preserve"> de </w:t>
      </w:r>
      <w:r w:rsidR="00B91E74" w:rsidRPr="00834B27">
        <w:rPr>
          <w:rFonts w:ascii="Calibri" w:hAnsi="Calibri" w:cs="Calibri"/>
          <w:b/>
          <w:bCs/>
          <w:lang w:val="ro-RO"/>
        </w:rPr>
        <w:t>reziden</w:t>
      </w:r>
      <w:r w:rsidR="00D77C4B" w:rsidRPr="00834B27">
        <w:rPr>
          <w:rFonts w:ascii="Calibri" w:hAnsi="Calibri" w:cs="Calibri"/>
          <w:b/>
          <w:bCs/>
          <w:lang w:val="ro-RO"/>
        </w:rPr>
        <w:t>ț</w:t>
      </w:r>
      <w:r w:rsidR="00B91E74" w:rsidRPr="00834B27">
        <w:rPr>
          <w:rFonts w:ascii="Calibri" w:hAnsi="Calibri" w:cs="Calibri"/>
          <w:b/>
          <w:bCs/>
          <w:lang w:val="ro-RO"/>
        </w:rPr>
        <w:t>ii</w:t>
      </w:r>
      <w:r w:rsidR="00A50DE9" w:rsidRPr="00834B27">
        <w:rPr>
          <w:rFonts w:ascii="Calibri" w:hAnsi="Calibri" w:cs="Calibri"/>
          <w:b/>
          <w:bCs/>
          <w:lang w:val="ro-RO"/>
        </w:rPr>
        <w:t xml:space="preserve"> fiscali </w:t>
      </w:r>
      <w:r w:rsidR="00B91E74" w:rsidRPr="00834B27">
        <w:rPr>
          <w:rFonts w:ascii="Calibri" w:hAnsi="Calibri" w:cs="Calibri"/>
          <w:b/>
          <w:bCs/>
          <w:lang w:val="ro-RO"/>
        </w:rPr>
        <w:t>î</w:t>
      </w:r>
      <w:r w:rsidR="00A50DE9" w:rsidRPr="00834B27">
        <w:rPr>
          <w:rFonts w:ascii="Calibri" w:hAnsi="Calibri" w:cs="Calibri"/>
          <w:b/>
          <w:bCs/>
          <w:lang w:val="ro-RO"/>
        </w:rPr>
        <w:t>n Rom</w:t>
      </w:r>
      <w:r w:rsidR="00B91E74" w:rsidRPr="00834B27">
        <w:rPr>
          <w:rFonts w:ascii="Calibri" w:hAnsi="Calibri" w:cs="Calibri"/>
          <w:b/>
          <w:bCs/>
          <w:lang w:val="ro-RO"/>
        </w:rPr>
        <w:t>â</w:t>
      </w:r>
      <w:r w:rsidR="00A50DE9" w:rsidRPr="00834B27">
        <w:rPr>
          <w:rFonts w:ascii="Calibri" w:hAnsi="Calibri" w:cs="Calibri"/>
          <w:b/>
          <w:bCs/>
          <w:lang w:val="ro-RO"/>
        </w:rPr>
        <w:t>nia (</w:t>
      </w:r>
      <w:r w:rsidR="00B91E74" w:rsidRPr="00834B27">
        <w:rPr>
          <w:rFonts w:ascii="Calibri" w:hAnsi="Calibri" w:cs="Calibri"/>
          <w:b/>
          <w:bCs/>
          <w:lang w:val="ro-RO"/>
        </w:rPr>
        <w:t>cetă</w:t>
      </w:r>
      <w:r w:rsidR="00D77C4B" w:rsidRPr="00834B27">
        <w:rPr>
          <w:rFonts w:ascii="Calibri" w:hAnsi="Calibri" w:cs="Calibri"/>
          <w:b/>
          <w:bCs/>
          <w:lang w:val="ro-RO"/>
        </w:rPr>
        <w:t>ț</w:t>
      </w:r>
      <w:r w:rsidR="00B91E74" w:rsidRPr="00834B27">
        <w:rPr>
          <w:rFonts w:ascii="Calibri" w:hAnsi="Calibri" w:cs="Calibri"/>
          <w:b/>
          <w:bCs/>
          <w:lang w:val="ro-RO"/>
        </w:rPr>
        <w:t>eni</w:t>
      </w:r>
      <w:r w:rsidR="00A50DE9" w:rsidRPr="00834B27">
        <w:rPr>
          <w:rFonts w:ascii="Calibri" w:hAnsi="Calibri" w:cs="Calibri"/>
          <w:b/>
          <w:bCs/>
          <w:lang w:val="ro-RO"/>
        </w:rPr>
        <w:t xml:space="preserve"> rom</w:t>
      </w:r>
      <w:r w:rsidR="00B91E74" w:rsidRPr="00834B27">
        <w:rPr>
          <w:rFonts w:ascii="Calibri" w:hAnsi="Calibri" w:cs="Calibri"/>
          <w:b/>
          <w:bCs/>
          <w:lang w:val="ro-RO"/>
        </w:rPr>
        <w:t>â</w:t>
      </w:r>
      <w:r w:rsidR="00A50DE9" w:rsidRPr="00834B27">
        <w:rPr>
          <w:rFonts w:ascii="Calibri" w:hAnsi="Calibri" w:cs="Calibri"/>
          <w:b/>
          <w:bCs/>
          <w:lang w:val="ro-RO"/>
        </w:rPr>
        <w:t xml:space="preserve">ni sau </w:t>
      </w:r>
      <w:r w:rsidR="00B91E74" w:rsidRPr="00834B27">
        <w:rPr>
          <w:rFonts w:ascii="Calibri" w:hAnsi="Calibri" w:cs="Calibri"/>
          <w:b/>
          <w:bCs/>
          <w:lang w:val="ro-RO"/>
        </w:rPr>
        <w:t>străini</w:t>
      </w:r>
      <w:r w:rsidR="00A50DE9" w:rsidRPr="00834B27">
        <w:rPr>
          <w:rFonts w:ascii="Calibri" w:hAnsi="Calibri" w:cs="Calibri"/>
          <w:b/>
          <w:bCs/>
          <w:lang w:val="ro-RO"/>
        </w:rPr>
        <w:t>)</w:t>
      </w:r>
      <w:r w:rsidR="00335159" w:rsidRPr="00834B27">
        <w:rPr>
          <w:rFonts w:ascii="Calibri" w:hAnsi="Calibri" w:cs="Calibri"/>
          <w:b/>
          <w:bCs/>
          <w:lang w:val="ro-RO"/>
        </w:rPr>
        <w:t xml:space="preserve"> </w:t>
      </w:r>
      <w:r w:rsidR="00B91E74" w:rsidRPr="00834B27">
        <w:rPr>
          <w:rFonts w:ascii="Calibri" w:hAnsi="Calibri" w:cs="Calibri"/>
          <w:b/>
          <w:bCs/>
          <w:lang w:val="ro-RO"/>
        </w:rPr>
        <w:t>ș</w:t>
      </w:r>
      <w:r w:rsidR="00335159" w:rsidRPr="00834B27">
        <w:rPr>
          <w:rFonts w:ascii="Calibri" w:hAnsi="Calibri" w:cs="Calibri"/>
          <w:b/>
          <w:bCs/>
          <w:lang w:val="ro-RO"/>
        </w:rPr>
        <w:t>i nu de tipul venitului</w:t>
      </w:r>
      <w:r w:rsidR="009539A3" w:rsidRPr="00834B27">
        <w:rPr>
          <w:rFonts w:ascii="Calibri" w:hAnsi="Calibri" w:cs="Calibri"/>
          <w:lang w:val="ro-RO"/>
        </w:rPr>
        <w:t>.</w:t>
      </w:r>
      <w:r w:rsidR="00B24A46" w:rsidRPr="00834B27">
        <w:rPr>
          <w:rFonts w:ascii="Calibri" w:hAnsi="Calibri" w:cs="Calibri"/>
          <w:lang w:val="ro-RO"/>
        </w:rPr>
        <w:t xml:space="preserve"> </w:t>
      </w:r>
      <w:r w:rsidR="009539A3" w:rsidRPr="00834B27">
        <w:rPr>
          <w:rFonts w:ascii="Calibri" w:hAnsi="Calibri" w:cs="Calibri"/>
          <w:lang w:val="ro-RO"/>
        </w:rPr>
        <w:t>C</w:t>
      </w:r>
      <w:r w:rsidR="00B24A46" w:rsidRPr="00834B27">
        <w:rPr>
          <w:rFonts w:ascii="Calibri" w:hAnsi="Calibri" w:cs="Calibri"/>
          <w:lang w:val="ro-RO"/>
        </w:rPr>
        <w:t>u alte cuvinte</w:t>
      </w:r>
      <w:r w:rsidR="008E4491" w:rsidRPr="00834B27">
        <w:rPr>
          <w:rFonts w:ascii="Calibri" w:hAnsi="Calibri" w:cs="Calibri"/>
          <w:lang w:val="ro-RO"/>
        </w:rPr>
        <w:t>,</w:t>
      </w:r>
      <w:r w:rsidR="00B24A46" w:rsidRPr="00834B27">
        <w:rPr>
          <w:rFonts w:ascii="Calibri" w:hAnsi="Calibri" w:cs="Calibri"/>
          <w:lang w:val="ro-RO"/>
        </w:rPr>
        <w:t xml:space="preserve"> </w:t>
      </w:r>
      <w:r w:rsidR="00652FDB" w:rsidRPr="00834B27">
        <w:rPr>
          <w:rFonts w:ascii="Calibri" w:hAnsi="Calibri" w:cs="Calibri"/>
          <w:lang w:val="ro-RO"/>
        </w:rPr>
        <w:t>consider</w:t>
      </w:r>
      <w:r w:rsidR="007F38A1" w:rsidRPr="00834B27">
        <w:rPr>
          <w:rFonts w:ascii="Calibri" w:hAnsi="Calibri" w:cs="Calibri"/>
          <w:lang w:val="ro-RO"/>
        </w:rPr>
        <w:t>ă</w:t>
      </w:r>
      <w:r w:rsidR="00652FDB" w:rsidRPr="00834B27">
        <w:rPr>
          <w:rFonts w:ascii="Calibri" w:hAnsi="Calibri" w:cs="Calibri"/>
          <w:lang w:val="ro-RO"/>
        </w:rPr>
        <w:t>m c</w:t>
      </w:r>
      <w:r w:rsidR="007F38A1" w:rsidRPr="00834B27">
        <w:rPr>
          <w:rFonts w:ascii="Calibri" w:hAnsi="Calibri" w:cs="Calibri"/>
          <w:lang w:val="ro-RO"/>
        </w:rPr>
        <w:t>ă</w:t>
      </w:r>
      <w:r w:rsidR="00652FDB" w:rsidRPr="00834B27">
        <w:rPr>
          <w:rFonts w:ascii="Calibri" w:hAnsi="Calibri" w:cs="Calibri"/>
          <w:lang w:val="ro-RO"/>
        </w:rPr>
        <w:t xml:space="preserve"> SFT trebuie s</w:t>
      </w:r>
      <w:r w:rsidR="007F38A1" w:rsidRPr="00834B27">
        <w:rPr>
          <w:rFonts w:ascii="Calibri" w:hAnsi="Calibri" w:cs="Calibri"/>
          <w:lang w:val="ro-RO"/>
        </w:rPr>
        <w:t>ă</w:t>
      </w:r>
      <w:r w:rsidR="00652FDB" w:rsidRPr="00834B27">
        <w:rPr>
          <w:rFonts w:ascii="Calibri" w:hAnsi="Calibri" w:cs="Calibri"/>
          <w:lang w:val="ro-RO"/>
        </w:rPr>
        <w:t xml:space="preserve"> depind</w:t>
      </w:r>
      <w:r w:rsidR="007F38A1" w:rsidRPr="00834B27">
        <w:rPr>
          <w:rFonts w:ascii="Calibri" w:hAnsi="Calibri" w:cs="Calibri"/>
          <w:lang w:val="ro-RO"/>
        </w:rPr>
        <w:t>ă</w:t>
      </w:r>
      <w:r w:rsidR="00652FDB" w:rsidRPr="00834B27">
        <w:rPr>
          <w:rFonts w:ascii="Calibri" w:hAnsi="Calibri" w:cs="Calibri"/>
          <w:lang w:val="ro-RO"/>
        </w:rPr>
        <w:t xml:space="preserve"> doar de C</w:t>
      </w:r>
      <w:r w:rsidR="009539A3" w:rsidRPr="00834B27">
        <w:rPr>
          <w:rFonts w:ascii="Calibri" w:hAnsi="Calibri" w:cs="Calibri"/>
          <w:lang w:val="ro-RO"/>
        </w:rPr>
        <w:t>Â</w:t>
      </w:r>
      <w:r w:rsidR="00652FDB" w:rsidRPr="00834B27">
        <w:rPr>
          <w:rFonts w:ascii="Calibri" w:hAnsi="Calibri" w:cs="Calibri"/>
          <w:lang w:val="ro-RO"/>
        </w:rPr>
        <w:t xml:space="preserve">T </w:t>
      </w:r>
      <w:r w:rsidR="007F38A1" w:rsidRPr="00834B27">
        <w:rPr>
          <w:rFonts w:ascii="Calibri" w:hAnsi="Calibri" w:cs="Calibri"/>
          <w:lang w:val="ro-RO"/>
        </w:rPr>
        <w:t>ș</w:t>
      </w:r>
      <w:r w:rsidR="00652FDB" w:rsidRPr="00834B27">
        <w:rPr>
          <w:rFonts w:ascii="Calibri" w:hAnsi="Calibri" w:cs="Calibri"/>
          <w:lang w:val="ro-RO"/>
        </w:rPr>
        <w:t xml:space="preserve">i nu de CUM </w:t>
      </w:r>
      <w:r w:rsidR="00E36C80" w:rsidRPr="00834B27">
        <w:rPr>
          <w:rFonts w:ascii="Calibri" w:hAnsi="Calibri" w:cs="Calibri"/>
          <w:lang w:val="ro-RO"/>
        </w:rPr>
        <w:t xml:space="preserve">ne </w:t>
      </w:r>
      <w:r w:rsidR="007F38A1" w:rsidRPr="00834B27">
        <w:rPr>
          <w:rFonts w:ascii="Calibri" w:hAnsi="Calibri" w:cs="Calibri"/>
          <w:lang w:val="ro-RO"/>
        </w:rPr>
        <w:t>câștigăm</w:t>
      </w:r>
      <w:r w:rsidR="00E36C80" w:rsidRPr="00834B27">
        <w:rPr>
          <w:rFonts w:ascii="Calibri" w:hAnsi="Calibri" w:cs="Calibri"/>
          <w:lang w:val="ro-RO"/>
        </w:rPr>
        <w:t xml:space="preserve"> veniturile.</w:t>
      </w:r>
    </w:p>
    <w:p w14:paraId="77CA4EDF" w14:textId="615D8769" w:rsidR="001B3A3D" w:rsidRPr="00834B27" w:rsidRDefault="00334C26" w:rsidP="00B91E74">
      <w:pPr>
        <w:spacing w:line="276" w:lineRule="auto"/>
        <w:jc w:val="both"/>
        <w:rPr>
          <w:rFonts w:ascii="Calibri" w:hAnsi="Calibri" w:cs="Calibri"/>
          <w:lang w:val="ro-RO"/>
        </w:rPr>
      </w:pPr>
      <w:r w:rsidRPr="00834B27">
        <w:rPr>
          <w:rFonts w:ascii="Calibri" w:hAnsi="Calibri" w:cs="Calibri"/>
          <w:lang w:val="ro-RO"/>
        </w:rPr>
        <w:t xml:space="preserve">Tot cu titlu general, </w:t>
      </w:r>
      <w:r w:rsidR="00B91E74" w:rsidRPr="00834B27">
        <w:rPr>
          <w:rFonts w:ascii="Calibri" w:hAnsi="Calibri" w:cs="Calibri"/>
          <w:b/>
          <w:bCs/>
          <w:lang w:val="ro-RO"/>
        </w:rPr>
        <w:t>contribu</w:t>
      </w:r>
      <w:r w:rsidR="00D77C4B" w:rsidRPr="00834B27">
        <w:rPr>
          <w:rFonts w:ascii="Calibri" w:hAnsi="Calibri" w:cs="Calibri"/>
          <w:b/>
          <w:bCs/>
          <w:lang w:val="ro-RO"/>
        </w:rPr>
        <w:t>ț</w:t>
      </w:r>
      <w:r w:rsidR="00B91E74" w:rsidRPr="00834B27">
        <w:rPr>
          <w:rFonts w:ascii="Calibri" w:hAnsi="Calibri" w:cs="Calibri"/>
          <w:b/>
          <w:bCs/>
          <w:lang w:val="ro-RO"/>
        </w:rPr>
        <w:t>iile</w:t>
      </w:r>
      <w:r w:rsidR="006F2A68" w:rsidRPr="00834B27">
        <w:rPr>
          <w:rFonts w:ascii="Calibri" w:hAnsi="Calibri" w:cs="Calibri"/>
          <w:b/>
          <w:bCs/>
          <w:lang w:val="ro-RO"/>
        </w:rPr>
        <w:t xml:space="preserve"> sociale obligatorii </w:t>
      </w:r>
      <w:r w:rsidR="004F1785" w:rsidRPr="00834B27">
        <w:rPr>
          <w:rFonts w:ascii="Calibri" w:hAnsi="Calibri" w:cs="Calibri"/>
          <w:b/>
          <w:bCs/>
          <w:lang w:val="ro-RO"/>
        </w:rPr>
        <w:t>nu sunt impozite</w:t>
      </w:r>
      <w:r w:rsidR="004F1785" w:rsidRPr="00834B27">
        <w:rPr>
          <w:rFonts w:ascii="Calibri" w:hAnsi="Calibri" w:cs="Calibri"/>
          <w:lang w:val="ro-RO"/>
        </w:rPr>
        <w:t xml:space="preserve"> (chiar dac</w:t>
      </w:r>
      <w:r w:rsidR="00B91E74" w:rsidRPr="00834B27">
        <w:rPr>
          <w:rFonts w:ascii="Calibri" w:hAnsi="Calibri" w:cs="Calibri"/>
          <w:lang w:val="ro-RO"/>
        </w:rPr>
        <w:t>ă</w:t>
      </w:r>
      <w:r w:rsidR="004F1785" w:rsidRPr="00834B27">
        <w:rPr>
          <w:rFonts w:ascii="Calibri" w:hAnsi="Calibri" w:cs="Calibri"/>
          <w:lang w:val="ro-RO"/>
        </w:rPr>
        <w:t xml:space="preserve"> reglementarea lor este </w:t>
      </w:r>
      <w:r w:rsidR="00B91E74" w:rsidRPr="00834B27">
        <w:rPr>
          <w:rFonts w:ascii="Calibri" w:hAnsi="Calibri" w:cs="Calibri"/>
          <w:lang w:val="ro-RO"/>
        </w:rPr>
        <w:t>inclusă</w:t>
      </w:r>
      <w:r w:rsidR="004F1785" w:rsidRPr="00834B27">
        <w:rPr>
          <w:rFonts w:ascii="Calibri" w:hAnsi="Calibri" w:cs="Calibri"/>
          <w:lang w:val="ro-RO"/>
        </w:rPr>
        <w:t xml:space="preserve"> </w:t>
      </w:r>
      <w:r w:rsidR="00B91E74" w:rsidRPr="00834B27">
        <w:rPr>
          <w:rFonts w:ascii="Calibri" w:hAnsi="Calibri" w:cs="Calibri"/>
          <w:lang w:val="ro-RO"/>
        </w:rPr>
        <w:t>î</w:t>
      </w:r>
      <w:r w:rsidR="004F1785" w:rsidRPr="00834B27">
        <w:rPr>
          <w:rFonts w:ascii="Calibri" w:hAnsi="Calibri" w:cs="Calibri"/>
          <w:lang w:val="ro-RO"/>
        </w:rPr>
        <w:t>n CF)</w:t>
      </w:r>
      <w:r w:rsidR="004C7EC4" w:rsidRPr="00834B27">
        <w:rPr>
          <w:rFonts w:ascii="Calibri" w:hAnsi="Calibri" w:cs="Calibri"/>
          <w:lang w:val="ro-RO"/>
        </w:rPr>
        <w:t>, deoarece plata lor implic</w:t>
      </w:r>
      <w:r w:rsidR="00B91E74" w:rsidRPr="00834B27">
        <w:rPr>
          <w:rFonts w:ascii="Calibri" w:hAnsi="Calibri" w:cs="Calibri"/>
          <w:lang w:val="ro-RO"/>
        </w:rPr>
        <w:t>ă anumite</w:t>
      </w:r>
      <w:r w:rsidR="004C7EC4" w:rsidRPr="00834B27">
        <w:rPr>
          <w:rFonts w:ascii="Calibri" w:hAnsi="Calibri" w:cs="Calibri"/>
          <w:lang w:val="ro-RO"/>
        </w:rPr>
        <w:t xml:space="preserve"> </w:t>
      </w:r>
      <w:r w:rsidR="00B91E74" w:rsidRPr="00834B27">
        <w:rPr>
          <w:rFonts w:ascii="Calibri" w:hAnsi="Calibri" w:cs="Calibri"/>
          <w:lang w:val="ro-RO"/>
        </w:rPr>
        <w:t>contrapresta</w:t>
      </w:r>
      <w:r w:rsidR="00D77C4B" w:rsidRPr="00834B27">
        <w:rPr>
          <w:rFonts w:ascii="Calibri" w:hAnsi="Calibri" w:cs="Calibri"/>
          <w:lang w:val="ro-RO"/>
        </w:rPr>
        <w:t>ț</w:t>
      </w:r>
      <w:r w:rsidR="00B91E74" w:rsidRPr="00834B27">
        <w:rPr>
          <w:rFonts w:ascii="Calibri" w:hAnsi="Calibri" w:cs="Calibri"/>
          <w:lang w:val="ro-RO"/>
        </w:rPr>
        <w:t>ii</w:t>
      </w:r>
      <w:r w:rsidR="004C7EC4" w:rsidRPr="00834B27">
        <w:rPr>
          <w:rFonts w:ascii="Calibri" w:hAnsi="Calibri" w:cs="Calibri"/>
          <w:lang w:val="ro-RO"/>
        </w:rPr>
        <w:t>:</w:t>
      </w:r>
    </w:p>
    <w:p w14:paraId="07DF84AE" w14:textId="0A4639F6" w:rsidR="004C7EC4" w:rsidRPr="00834B27" w:rsidRDefault="004C7EC4" w:rsidP="008B51BD">
      <w:pPr>
        <w:pStyle w:val="Listparagraf"/>
        <w:numPr>
          <w:ilvl w:val="0"/>
          <w:numId w:val="33"/>
        </w:numPr>
        <w:spacing w:line="276" w:lineRule="auto"/>
        <w:ind w:hanging="720"/>
        <w:contextualSpacing w:val="0"/>
        <w:jc w:val="both"/>
        <w:rPr>
          <w:rFonts w:ascii="Calibri" w:hAnsi="Calibri" w:cs="Calibri"/>
          <w:lang w:val="ro-RO"/>
        </w:rPr>
      </w:pPr>
      <w:r w:rsidRPr="00834B27">
        <w:rPr>
          <w:rFonts w:ascii="Calibri" w:hAnsi="Calibri" w:cs="Calibri"/>
          <w:lang w:val="ro-RO"/>
        </w:rPr>
        <w:t xml:space="preserve">La CAS, </w:t>
      </w:r>
      <w:r w:rsidR="00B91E74" w:rsidRPr="00834B27">
        <w:rPr>
          <w:rFonts w:ascii="Calibri" w:hAnsi="Calibri" w:cs="Calibri"/>
          <w:lang w:val="ro-RO"/>
        </w:rPr>
        <w:t>contrapresta</w:t>
      </w:r>
      <w:r w:rsidR="00D77C4B" w:rsidRPr="00834B27">
        <w:rPr>
          <w:rFonts w:ascii="Calibri" w:hAnsi="Calibri" w:cs="Calibri"/>
          <w:lang w:val="ro-RO"/>
        </w:rPr>
        <w:t>ț</w:t>
      </w:r>
      <w:r w:rsidR="00B91E74" w:rsidRPr="00834B27">
        <w:rPr>
          <w:rFonts w:ascii="Calibri" w:hAnsi="Calibri" w:cs="Calibri"/>
          <w:lang w:val="ro-RO"/>
        </w:rPr>
        <w:t>ia</w:t>
      </w:r>
      <w:r w:rsidRPr="00834B27">
        <w:rPr>
          <w:rFonts w:ascii="Calibri" w:hAnsi="Calibri" w:cs="Calibri"/>
          <w:lang w:val="ro-RO"/>
        </w:rPr>
        <w:t xml:space="preserve"> const</w:t>
      </w:r>
      <w:r w:rsidR="008B51BD" w:rsidRPr="00834B27">
        <w:rPr>
          <w:rFonts w:ascii="Calibri" w:hAnsi="Calibri" w:cs="Calibri"/>
          <w:lang w:val="ro-RO"/>
        </w:rPr>
        <w:t>ă</w:t>
      </w:r>
      <w:r w:rsidRPr="00834B27">
        <w:rPr>
          <w:rFonts w:ascii="Calibri" w:hAnsi="Calibri" w:cs="Calibri"/>
          <w:lang w:val="ro-RO"/>
        </w:rPr>
        <w:t xml:space="preserve"> </w:t>
      </w:r>
      <w:r w:rsidR="00B91E74" w:rsidRPr="00834B27">
        <w:rPr>
          <w:rFonts w:ascii="Calibri" w:hAnsi="Calibri" w:cs="Calibri"/>
          <w:lang w:val="ro-RO"/>
        </w:rPr>
        <w:t>î</w:t>
      </w:r>
      <w:r w:rsidRPr="00834B27">
        <w:rPr>
          <w:rFonts w:ascii="Calibri" w:hAnsi="Calibri" w:cs="Calibri"/>
          <w:lang w:val="ro-RO"/>
        </w:rPr>
        <w:t xml:space="preserve">n acordarea unui </w:t>
      </w:r>
      <w:r w:rsidR="00B91E74" w:rsidRPr="00834B27">
        <w:rPr>
          <w:rFonts w:ascii="Calibri" w:hAnsi="Calibri" w:cs="Calibri"/>
          <w:lang w:val="ro-RO"/>
        </w:rPr>
        <w:t>număr</w:t>
      </w:r>
      <w:r w:rsidRPr="00834B27">
        <w:rPr>
          <w:rFonts w:ascii="Calibri" w:hAnsi="Calibri" w:cs="Calibri"/>
          <w:lang w:val="ro-RO"/>
        </w:rPr>
        <w:t xml:space="preserve"> de puncte de pensie</w:t>
      </w:r>
      <w:r w:rsidR="001B5B85" w:rsidRPr="00834B27">
        <w:rPr>
          <w:rFonts w:ascii="Calibri" w:hAnsi="Calibri" w:cs="Calibri"/>
          <w:lang w:val="ro-RO"/>
        </w:rPr>
        <w:t xml:space="preserve">, </w:t>
      </w:r>
      <w:r w:rsidR="00B91E74" w:rsidRPr="00834B27">
        <w:rPr>
          <w:rFonts w:ascii="Calibri" w:hAnsi="Calibri" w:cs="Calibri"/>
          <w:lang w:val="ro-RO"/>
        </w:rPr>
        <w:t>î</w:t>
      </w:r>
      <w:r w:rsidR="001B5B85" w:rsidRPr="00834B27">
        <w:rPr>
          <w:rFonts w:ascii="Calibri" w:hAnsi="Calibri" w:cs="Calibri"/>
          <w:lang w:val="ro-RO"/>
        </w:rPr>
        <w:t xml:space="preserve">n </w:t>
      </w:r>
      <w:r w:rsidR="00B91E74" w:rsidRPr="00834B27">
        <w:rPr>
          <w:rFonts w:ascii="Calibri" w:hAnsi="Calibri" w:cs="Calibri"/>
          <w:lang w:val="ro-RO"/>
        </w:rPr>
        <w:t>func</w:t>
      </w:r>
      <w:r w:rsidR="00D77C4B" w:rsidRPr="00834B27">
        <w:rPr>
          <w:rFonts w:ascii="Calibri" w:hAnsi="Calibri" w:cs="Calibri"/>
          <w:lang w:val="ro-RO"/>
        </w:rPr>
        <w:t>ț</w:t>
      </w:r>
      <w:r w:rsidR="00B91E74" w:rsidRPr="00834B27">
        <w:rPr>
          <w:rFonts w:ascii="Calibri" w:hAnsi="Calibri" w:cs="Calibri"/>
          <w:lang w:val="ro-RO"/>
        </w:rPr>
        <w:t>ie</w:t>
      </w:r>
      <w:r w:rsidR="001B5B85" w:rsidRPr="00834B27">
        <w:rPr>
          <w:rFonts w:ascii="Calibri" w:hAnsi="Calibri" w:cs="Calibri"/>
          <w:lang w:val="ro-RO"/>
        </w:rPr>
        <w:t xml:space="preserve"> de CAS </w:t>
      </w:r>
      <w:r w:rsidR="00B91E74" w:rsidRPr="00834B27">
        <w:rPr>
          <w:rFonts w:ascii="Calibri" w:hAnsi="Calibri" w:cs="Calibri"/>
          <w:lang w:val="ro-RO"/>
        </w:rPr>
        <w:t>plătită</w:t>
      </w:r>
      <w:r w:rsidR="001B5B85" w:rsidRPr="00834B27">
        <w:rPr>
          <w:rFonts w:ascii="Calibri" w:hAnsi="Calibri" w:cs="Calibri"/>
          <w:lang w:val="ro-RO"/>
        </w:rPr>
        <w:t xml:space="preserve">, atunci </w:t>
      </w:r>
      <w:r w:rsidR="00B91E74" w:rsidRPr="00834B27">
        <w:rPr>
          <w:rFonts w:ascii="Calibri" w:hAnsi="Calibri" w:cs="Calibri"/>
          <w:lang w:val="ro-RO"/>
        </w:rPr>
        <w:t>când</w:t>
      </w:r>
      <w:r w:rsidR="001B5B85" w:rsidRPr="00834B27">
        <w:rPr>
          <w:rFonts w:ascii="Calibri" w:hAnsi="Calibri" w:cs="Calibri"/>
          <w:lang w:val="ro-RO"/>
        </w:rPr>
        <w:t xml:space="preserve"> </w:t>
      </w:r>
      <w:r w:rsidR="003B0966" w:rsidRPr="00834B27">
        <w:rPr>
          <w:rFonts w:ascii="Calibri" w:hAnsi="Calibri" w:cs="Calibri"/>
          <w:lang w:val="ro-RO"/>
        </w:rPr>
        <w:t xml:space="preserve">persoana </w:t>
      </w:r>
      <w:r w:rsidR="00B91E74" w:rsidRPr="00834B27">
        <w:rPr>
          <w:rFonts w:ascii="Calibri" w:hAnsi="Calibri" w:cs="Calibri"/>
          <w:lang w:val="ro-RO"/>
        </w:rPr>
        <w:t>îndeplinește</w:t>
      </w:r>
      <w:r w:rsidR="003B0966" w:rsidRPr="00834B27">
        <w:rPr>
          <w:rFonts w:ascii="Calibri" w:hAnsi="Calibri" w:cs="Calibri"/>
          <w:lang w:val="ro-RO"/>
        </w:rPr>
        <w:t xml:space="preserve"> </w:t>
      </w:r>
      <w:r w:rsidR="00B91E74" w:rsidRPr="00834B27">
        <w:rPr>
          <w:rFonts w:ascii="Calibri" w:hAnsi="Calibri" w:cs="Calibri"/>
          <w:lang w:val="ro-RO"/>
        </w:rPr>
        <w:t>condi</w:t>
      </w:r>
      <w:r w:rsidR="00D77C4B" w:rsidRPr="00834B27">
        <w:rPr>
          <w:rFonts w:ascii="Calibri" w:hAnsi="Calibri" w:cs="Calibri"/>
          <w:lang w:val="ro-RO"/>
        </w:rPr>
        <w:t>ț</w:t>
      </w:r>
      <w:r w:rsidR="00B91E74" w:rsidRPr="00834B27">
        <w:rPr>
          <w:rFonts w:ascii="Calibri" w:hAnsi="Calibri" w:cs="Calibri"/>
          <w:lang w:val="ro-RO"/>
        </w:rPr>
        <w:t>iile</w:t>
      </w:r>
      <w:r w:rsidR="003B0966" w:rsidRPr="00834B27">
        <w:rPr>
          <w:rFonts w:ascii="Calibri" w:hAnsi="Calibri" w:cs="Calibri"/>
          <w:lang w:val="ro-RO"/>
        </w:rPr>
        <w:t xml:space="preserve"> pentru </w:t>
      </w:r>
      <w:r w:rsidR="00B91E74" w:rsidRPr="00834B27">
        <w:rPr>
          <w:rFonts w:ascii="Calibri" w:hAnsi="Calibri" w:cs="Calibri"/>
          <w:lang w:val="ro-RO"/>
        </w:rPr>
        <w:t>ieșirea</w:t>
      </w:r>
      <w:r w:rsidR="003B0966" w:rsidRPr="00834B27">
        <w:rPr>
          <w:rFonts w:ascii="Calibri" w:hAnsi="Calibri" w:cs="Calibri"/>
          <w:lang w:val="ro-RO"/>
        </w:rPr>
        <w:t xml:space="preserve"> la pensie;</w:t>
      </w:r>
    </w:p>
    <w:p w14:paraId="66863A7A" w14:textId="1FFF72C5" w:rsidR="003B0966" w:rsidRPr="00834B27" w:rsidRDefault="003B0966" w:rsidP="008B51BD">
      <w:pPr>
        <w:pStyle w:val="Listparagraf"/>
        <w:numPr>
          <w:ilvl w:val="0"/>
          <w:numId w:val="33"/>
        </w:numPr>
        <w:spacing w:line="276" w:lineRule="auto"/>
        <w:ind w:hanging="720"/>
        <w:contextualSpacing w:val="0"/>
        <w:jc w:val="both"/>
        <w:rPr>
          <w:rFonts w:ascii="Calibri" w:hAnsi="Calibri" w:cs="Calibri"/>
          <w:lang w:val="ro-RO"/>
        </w:rPr>
      </w:pPr>
      <w:r w:rsidRPr="00834B27">
        <w:rPr>
          <w:rFonts w:ascii="Calibri" w:hAnsi="Calibri" w:cs="Calibri"/>
          <w:lang w:val="ro-RO"/>
        </w:rPr>
        <w:t>La CASS</w:t>
      </w:r>
      <w:r w:rsidR="00DC569A" w:rsidRPr="00834B27">
        <w:rPr>
          <w:rFonts w:ascii="Calibri" w:hAnsi="Calibri" w:cs="Calibri"/>
          <w:lang w:val="ro-RO"/>
        </w:rPr>
        <w:t xml:space="preserve">, </w:t>
      </w:r>
      <w:r w:rsidR="00B91E74" w:rsidRPr="00834B27">
        <w:rPr>
          <w:rFonts w:ascii="Calibri" w:hAnsi="Calibri" w:cs="Calibri"/>
          <w:lang w:val="ro-RO"/>
        </w:rPr>
        <w:t>contrapresta</w:t>
      </w:r>
      <w:r w:rsidR="00D77C4B" w:rsidRPr="00834B27">
        <w:rPr>
          <w:rFonts w:ascii="Calibri" w:hAnsi="Calibri" w:cs="Calibri"/>
          <w:lang w:val="ro-RO"/>
        </w:rPr>
        <w:t>ț</w:t>
      </w:r>
      <w:r w:rsidR="00B91E74" w:rsidRPr="00834B27">
        <w:rPr>
          <w:rFonts w:ascii="Calibri" w:hAnsi="Calibri" w:cs="Calibri"/>
          <w:lang w:val="ro-RO"/>
        </w:rPr>
        <w:t>i</w:t>
      </w:r>
      <w:r w:rsidR="008E4491" w:rsidRPr="00834B27">
        <w:rPr>
          <w:rFonts w:ascii="Calibri" w:hAnsi="Calibri" w:cs="Calibri"/>
          <w:lang w:val="ro-RO"/>
        </w:rPr>
        <w:t>a</w:t>
      </w:r>
      <w:r w:rsidR="00DC569A" w:rsidRPr="00834B27">
        <w:rPr>
          <w:rFonts w:ascii="Calibri" w:hAnsi="Calibri" w:cs="Calibri"/>
          <w:lang w:val="ro-RO"/>
        </w:rPr>
        <w:t xml:space="preserve"> const</w:t>
      </w:r>
      <w:r w:rsidR="00B91E74" w:rsidRPr="00834B27">
        <w:rPr>
          <w:rFonts w:ascii="Calibri" w:hAnsi="Calibri" w:cs="Calibri"/>
          <w:lang w:val="ro-RO"/>
        </w:rPr>
        <w:t>ă</w:t>
      </w:r>
      <w:r w:rsidR="00DC569A" w:rsidRPr="00834B27">
        <w:rPr>
          <w:rFonts w:ascii="Calibri" w:hAnsi="Calibri" w:cs="Calibri"/>
          <w:lang w:val="ro-RO"/>
        </w:rPr>
        <w:t xml:space="preserve"> </w:t>
      </w:r>
      <w:r w:rsidR="00B91E74" w:rsidRPr="00834B27">
        <w:rPr>
          <w:rFonts w:ascii="Calibri" w:hAnsi="Calibri" w:cs="Calibri"/>
          <w:lang w:val="ro-RO"/>
        </w:rPr>
        <w:t>î</w:t>
      </w:r>
      <w:r w:rsidR="00DC569A" w:rsidRPr="00834B27">
        <w:rPr>
          <w:rFonts w:ascii="Calibri" w:hAnsi="Calibri" w:cs="Calibri"/>
          <w:lang w:val="ro-RO"/>
        </w:rPr>
        <w:t>n servicii medicale</w:t>
      </w:r>
      <w:r w:rsidR="009C169E" w:rsidRPr="00834B27">
        <w:rPr>
          <w:rFonts w:ascii="Calibri" w:hAnsi="Calibri" w:cs="Calibri"/>
          <w:lang w:val="ro-RO"/>
        </w:rPr>
        <w:t xml:space="preserve"> pe care calitatea de asigurat le </w:t>
      </w:r>
      <w:r w:rsidR="00B91E74" w:rsidRPr="00834B27">
        <w:rPr>
          <w:rFonts w:ascii="Calibri" w:hAnsi="Calibri" w:cs="Calibri"/>
          <w:lang w:val="ro-RO"/>
        </w:rPr>
        <w:t>conferă</w:t>
      </w:r>
      <w:r w:rsidR="009C169E" w:rsidRPr="00834B27">
        <w:rPr>
          <w:rFonts w:ascii="Calibri" w:hAnsi="Calibri" w:cs="Calibri"/>
          <w:lang w:val="ro-RO"/>
        </w:rPr>
        <w:t xml:space="preserve">. Aceste servicii nu depind </w:t>
      </w:r>
      <w:r w:rsidR="00B91E74" w:rsidRPr="00834B27">
        <w:rPr>
          <w:rFonts w:ascii="Calibri" w:hAnsi="Calibri" w:cs="Calibri"/>
          <w:lang w:val="ro-RO"/>
        </w:rPr>
        <w:t>însă</w:t>
      </w:r>
      <w:r w:rsidR="009C169E" w:rsidRPr="00834B27">
        <w:rPr>
          <w:rFonts w:ascii="Calibri" w:hAnsi="Calibri" w:cs="Calibri"/>
          <w:lang w:val="ro-RO"/>
        </w:rPr>
        <w:t xml:space="preserve"> de </w:t>
      </w:r>
      <w:r w:rsidR="00A118C4" w:rsidRPr="00834B27">
        <w:rPr>
          <w:rFonts w:ascii="Calibri" w:hAnsi="Calibri" w:cs="Calibri"/>
          <w:lang w:val="ro-RO"/>
        </w:rPr>
        <w:t xml:space="preserve">CASS </w:t>
      </w:r>
      <w:r w:rsidR="00B91E74" w:rsidRPr="00834B27">
        <w:rPr>
          <w:rFonts w:ascii="Calibri" w:hAnsi="Calibri" w:cs="Calibri"/>
          <w:lang w:val="ro-RO"/>
        </w:rPr>
        <w:t>plătit</w:t>
      </w:r>
      <w:r w:rsidR="00A118C4" w:rsidRPr="00834B27">
        <w:rPr>
          <w:rFonts w:ascii="Calibri" w:hAnsi="Calibri" w:cs="Calibri"/>
          <w:lang w:val="ro-RO"/>
        </w:rPr>
        <w:t>, fiind ace</w:t>
      </w:r>
      <w:r w:rsidR="00B91E74" w:rsidRPr="00834B27">
        <w:rPr>
          <w:rFonts w:ascii="Calibri" w:hAnsi="Calibri" w:cs="Calibri"/>
          <w:lang w:val="ro-RO"/>
        </w:rPr>
        <w:t>le</w:t>
      </w:r>
      <w:r w:rsidR="00A118C4" w:rsidRPr="00834B27">
        <w:rPr>
          <w:rFonts w:ascii="Calibri" w:hAnsi="Calibri" w:cs="Calibri"/>
          <w:lang w:val="ro-RO"/>
        </w:rPr>
        <w:t>a</w:t>
      </w:r>
      <w:r w:rsidR="00B91E74" w:rsidRPr="00834B27">
        <w:rPr>
          <w:rFonts w:ascii="Calibri" w:hAnsi="Calibri" w:cs="Calibri"/>
          <w:lang w:val="ro-RO"/>
        </w:rPr>
        <w:t>ș</w:t>
      </w:r>
      <w:r w:rsidR="00A118C4" w:rsidRPr="00834B27">
        <w:rPr>
          <w:rFonts w:ascii="Calibri" w:hAnsi="Calibri" w:cs="Calibri"/>
          <w:lang w:val="ro-RO"/>
        </w:rPr>
        <w:t xml:space="preserve">i pentru </w:t>
      </w:r>
      <w:r w:rsidR="00B91E74" w:rsidRPr="00834B27">
        <w:rPr>
          <w:rFonts w:ascii="Calibri" w:hAnsi="Calibri" w:cs="Calibri"/>
          <w:lang w:val="ro-RO"/>
        </w:rPr>
        <w:t>to</w:t>
      </w:r>
      <w:r w:rsidR="00D77C4B" w:rsidRPr="00834B27">
        <w:rPr>
          <w:rFonts w:ascii="Calibri" w:hAnsi="Calibri" w:cs="Calibri"/>
          <w:lang w:val="ro-RO"/>
        </w:rPr>
        <w:t>ț</w:t>
      </w:r>
      <w:r w:rsidR="00B91E74" w:rsidRPr="00834B27">
        <w:rPr>
          <w:rFonts w:ascii="Calibri" w:hAnsi="Calibri" w:cs="Calibri"/>
          <w:lang w:val="ro-RO"/>
        </w:rPr>
        <w:t>i</w:t>
      </w:r>
      <w:r w:rsidR="00A118C4" w:rsidRPr="00834B27">
        <w:rPr>
          <w:rFonts w:ascii="Calibri" w:hAnsi="Calibri" w:cs="Calibri"/>
          <w:lang w:val="ro-RO"/>
        </w:rPr>
        <w:t xml:space="preserve"> </w:t>
      </w:r>
      <w:r w:rsidR="00B91E74" w:rsidRPr="00834B27">
        <w:rPr>
          <w:rFonts w:ascii="Calibri" w:hAnsi="Calibri" w:cs="Calibri"/>
          <w:lang w:val="ro-RO"/>
        </w:rPr>
        <w:t>asigura</w:t>
      </w:r>
      <w:r w:rsidR="00D77C4B" w:rsidRPr="00834B27">
        <w:rPr>
          <w:rFonts w:ascii="Calibri" w:hAnsi="Calibri" w:cs="Calibri"/>
          <w:lang w:val="ro-RO"/>
        </w:rPr>
        <w:t>ț</w:t>
      </w:r>
      <w:r w:rsidR="00B91E74" w:rsidRPr="00834B27">
        <w:rPr>
          <w:rFonts w:ascii="Calibri" w:hAnsi="Calibri" w:cs="Calibri"/>
          <w:lang w:val="ro-RO"/>
        </w:rPr>
        <w:t>ii</w:t>
      </w:r>
      <w:r w:rsidR="00A118C4" w:rsidRPr="00834B27">
        <w:rPr>
          <w:rFonts w:ascii="Calibri" w:hAnsi="Calibri" w:cs="Calibri"/>
          <w:lang w:val="ro-RO"/>
        </w:rPr>
        <w:t>.</w:t>
      </w:r>
    </w:p>
    <w:p w14:paraId="4519048A" w14:textId="71968834" w:rsidR="00EF5713" w:rsidRPr="00834B27" w:rsidRDefault="00B91E74" w:rsidP="00B91E74">
      <w:pPr>
        <w:spacing w:line="276" w:lineRule="auto"/>
        <w:jc w:val="both"/>
        <w:rPr>
          <w:rFonts w:ascii="Calibri" w:hAnsi="Calibri" w:cs="Calibri"/>
          <w:lang w:val="ro-RO"/>
        </w:rPr>
      </w:pPr>
      <w:r w:rsidRPr="00834B27">
        <w:rPr>
          <w:rFonts w:ascii="Calibri" w:hAnsi="Calibri" w:cs="Calibri"/>
          <w:lang w:val="ro-RO"/>
        </w:rPr>
        <w:t>Î</w:t>
      </w:r>
      <w:r w:rsidR="00EF5713" w:rsidRPr="00834B27">
        <w:rPr>
          <w:rFonts w:ascii="Calibri" w:hAnsi="Calibri" w:cs="Calibri"/>
          <w:lang w:val="ro-RO"/>
        </w:rPr>
        <w:t>n mod specific</w:t>
      </w:r>
      <w:r w:rsidR="00FC1794" w:rsidRPr="00834B27">
        <w:rPr>
          <w:rFonts w:ascii="Calibri" w:hAnsi="Calibri" w:cs="Calibri"/>
          <w:lang w:val="ro-RO"/>
        </w:rPr>
        <w:t>:</w:t>
      </w:r>
    </w:p>
    <w:p w14:paraId="02F4D4F0" w14:textId="34F6FCA3" w:rsidR="00790202" w:rsidRPr="00834B27" w:rsidRDefault="00924F19" w:rsidP="00B91E74">
      <w:pPr>
        <w:pStyle w:val="Listparagraf"/>
        <w:numPr>
          <w:ilvl w:val="0"/>
          <w:numId w:val="19"/>
        </w:numPr>
        <w:spacing w:line="276" w:lineRule="auto"/>
        <w:ind w:left="720"/>
        <w:contextualSpacing w:val="0"/>
        <w:jc w:val="both"/>
        <w:rPr>
          <w:rFonts w:ascii="Calibri" w:hAnsi="Calibri" w:cs="Calibri"/>
          <w:lang w:val="ro-RO"/>
        </w:rPr>
      </w:pPr>
      <w:r w:rsidRPr="00834B27">
        <w:rPr>
          <w:rFonts w:ascii="Calibri" w:hAnsi="Calibri" w:cs="Calibri"/>
          <w:lang w:val="ro-RO"/>
        </w:rPr>
        <w:t>IV</w:t>
      </w:r>
      <w:r w:rsidR="007B02D1" w:rsidRPr="00834B27">
        <w:rPr>
          <w:rFonts w:ascii="Calibri" w:hAnsi="Calibri" w:cs="Calibri"/>
          <w:lang w:val="ro-RO"/>
        </w:rPr>
        <w:t xml:space="preserve"> </w:t>
      </w:r>
      <w:r w:rsidR="00D41A5C" w:rsidRPr="00834B27">
        <w:rPr>
          <w:rFonts w:ascii="Calibri" w:hAnsi="Calibri" w:cs="Calibri"/>
          <w:lang w:val="ro-RO"/>
        </w:rPr>
        <w:t xml:space="preserve">– </w:t>
      </w:r>
      <w:r w:rsidR="00B91E74" w:rsidRPr="00834B27">
        <w:rPr>
          <w:rFonts w:ascii="Calibri" w:hAnsi="Calibri" w:cs="Calibri"/>
          <w:lang w:val="ro-RO"/>
        </w:rPr>
        <w:t>propor</w:t>
      </w:r>
      <w:r w:rsidR="00D77C4B" w:rsidRPr="00834B27">
        <w:rPr>
          <w:rFonts w:ascii="Calibri" w:hAnsi="Calibri" w:cs="Calibri"/>
          <w:lang w:val="ro-RO"/>
        </w:rPr>
        <w:t>ț</w:t>
      </w:r>
      <w:r w:rsidR="00B91E74" w:rsidRPr="00834B27">
        <w:rPr>
          <w:rFonts w:ascii="Calibri" w:hAnsi="Calibri" w:cs="Calibri"/>
          <w:lang w:val="ro-RO"/>
        </w:rPr>
        <w:t>ional</w:t>
      </w:r>
      <w:r w:rsidR="00D41A5C" w:rsidRPr="00834B27">
        <w:rPr>
          <w:rFonts w:ascii="Calibri" w:hAnsi="Calibri" w:cs="Calibri"/>
          <w:lang w:val="ro-RO"/>
        </w:rPr>
        <w:t xml:space="preserve"> cu venitul impozabil</w:t>
      </w:r>
      <w:r w:rsidR="006B2DCA" w:rsidRPr="00834B27">
        <w:rPr>
          <w:rFonts w:ascii="Calibri" w:hAnsi="Calibri" w:cs="Calibri"/>
          <w:lang w:val="ro-RO"/>
        </w:rPr>
        <w:t xml:space="preserve"> total, format din suma veniturilor impozabile pe fiecare </w:t>
      </w:r>
      <w:r w:rsidR="00B91E74" w:rsidRPr="00834B27">
        <w:rPr>
          <w:rFonts w:ascii="Calibri" w:hAnsi="Calibri" w:cs="Calibri"/>
          <w:lang w:val="ro-RO"/>
        </w:rPr>
        <w:t>categorie</w:t>
      </w:r>
      <w:r w:rsidR="006B2DCA" w:rsidRPr="00834B27">
        <w:rPr>
          <w:rFonts w:ascii="Calibri" w:hAnsi="Calibri" w:cs="Calibri"/>
          <w:lang w:val="ro-RO"/>
        </w:rPr>
        <w:t xml:space="preserve"> de venit </w:t>
      </w:r>
      <w:r w:rsidR="00B91E74" w:rsidRPr="00834B27">
        <w:rPr>
          <w:rFonts w:ascii="Calibri" w:hAnsi="Calibri" w:cs="Calibri"/>
          <w:lang w:val="ro-RO"/>
        </w:rPr>
        <w:t>î</w:t>
      </w:r>
      <w:r w:rsidR="006B2DCA" w:rsidRPr="00834B27">
        <w:rPr>
          <w:rFonts w:ascii="Calibri" w:hAnsi="Calibri" w:cs="Calibri"/>
          <w:lang w:val="ro-RO"/>
        </w:rPr>
        <w:t>n parte</w:t>
      </w:r>
      <w:r w:rsidR="00923CA2" w:rsidRPr="00834B27">
        <w:rPr>
          <w:rFonts w:ascii="Calibri" w:hAnsi="Calibri" w:cs="Calibri"/>
          <w:lang w:val="ro-RO"/>
        </w:rPr>
        <w:t xml:space="preserve">, </w:t>
      </w:r>
      <w:r w:rsidR="00B91E74" w:rsidRPr="00834B27">
        <w:rPr>
          <w:rFonts w:ascii="Calibri" w:hAnsi="Calibri" w:cs="Calibri"/>
          <w:lang w:val="ro-RO"/>
        </w:rPr>
        <w:t>fără</w:t>
      </w:r>
      <w:r w:rsidR="00923CA2" w:rsidRPr="00834B27">
        <w:rPr>
          <w:rFonts w:ascii="Calibri" w:hAnsi="Calibri" w:cs="Calibri"/>
          <w:lang w:val="ro-RO"/>
        </w:rPr>
        <w:t xml:space="preserve"> </w:t>
      </w:r>
      <w:r w:rsidR="00B91E74" w:rsidRPr="00834B27">
        <w:rPr>
          <w:rFonts w:ascii="Calibri" w:hAnsi="Calibri" w:cs="Calibri"/>
          <w:lang w:val="ro-RO"/>
        </w:rPr>
        <w:t>excep</w:t>
      </w:r>
      <w:r w:rsidR="00D77C4B" w:rsidRPr="00834B27">
        <w:rPr>
          <w:rFonts w:ascii="Calibri" w:hAnsi="Calibri" w:cs="Calibri"/>
          <w:lang w:val="ro-RO"/>
        </w:rPr>
        <w:t>ț</w:t>
      </w:r>
      <w:r w:rsidR="00B91E74" w:rsidRPr="00834B27">
        <w:rPr>
          <w:rFonts w:ascii="Calibri" w:hAnsi="Calibri" w:cs="Calibri"/>
          <w:lang w:val="ro-RO"/>
        </w:rPr>
        <w:t>ie</w:t>
      </w:r>
      <w:r w:rsidR="00585CAA" w:rsidRPr="00834B27">
        <w:rPr>
          <w:rFonts w:ascii="Calibri" w:hAnsi="Calibri" w:cs="Calibri"/>
          <w:lang w:val="ro-RO"/>
        </w:rPr>
        <w:t>;</w:t>
      </w:r>
      <w:r w:rsidR="00923CA2" w:rsidRPr="00834B27">
        <w:rPr>
          <w:rFonts w:ascii="Calibri" w:hAnsi="Calibri" w:cs="Calibri"/>
          <w:lang w:val="ro-RO"/>
        </w:rPr>
        <w:t xml:space="preserve"> </w:t>
      </w:r>
    </w:p>
    <w:p w14:paraId="66319A91" w14:textId="7B4236D7" w:rsidR="001B3A3D" w:rsidRPr="00834B27" w:rsidRDefault="001B3A3D" w:rsidP="00B91E74">
      <w:pPr>
        <w:pStyle w:val="Listparagraf"/>
        <w:numPr>
          <w:ilvl w:val="0"/>
          <w:numId w:val="19"/>
        </w:numPr>
        <w:spacing w:line="276" w:lineRule="auto"/>
        <w:ind w:left="720"/>
        <w:contextualSpacing w:val="0"/>
        <w:jc w:val="both"/>
        <w:rPr>
          <w:rFonts w:ascii="Calibri" w:hAnsi="Calibri" w:cs="Calibri"/>
          <w:lang w:val="ro-RO"/>
        </w:rPr>
      </w:pPr>
      <w:r w:rsidRPr="00834B27">
        <w:rPr>
          <w:rFonts w:ascii="Calibri" w:hAnsi="Calibri" w:cs="Calibri"/>
          <w:lang w:val="ro-RO"/>
        </w:rPr>
        <w:t xml:space="preserve">CAS </w:t>
      </w:r>
      <w:r w:rsidR="00EF5713" w:rsidRPr="00834B27">
        <w:rPr>
          <w:rFonts w:ascii="Calibri" w:hAnsi="Calibri" w:cs="Calibri"/>
          <w:lang w:val="ro-RO"/>
        </w:rPr>
        <w:t>–</w:t>
      </w:r>
      <w:r w:rsidRPr="00834B27">
        <w:rPr>
          <w:rFonts w:ascii="Calibri" w:hAnsi="Calibri" w:cs="Calibri"/>
          <w:lang w:val="ro-RO"/>
        </w:rPr>
        <w:t xml:space="preserve"> </w:t>
      </w:r>
      <w:r w:rsidR="00EF5713" w:rsidRPr="00834B27">
        <w:rPr>
          <w:rFonts w:ascii="Calibri" w:hAnsi="Calibri" w:cs="Calibri"/>
          <w:lang w:val="ro-RO"/>
        </w:rPr>
        <w:t xml:space="preserve">baza </w:t>
      </w:r>
      <w:r w:rsidR="00FC1794" w:rsidRPr="00834B27">
        <w:rPr>
          <w:rFonts w:ascii="Calibri" w:hAnsi="Calibri" w:cs="Calibri"/>
          <w:lang w:val="ro-RO"/>
        </w:rPr>
        <w:t>de calcul al CAS plafonat</w:t>
      </w:r>
      <w:r w:rsidR="00B91E74" w:rsidRPr="00834B27">
        <w:rPr>
          <w:rFonts w:ascii="Calibri" w:hAnsi="Calibri" w:cs="Calibri"/>
          <w:lang w:val="ro-RO"/>
        </w:rPr>
        <w:t>ă</w:t>
      </w:r>
      <w:r w:rsidR="00FC1794" w:rsidRPr="00834B27">
        <w:rPr>
          <w:rFonts w:ascii="Calibri" w:hAnsi="Calibri" w:cs="Calibri"/>
          <w:lang w:val="ro-RO"/>
        </w:rPr>
        <w:t xml:space="preserve"> pe suma veniturilor</w:t>
      </w:r>
      <w:r w:rsidR="00B60A21" w:rsidRPr="00834B27">
        <w:rPr>
          <w:rFonts w:ascii="Calibri" w:hAnsi="Calibri" w:cs="Calibri"/>
          <w:lang w:val="ro-RO"/>
        </w:rPr>
        <w:t xml:space="preserve"> impozabile</w:t>
      </w:r>
      <w:r w:rsidR="00FC1794" w:rsidRPr="00834B27">
        <w:rPr>
          <w:rFonts w:ascii="Calibri" w:hAnsi="Calibri" w:cs="Calibri"/>
          <w:lang w:val="ro-RO"/>
        </w:rPr>
        <w:t xml:space="preserve"> din munc</w:t>
      </w:r>
      <w:r w:rsidR="00B91E74" w:rsidRPr="00834B27">
        <w:rPr>
          <w:rFonts w:ascii="Calibri" w:hAnsi="Calibri" w:cs="Calibri"/>
          <w:lang w:val="ro-RO"/>
        </w:rPr>
        <w:t>ă</w:t>
      </w:r>
      <w:r w:rsidR="007306F6" w:rsidRPr="00834B27">
        <w:rPr>
          <w:rFonts w:ascii="Calibri" w:hAnsi="Calibri" w:cs="Calibri"/>
          <w:lang w:val="ro-RO"/>
        </w:rPr>
        <w:t xml:space="preserve">. </w:t>
      </w:r>
      <w:r w:rsidR="00B91E74" w:rsidRPr="00834B27">
        <w:rPr>
          <w:rFonts w:ascii="Calibri" w:hAnsi="Calibri" w:cs="Calibri"/>
          <w:lang w:val="ro-RO"/>
        </w:rPr>
        <w:t>Î</w:t>
      </w:r>
      <w:r w:rsidR="007306F6" w:rsidRPr="00834B27">
        <w:rPr>
          <w:rFonts w:ascii="Calibri" w:hAnsi="Calibri" w:cs="Calibri"/>
          <w:lang w:val="ro-RO"/>
        </w:rPr>
        <w:t>n aceast</w:t>
      </w:r>
      <w:r w:rsidR="00B91E74" w:rsidRPr="00834B27">
        <w:rPr>
          <w:rFonts w:ascii="Calibri" w:hAnsi="Calibri" w:cs="Calibri"/>
          <w:lang w:val="ro-RO"/>
        </w:rPr>
        <w:t>ă</w:t>
      </w:r>
      <w:r w:rsidR="007306F6" w:rsidRPr="00834B27">
        <w:rPr>
          <w:rFonts w:ascii="Calibri" w:hAnsi="Calibri" w:cs="Calibri"/>
          <w:lang w:val="ro-RO"/>
        </w:rPr>
        <w:t xml:space="preserve"> categorie includem veniturile din </w:t>
      </w:r>
      <w:r w:rsidR="00B91E74" w:rsidRPr="00834B27">
        <w:rPr>
          <w:rFonts w:ascii="Calibri" w:hAnsi="Calibri" w:cs="Calibri"/>
          <w:lang w:val="ro-RO"/>
        </w:rPr>
        <w:t>activită</w:t>
      </w:r>
      <w:r w:rsidR="00D77C4B" w:rsidRPr="00834B27">
        <w:rPr>
          <w:rFonts w:ascii="Calibri" w:hAnsi="Calibri" w:cs="Calibri"/>
          <w:lang w:val="ro-RO"/>
        </w:rPr>
        <w:t>ț</w:t>
      </w:r>
      <w:r w:rsidR="00B91E74" w:rsidRPr="00834B27">
        <w:rPr>
          <w:rFonts w:ascii="Calibri" w:hAnsi="Calibri" w:cs="Calibri"/>
          <w:lang w:val="ro-RO"/>
        </w:rPr>
        <w:t>i</w:t>
      </w:r>
      <w:r w:rsidR="007306F6" w:rsidRPr="00834B27">
        <w:rPr>
          <w:rFonts w:ascii="Calibri" w:hAnsi="Calibri" w:cs="Calibri"/>
          <w:lang w:val="ro-RO"/>
        </w:rPr>
        <w:t xml:space="preserve"> dependente, veniturile din </w:t>
      </w:r>
      <w:r w:rsidR="00B91E74" w:rsidRPr="00834B27">
        <w:rPr>
          <w:rFonts w:ascii="Calibri" w:hAnsi="Calibri" w:cs="Calibri"/>
          <w:lang w:val="ro-RO"/>
        </w:rPr>
        <w:t>activită</w:t>
      </w:r>
      <w:r w:rsidR="00D77C4B" w:rsidRPr="00834B27">
        <w:rPr>
          <w:rFonts w:ascii="Calibri" w:hAnsi="Calibri" w:cs="Calibri"/>
          <w:lang w:val="ro-RO"/>
        </w:rPr>
        <w:t>ț</w:t>
      </w:r>
      <w:r w:rsidR="00B91E74" w:rsidRPr="00834B27">
        <w:rPr>
          <w:rFonts w:ascii="Calibri" w:hAnsi="Calibri" w:cs="Calibri"/>
          <w:lang w:val="ro-RO"/>
        </w:rPr>
        <w:t>i</w:t>
      </w:r>
      <w:r w:rsidR="007306F6" w:rsidRPr="00834B27">
        <w:rPr>
          <w:rFonts w:ascii="Calibri" w:hAnsi="Calibri" w:cs="Calibri"/>
          <w:lang w:val="ro-RO"/>
        </w:rPr>
        <w:t xml:space="preserve"> independente, </w:t>
      </w:r>
      <w:r w:rsidR="00E06016" w:rsidRPr="00834B27">
        <w:rPr>
          <w:rFonts w:ascii="Calibri" w:hAnsi="Calibri" w:cs="Calibri"/>
          <w:lang w:val="ro-RO"/>
        </w:rPr>
        <w:t>inclusiv veniturile din cedarea drepturilor de proprietate intelectual</w:t>
      </w:r>
      <w:r w:rsidR="00B91E74" w:rsidRPr="00834B27">
        <w:rPr>
          <w:rFonts w:ascii="Calibri" w:hAnsi="Calibri" w:cs="Calibri"/>
          <w:lang w:val="ro-RO"/>
        </w:rPr>
        <w:t>ă</w:t>
      </w:r>
      <w:r w:rsidR="00E06016" w:rsidRPr="00834B27">
        <w:rPr>
          <w:rFonts w:ascii="Calibri" w:hAnsi="Calibri" w:cs="Calibri"/>
          <w:lang w:val="ro-RO"/>
        </w:rPr>
        <w:t xml:space="preserve"> </w:t>
      </w:r>
      <w:r w:rsidR="00B91E74" w:rsidRPr="00834B27">
        <w:rPr>
          <w:rFonts w:ascii="Calibri" w:hAnsi="Calibri" w:cs="Calibri"/>
          <w:lang w:val="ro-RO"/>
        </w:rPr>
        <w:t>ș</w:t>
      </w:r>
      <w:r w:rsidR="00E06016" w:rsidRPr="00834B27">
        <w:rPr>
          <w:rFonts w:ascii="Calibri" w:hAnsi="Calibri" w:cs="Calibri"/>
          <w:lang w:val="ro-RO"/>
        </w:rPr>
        <w:t xml:space="preserve">i veniturile </w:t>
      </w:r>
      <w:r w:rsidR="00B91E74" w:rsidRPr="00834B27">
        <w:rPr>
          <w:rFonts w:ascii="Calibri" w:hAnsi="Calibri" w:cs="Calibri"/>
          <w:lang w:val="ro-RO"/>
        </w:rPr>
        <w:t>ob</w:t>
      </w:r>
      <w:r w:rsidR="00D77C4B" w:rsidRPr="00834B27">
        <w:rPr>
          <w:rFonts w:ascii="Calibri" w:hAnsi="Calibri" w:cs="Calibri"/>
          <w:lang w:val="ro-RO"/>
        </w:rPr>
        <w:t>ț</w:t>
      </w:r>
      <w:r w:rsidR="00B91E74" w:rsidRPr="00834B27">
        <w:rPr>
          <w:rFonts w:ascii="Calibri" w:hAnsi="Calibri" w:cs="Calibri"/>
          <w:lang w:val="ro-RO"/>
        </w:rPr>
        <w:t>inute</w:t>
      </w:r>
      <w:r w:rsidR="00E06016" w:rsidRPr="00834B27">
        <w:rPr>
          <w:rFonts w:ascii="Calibri" w:hAnsi="Calibri" w:cs="Calibri"/>
          <w:lang w:val="ro-RO"/>
        </w:rPr>
        <w:t xml:space="preserve"> de sportivi </w:t>
      </w:r>
      <w:r w:rsidR="00B91E74" w:rsidRPr="00834B27">
        <w:rPr>
          <w:rFonts w:ascii="Calibri" w:hAnsi="Calibri" w:cs="Calibri"/>
          <w:lang w:val="ro-RO"/>
        </w:rPr>
        <w:t>profesioniști</w:t>
      </w:r>
      <w:r w:rsidR="005F73DC" w:rsidRPr="00834B27">
        <w:rPr>
          <w:rFonts w:ascii="Calibri" w:hAnsi="Calibri" w:cs="Calibri"/>
          <w:lang w:val="ro-RO"/>
        </w:rPr>
        <w:t xml:space="preserve"> din contracte sportive, </w:t>
      </w:r>
      <w:r w:rsidR="00B91E74" w:rsidRPr="00834B27">
        <w:rPr>
          <w:rFonts w:ascii="Calibri" w:hAnsi="Calibri" w:cs="Calibri"/>
          <w:lang w:val="ro-RO"/>
        </w:rPr>
        <w:t>fără</w:t>
      </w:r>
      <w:r w:rsidR="005F73DC" w:rsidRPr="00834B27">
        <w:rPr>
          <w:rFonts w:ascii="Calibri" w:hAnsi="Calibri" w:cs="Calibri"/>
          <w:lang w:val="ro-RO"/>
        </w:rPr>
        <w:t xml:space="preserve"> </w:t>
      </w:r>
      <w:r w:rsidR="00B91E74" w:rsidRPr="00834B27">
        <w:rPr>
          <w:rFonts w:ascii="Calibri" w:hAnsi="Calibri" w:cs="Calibri"/>
          <w:lang w:val="ro-RO"/>
        </w:rPr>
        <w:t>excep</w:t>
      </w:r>
      <w:r w:rsidR="00D77C4B" w:rsidRPr="00834B27">
        <w:rPr>
          <w:rFonts w:ascii="Calibri" w:hAnsi="Calibri" w:cs="Calibri"/>
          <w:lang w:val="ro-RO"/>
        </w:rPr>
        <w:t>ț</w:t>
      </w:r>
      <w:r w:rsidR="00B91E74" w:rsidRPr="00834B27">
        <w:rPr>
          <w:rFonts w:ascii="Calibri" w:hAnsi="Calibri" w:cs="Calibri"/>
          <w:lang w:val="ro-RO"/>
        </w:rPr>
        <w:t>ii</w:t>
      </w:r>
      <w:r w:rsidR="005F73DC" w:rsidRPr="00834B27">
        <w:rPr>
          <w:rFonts w:ascii="Calibri" w:hAnsi="Calibri" w:cs="Calibri"/>
          <w:lang w:val="ro-RO"/>
        </w:rPr>
        <w:t>.</w:t>
      </w:r>
      <w:r w:rsidR="001C2E2B" w:rsidRPr="00834B27">
        <w:rPr>
          <w:rFonts w:ascii="Calibri" w:hAnsi="Calibri" w:cs="Calibri"/>
          <w:lang w:val="ro-RO"/>
        </w:rPr>
        <w:t xml:space="preserve"> </w:t>
      </w:r>
      <w:r w:rsidR="00392208" w:rsidRPr="00834B27">
        <w:rPr>
          <w:rFonts w:ascii="Calibri" w:hAnsi="Calibri" w:cs="Calibri"/>
          <w:lang w:val="ro-RO"/>
        </w:rPr>
        <w:t>Evident, baza de calcul plafonat</w:t>
      </w:r>
      <w:r w:rsidR="007F38A1" w:rsidRPr="00834B27">
        <w:rPr>
          <w:rFonts w:ascii="Calibri" w:hAnsi="Calibri" w:cs="Calibri"/>
          <w:lang w:val="ro-RO"/>
        </w:rPr>
        <w:t>ă</w:t>
      </w:r>
      <w:r w:rsidR="00392208" w:rsidRPr="00834B27">
        <w:rPr>
          <w:rFonts w:ascii="Calibri" w:hAnsi="Calibri" w:cs="Calibri"/>
          <w:lang w:val="ro-RO"/>
        </w:rPr>
        <w:t xml:space="preserve"> </w:t>
      </w:r>
      <w:r w:rsidR="007F38A1" w:rsidRPr="00834B27">
        <w:rPr>
          <w:rFonts w:ascii="Calibri" w:hAnsi="Calibri" w:cs="Calibri"/>
          <w:lang w:val="ro-RO"/>
        </w:rPr>
        <w:t>înseamnă</w:t>
      </w:r>
      <w:r w:rsidR="00392208" w:rsidRPr="00834B27">
        <w:rPr>
          <w:rFonts w:ascii="Calibri" w:hAnsi="Calibri" w:cs="Calibri"/>
          <w:lang w:val="ro-RO"/>
        </w:rPr>
        <w:t xml:space="preserve"> </w:t>
      </w:r>
      <w:r w:rsidR="007F38A1" w:rsidRPr="00834B27">
        <w:rPr>
          <w:rFonts w:ascii="Calibri" w:hAnsi="Calibri" w:cs="Calibri"/>
          <w:lang w:val="ro-RO"/>
        </w:rPr>
        <w:t>ș</w:t>
      </w:r>
      <w:r w:rsidR="00392208" w:rsidRPr="00834B27">
        <w:rPr>
          <w:rFonts w:ascii="Calibri" w:hAnsi="Calibri" w:cs="Calibri"/>
          <w:lang w:val="ro-RO"/>
        </w:rPr>
        <w:t xml:space="preserve">i o plafonare a </w:t>
      </w:r>
      <w:r w:rsidR="007F38A1" w:rsidRPr="00834B27">
        <w:rPr>
          <w:rFonts w:ascii="Calibri" w:hAnsi="Calibri" w:cs="Calibri"/>
          <w:lang w:val="ro-RO"/>
        </w:rPr>
        <w:t>numărului</w:t>
      </w:r>
      <w:r w:rsidR="00392208" w:rsidRPr="00834B27">
        <w:rPr>
          <w:rFonts w:ascii="Calibri" w:hAnsi="Calibri" w:cs="Calibri"/>
          <w:lang w:val="ro-RO"/>
        </w:rPr>
        <w:t xml:space="preserve"> de puncte de pensie (similar cu ce am </w:t>
      </w:r>
      <w:r w:rsidR="007D74B1" w:rsidRPr="00834B27">
        <w:rPr>
          <w:rFonts w:ascii="Calibri" w:hAnsi="Calibri" w:cs="Calibri"/>
          <w:lang w:val="ro-RO"/>
        </w:rPr>
        <w:t>avut p</w:t>
      </w:r>
      <w:r w:rsidR="007F38A1" w:rsidRPr="00834B27">
        <w:rPr>
          <w:rFonts w:ascii="Calibri" w:hAnsi="Calibri" w:cs="Calibri"/>
          <w:lang w:val="ro-RO"/>
        </w:rPr>
        <w:t>â</w:t>
      </w:r>
      <w:r w:rsidR="007D74B1" w:rsidRPr="00834B27">
        <w:rPr>
          <w:rFonts w:ascii="Calibri" w:hAnsi="Calibri" w:cs="Calibri"/>
          <w:lang w:val="ro-RO"/>
        </w:rPr>
        <w:t>n</w:t>
      </w:r>
      <w:r w:rsidR="007F38A1" w:rsidRPr="00834B27">
        <w:rPr>
          <w:rFonts w:ascii="Calibri" w:hAnsi="Calibri" w:cs="Calibri"/>
          <w:lang w:val="ro-RO"/>
        </w:rPr>
        <w:t>ă</w:t>
      </w:r>
      <w:r w:rsidR="007D74B1" w:rsidRPr="00834B27">
        <w:rPr>
          <w:rFonts w:ascii="Calibri" w:hAnsi="Calibri" w:cs="Calibri"/>
          <w:lang w:val="ro-RO"/>
        </w:rPr>
        <w:t xml:space="preserve"> </w:t>
      </w:r>
      <w:r w:rsidR="007F38A1" w:rsidRPr="00834B27">
        <w:rPr>
          <w:rFonts w:ascii="Calibri" w:hAnsi="Calibri" w:cs="Calibri"/>
          <w:lang w:val="ro-RO"/>
        </w:rPr>
        <w:t>î</w:t>
      </w:r>
      <w:r w:rsidR="007D74B1" w:rsidRPr="00834B27">
        <w:rPr>
          <w:rFonts w:ascii="Calibri" w:hAnsi="Calibri" w:cs="Calibri"/>
          <w:lang w:val="ro-RO"/>
        </w:rPr>
        <w:t xml:space="preserve">n ianuarie 2017), cu efect pozitiv asupra </w:t>
      </w:r>
      <w:r w:rsidR="007F38A1" w:rsidRPr="00834B27">
        <w:rPr>
          <w:rFonts w:ascii="Calibri" w:hAnsi="Calibri" w:cs="Calibri"/>
          <w:lang w:val="ro-RO"/>
        </w:rPr>
        <w:t>scăderii</w:t>
      </w:r>
      <w:r w:rsidR="007D74B1" w:rsidRPr="00834B27">
        <w:rPr>
          <w:rFonts w:ascii="Calibri" w:hAnsi="Calibri" w:cs="Calibri"/>
          <w:lang w:val="ro-RO"/>
        </w:rPr>
        <w:t xml:space="preserve"> </w:t>
      </w:r>
      <w:r w:rsidR="007F38A1" w:rsidRPr="00834B27">
        <w:rPr>
          <w:rFonts w:ascii="Calibri" w:hAnsi="Calibri" w:cs="Calibri"/>
          <w:lang w:val="ro-RO"/>
        </w:rPr>
        <w:t>î</w:t>
      </w:r>
      <w:r w:rsidR="007D74B1" w:rsidRPr="00834B27">
        <w:rPr>
          <w:rFonts w:ascii="Calibri" w:hAnsi="Calibri" w:cs="Calibri"/>
          <w:lang w:val="ro-RO"/>
        </w:rPr>
        <w:t xml:space="preserve">n timp a </w:t>
      </w:r>
      <w:r w:rsidR="007F38A1" w:rsidRPr="00834B27">
        <w:rPr>
          <w:rFonts w:ascii="Calibri" w:hAnsi="Calibri" w:cs="Calibri"/>
          <w:lang w:val="ro-RO"/>
        </w:rPr>
        <w:t>obliga</w:t>
      </w:r>
      <w:r w:rsidR="00D77C4B" w:rsidRPr="00834B27">
        <w:rPr>
          <w:rFonts w:ascii="Calibri" w:hAnsi="Calibri" w:cs="Calibri"/>
          <w:lang w:val="ro-RO"/>
        </w:rPr>
        <w:t>ț</w:t>
      </w:r>
      <w:r w:rsidR="007F38A1" w:rsidRPr="00834B27">
        <w:rPr>
          <w:rFonts w:ascii="Calibri" w:hAnsi="Calibri" w:cs="Calibri"/>
          <w:lang w:val="ro-RO"/>
        </w:rPr>
        <w:t>iilor</w:t>
      </w:r>
      <w:r w:rsidR="007D74B1" w:rsidRPr="00834B27">
        <w:rPr>
          <w:rFonts w:ascii="Calibri" w:hAnsi="Calibri" w:cs="Calibri"/>
          <w:lang w:val="ro-RO"/>
        </w:rPr>
        <w:t xml:space="preserve"> de plat</w:t>
      </w:r>
      <w:r w:rsidR="007F38A1" w:rsidRPr="00834B27">
        <w:rPr>
          <w:rFonts w:ascii="Calibri" w:hAnsi="Calibri" w:cs="Calibri"/>
          <w:lang w:val="ro-RO"/>
        </w:rPr>
        <w:t>ă</w:t>
      </w:r>
      <w:r w:rsidR="007D74B1" w:rsidRPr="00834B27">
        <w:rPr>
          <w:rFonts w:ascii="Calibri" w:hAnsi="Calibri" w:cs="Calibri"/>
          <w:lang w:val="ro-RO"/>
        </w:rPr>
        <w:t xml:space="preserve"> asumate prin Pilonul I</w:t>
      </w:r>
      <w:r w:rsidR="00585CAA" w:rsidRPr="00834B27">
        <w:rPr>
          <w:rFonts w:ascii="Calibri" w:hAnsi="Calibri" w:cs="Calibri"/>
          <w:lang w:val="ro-RO"/>
        </w:rPr>
        <w:t>;</w:t>
      </w:r>
    </w:p>
    <w:p w14:paraId="1A0BCFD3" w14:textId="77777777" w:rsidR="00A170CC" w:rsidRPr="00834B27" w:rsidRDefault="005F73DC" w:rsidP="00A170CC">
      <w:pPr>
        <w:pStyle w:val="Listparagraf"/>
        <w:numPr>
          <w:ilvl w:val="0"/>
          <w:numId w:val="19"/>
        </w:numPr>
        <w:spacing w:line="276" w:lineRule="auto"/>
        <w:ind w:left="720"/>
        <w:contextualSpacing w:val="0"/>
        <w:jc w:val="both"/>
        <w:rPr>
          <w:rFonts w:ascii="Calibri" w:hAnsi="Calibri" w:cs="Calibri"/>
          <w:lang w:val="ro-RO"/>
        </w:rPr>
      </w:pPr>
      <w:r w:rsidRPr="00834B27">
        <w:rPr>
          <w:rFonts w:ascii="Calibri" w:hAnsi="Calibri" w:cs="Calibri"/>
          <w:lang w:val="ro-RO"/>
        </w:rPr>
        <w:t>CASS – baza de cal</w:t>
      </w:r>
      <w:r w:rsidR="00127853" w:rsidRPr="00834B27">
        <w:rPr>
          <w:rFonts w:ascii="Calibri" w:hAnsi="Calibri" w:cs="Calibri"/>
          <w:lang w:val="ro-RO"/>
        </w:rPr>
        <w:t xml:space="preserve">cul al CASS </w:t>
      </w:r>
      <w:r w:rsidR="003121A2" w:rsidRPr="00834B27">
        <w:rPr>
          <w:rFonts w:ascii="Calibri" w:hAnsi="Calibri" w:cs="Calibri"/>
          <w:lang w:val="ro-RO"/>
        </w:rPr>
        <w:t>plafonat</w:t>
      </w:r>
      <w:r w:rsidR="00B91E74" w:rsidRPr="00834B27">
        <w:rPr>
          <w:rFonts w:ascii="Calibri" w:hAnsi="Calibri" w:cs="Calibri"/>
          <w:lang w:val="ro-RO"/>
        </w:rPr>
        <w:t>ă</w:t>
      </w:r>
      <w:r w:rsidR="003121A2" w:rsidRPr="00834B27">
        <w:rPr>
          <w:rFonts w:ascii="Calibri" w:hAnsi="Calibri" w:cs="Calibri"/>
          <w:lang w:val="ro-RO"/>
        </w:rPr>
        <w:t xml:space="preserve"> </w:t>
      </w:r>
      <w:r w:rsidR="009539A3" w:rsidRPr="00834B27">
        <w:rPr>
          <w:rFonts w:ascii="Calibri" w:hAnsi="Calibri" w:cs="Calibri"/>
          <w:lang w:val="ro-RO"/>
        </w:rPr>
        <w:t>la</w:t>
      </w:r>
      <w:r w:rsidR="003121A2" w:rsidRPr="00834B27">
        <w:rPr>
          <w:rFonts w:ascii="Calibri" w:hAnsi="Calibri" w:cs="Calibri"/>
          <w:lang w:val="ro-RO"/>
        </w:rPr>
        <w:t xml:space="preserve"> suma tuturor veniturilor impozabile, </w:t>
      </w:r>
      <w:r w:rsidR="00B91E74" w:rsidRPr="00834B27">
        <w:rPr>
          <w:rFonts w:ascii="Calibri" w:hAnsi="Calibri" w:cs="Calibri"/>
          <w:lang w:val="ro-RO"/>
        </w:rPr>
        <w:t>fără</w:t>
      </w:r>
      <w:r w:rsidR="003121A2" w:rsidRPr="00834B27">
        <w:rPr>
          <w:rFonts w:ascii="Calibri" w:hAnsi="Calibri" w:cs="Calibri"/>
          <w:lang w:val="ro-RO"/>
        </w:rPr>
        <w:t xml:space="preserve"> </w:t>
      </w:r>
      <w:r w:rsidR="00B91E74" w:rsidRPr="00834B27">
        <w:rPr>
          <w:rFonts w:ascii="Calibri" w:hAnsi="Calibri" w:cs="Calibri"/>
          <w:lang w:val="ro-RO"/>
        </w:rPr>
        <w:t>excep</w:t>
      </w:r>
      <w:r w:rsidR="00D77C4B" w:rsidRPr="00834B27">
        <w:rPr>
          <w:rFonts w:ascii="Calibri" w:hAnsi="Calibri" w:cs="Calibri"/>
          <w:lang w:val="ro-RO"/>
        </w:rPr>
        <w:t>ț</w:t>
      </w:r>
      <w:r w:rsidR="00B91E74" w:rsidRPr="00834B27">
        <w:rPr>
          <w:rFonts w:ascii="Calibri" w:hAnsi="Calibri" w:cs="Calibri"/>
          <w:lang w:val="ro-RO"/>
        </w:rPr>
        <w:t>ie</w:t>
      </w:r>
      <w:r w:rsidR="003121A2" w:rsidRPr="00834B27">
        <w:rPr>
          <w:rFonts w:ascii="Calibri" w:hAnsi="Calibri" w:cs="Calibri"/>
          <w:lang w:val="ro-RO"/>
        </w:rPr>
        <w:t>.</w:t>
      </w:r>
    </w:p>
    <w:p w14:paraId="4B737D49" w14:textId="49B0FE1E" w:rsidR="00A170CC" w:rsidRPr="00834B27" w:rsidRDefault="00A170CC" w:rsidP="00A170CC">
      <w:pPr>
        <w:pStyle w:val="Listparagraf"/>
        <w:numPr>
          <w:ilvl w:val="0"/>
          <w:numId w:val="19"/>
        </w:numPr>
        <w:spacing w:after="0" w:line="276" w:lineRule="auto"/>
        <w:ind w:left="720"/>
        <w:contextualSpacing w:val="0"/>
        <w:jc w:val="both"/>
        <w:rPr>
          <w:rFonts w:ascii="Calibri" w:hAnsi="Calibri" w:cs="Calibri"/>
          <w:lang w:val="ro-RO"/>
        </w:rPr>
      </w:pPr>
      <w:r w:rsidRPr="00834B27">
        <w:rPr>
          <w:rStyle w:val="Robust"/>
          <w:rFonts w:eastAsiaTheme="majorEastAsia"/>
          <w:b w:val="0"/>
          <w:bCs w:val="0"/>
          <w:lang w:val="ro-RO"/>
        </w:rPr>
        <w:t>Pilonul II</w:t>
      </w:r>
      <w:r w:rsidRPr="00834B27">
        <w:rPr>
          <w:rStyle w:val="Robust"/>
          <w:rFonts w:eastAsiaTheme="majorEastAsia"/>
          <w:lang w:val="ro-RO"/>
        </w:rPr>
        <w:t xml:space="preserve"> -</w:t>
      </w:r>
      <w:r w:rsidRPr="00834B27">
        <w:rPr>
          <w:lang w:val="ro-RO"/>
        </w:rPr>
        <w:t xml:space="preserve"> contribuția la fondul de pensii private obligatorii trebuie menținută integral, independent de plafonarea bazei de calcul al CAS pentru Pilonul I:</w:t>
      </w:r>
    </w:p>
    <w:p w14:paraId="694FC104" w14:textId="77777777" w:rsidR="00A170CC" w:rsidRPr="00834B27" w:rsidRDefault="00A170CC" w:rsidP="00A170CC">
      <w:pPr>
        <w:pStyle w:val="Listparagraf"/>
        <w:numPr>
          <w:ilvl w:val="1"/>
          <w:numId w:val="19"/>
        </w:numPr>
        <w:spacing w:after="0" w:line="276" w:lineRule="auto"/>
        <w:contextualSpacing w:val="0"/>
        <w:jc w:val="both"/>
        <w:rPr>
          <w:rFonts w:ascii="Calibri" w:hAnsi="Calibri" w:cs="Calibri"/>
          <w:lang w:val="ro-RO"/>
        </w:rPr>
      </w:pPr>
      <w:r w:rsidRPr="00834B27">
        <w:rPr>
          <w:lang w:val="ro-RO"/>
        </w:rPr>
        <w:t>banii din Pilonul II sunt al doilea cel mai valoros activ financiar al populației, după depozitele bancare, precum și singura sursă de economisire pe termen lung pentru români, în special cei cu venituri mici.</w:t>
      </w:r>
    </w:p>
    <w:p w14:paraId="2E2DBAE5" w14:textId="3DA725F3" w:rsidR="00A170CC" w:rsidRPr="00834B27" w:rsidRDefault="00A170CC" w:rsidP="00A170CC">
      <w:pPr>
        <w:pStyle w:val="Listparagraf"/>
        <w:numPr>
          <w:ilvl w:val="1"/>
          <w:numId w:val="19"/>
        </w:numPr>
        <w:spacing w:after="0" w:line="276" w:lineRule="auto"/>
        <w:contextualSpacing w:val="0"/>
        <w:jc w:val="both"/>
        <w:rPr>
          <w:rStyle w:val="inline-flex"/>
          <w:rFonts w:ascii="Calibri" w:hAnsi="Calibri" w:cs="Calibri"/>
          <w:lang w:val="ro-RO"/>
        </w:rPr>
      </w:pPr>
      <w:r w:rsidRPr="00834B27">
        <w:rPr>
          <w:lang w:val="ro-RO"/>
        </w:rPr>
        <w:t xml:space="preserve">Pe întreaga durată de funcționare (2008–2025), fondurile din Pilonul II au înregistrat un randament mediu anual de 8,3%, mult superior ratei medii anuale a inflației de 4,7%. Un participant cu salariul mediu care a contribuit </w:t>
      </w:r>
      <w:r w:rsidRPr="00834B27">
        <w:rPr>
          <w:lang w:val="ro-RO"/>
        </w:rPr>
        <w:lastRenderedPageBreak/>
        <w:t>de la început are în contul personal o sumă totală de circa 55.662 RON, din care 64% sunt contribuțiile virate și 36% câștigul din randamente investiționale. (sursa:</w:t>
      </w:r>
      <w:r w:rsidRPr="00834B27">
        <w:rPr>
          <w:rStyle w:val="inline-flex"/>
          <w:rFonts w:eastAsiaTheme="majorEastAsia"/>
          <w:lang w:val="ro-RO"/>
        </w:rPr>
        <w:t xml:space="preserve"> APAPR)</w:t>
      </w:r>
      <w:r w:rsidR="00CD72A7" w:rsidRPr="00834B27">
        <w:rPr>
          <w:rStyle w:val="inline-flex"/>
          <w:rFonts w:eastAsiaTheme="majorEastAsia"/>
          <w:lang w:val="ro-RO"/>
        </w:rPr>
        <w:t>.</w:t>
      </w:r>
    </w:p>
    <w:p w14:paraId="55275798" w14:textId="6B46B117" w:rsidR="00EF6259" w:rsidRPr="00834B27" w:rsidRDefault="00A170CC" w:rsidP="00B91E74">
      <w:pPr>
        <w:pStyle w:val="Listparagraf"/>
        <w:numPr>
          <w:ilvl w:val="1"/>
          <w:numId w:val="19"/>
        </w:numPr>
        <w:spacing w:after="0" w:line="276" w:lineRule="auto"/>
        <w:contextualSpacing w:val="0"/>
        <w:jc w:val="both"/>
        <w:rPr>
          <w:rFonts w:ascii="Calibri" w:hAnsi="Calibri" w:cs="Calibri"/>
          <w:lang w:val="ro-RO"/>
        </w:rPr>
      </w:pPr>
      <w:r w:rsidRPr="00834B27">
        <w:rPr>
          <w:lang w:val="ro-RO"/>
        </w:rPr>
        <w:t>Circa 94% din banii din Pilonul II sunt investiți în România, făcând din fondurile de pensii private cei mai importanți investitori instituționali autohtoni, finanțând datoria publică pe termen lung, accesul la capital al companiilor listate și, implicit, creșterea economică (sursa: APAPR)</w:t>
      </w:r>
      <w:r w:rsidR="00CD72A7" w:rsidRPr="00834B27">
        <w:rPr>
          <w:lang w:val="ro-RO"/>
        </w:rPr>
        <w:t>.</w:t>
      </w:r>
    </w:p>
    <w:p w14:paraId="0D17A535" w14:textId="68BC1760" w:rsidR="00842C80" w:rsidRPr="00834B27" w:rsidRDefault="00842C80" w:rsidP="00B91E74">
      <w:pPr>
        <w:pStyle w:val="Listparagraf"/>
        <w:numPr>
          <w:ilvl w:val="1"/>
          <w:numId w:val="19"/>
        </w:numPr>
        <w:spacing w:after="0" w:line="276" w:lineRule="auto"/>
        <w:contextualSpacing w:val="0"/>
        <w:jc w:val="both"/>
        <w:rPr>
          <w:rFonts w:ascii="Calibri" w:hAnsi="Calibri" w:cs="Calibri"/>
          <w:lang w:val="ro-RO"/>
        </w:rPr>
      </w:pPr>
      <w:r w:rsidRPr="00834B27">
        <w:rPr>
          <w:lang w:val="ro-RO"/>
        </w:rPr>
        <w:t>Se</w:t>
      </w:r>
      <w:r w:rsidR="004471C3" w:rsidRPr="00834B27">
        <w:rPr>
          <w:lang w:val="ro-RO"/>
        </w:rPr>
        <w:t xml:space="preserve"> poate lua în considerare</w:t>
      </w:r>
      <w:r w:rsidR="00F16BB0" w:rsidRPr="00834B27">
        <w:rPr>
          <w:lang w:val="ro-RO"/>
        </w:rPr>
        <w:t xml:space="preserve"> plata directă de către angajator către </w:t>
      </w:r>
      <w:r w:rsidR="008B44A3" w:rsidRPr="00834B27">
        <w:rPr>
          <w:lang w:val="ro-RO"/>
        </w:rPr>
        <w:t>fondurile de pensii administrate privat</w:t>
      </w:r>
      <w:r w:rsidR="00EB5A3C" w:rsidRPr="00834B27">
        <w:rPr>
          <w:lang w:val="ro-RO"/>
        </w:rPr>
        <w:t xml:space="preserve"> (Pilon II)</w:t>
      </w:r>
      <w:r w:rsidR="004C6CCD" w:rsidRPr="00834B27">
        <w:rPr>
          <w:lang w:val="ro-RO"/>
        </w:rPr>
        <w:t xml:space="preserve">, </w:t>
      </w:r>
      <w:r w:rsidR="001F2C35" w:rsidRPr="00834B27">
        <w:rPr>
          <w:lang w:val="ro-RO"/>
        </w:rPr>
        <w:t>numărul acestora fiind relativ mic (maxim 10).</w:t>
      </w:r>
    </w:p>
    <w:p w14:paraId="4302FFFD" w14:textId="77777777" w:rsidR="00A170CC" w:rsidRPr="00834B27" w:rsidRDefault="00A170CC" w:rsidP="00B91E74">
      <w:pPr>
        <w:spacing w:line="276" w:lineRule="auto"/>
        <w:jc w:val="both"/>
        <w:rPr>
          <w:rFonts w:ascii="Calibri" w:hAnsi="Calibri" w:cs="Calibri"/>
          <w:lang w:val="ro-RO"/>
        </w:rPr>
      </w:pPr>
    </w:p>
    <w:p w14:paraId="5553860D" w14:textId="6B20C190" w:rsidR="00EF6259" w:rsidRPr="00834B27" w:rsidRDefault="00EF6259" w:rsidP="009F2FDA">
      <w:pPr>
        <w:pStyle w:val="Listparagraf"/>
        <w:numPr>
          <w:ilvl w:val="1"/>
          <w:numId w:val="32"/>
        </w:numPr>
        <w:spacing w:line="276" w:lineRule="auto"/>
        <w:ind w:left="720" w:hanging="720"/>
        <w:contextualSpacing w:val="0"/>
        <w:jc w:val="both"/>
        <w:outlineLvl w:val="1"/>
        <w:rPr>
          <w:rFonts w:ascii="Calibri" w:hAnsi="Calibri" w:cs="Calibri"/>
          <w:b/>
          <w:bCs/>
          <w:lang w:val="ro-RO"/>
        </w:rPr>
      </w:pPr>
      <w:bookmarkStart w:id="18" w:name="_Toc223643887"/>
      <w:r w:rsidRPr="00834B27">
        <w:rPr>
          <w:rFonts w:ascii="Calibri" w:hAnsi="Calibri" w:cs="Calibri"/>
          <w:b/>
          <w:bCs/>
          <w:lang w:val="ro-RO"/>
        </w:rPr>
        <w:t>Obiective</w:t>
      </w:r>
      <w:bookmarkEnd w:id="18"/>
    </w:p>
    <w:p w14:paraId="0BADC6E8" w14:textId="6FB18226" w:rsidR="006F6FB3" w:rsidRPr="00834B27" w:rsidRDefault="00EF6259" w:rsidP="00B91E74">
      <w:pPr>
        <w:spacing w:line="276" w:lineRule="auto"/>
        <w:jc w:val="both"/>
        <w:rPr>
          <w:rFonts w:ascii="Calibri" w:hAnsi="Calibri" w:cs="Calibri"/>
          <w:lang w:val="ro-RO"/>
        </w:rPr>
      </w:pPr>
      <w:r w:rsidRPr="00834B27">
        <w:rPr>
          <w:rFonts w:ascii="Calibri" w:hAnsi="Calibri" w:cs="Calibri"/>
          <w:lang w:val="ro-RO"/>
        </w:rPr>
        <w:t>Prin scenariile de reform</w:t>
      </w:r>
      <w:r w:rsidR="00B91E74" w:rsidRPr="00834B27">
        <w:rPr>
          <w:rFonts w:ascii="Calibri" w:hAnsi="Calibri" w:cs="Calibri"/>
          <w:lang w:val="ro-RO"/>
        </w:rPr>
        <w:t>ă</w:t>
      </w:r>
      <w:r w:rsidRPr="00834B27">
        <w:rPr>
          <w:rFonts w:ascii="Calibri" w:hAnsi="Calibri" w:cs="Calibri"/>
          <w:lang w:val="ro-RO"/>
        </w:rPr>
        <w:t xml:space="preserve"> </w:t>
      </w:r>
      <w:r w:rsidR="00BC69BF" w:rsidRPr="00834B27">
        <w:rPr>
          <w:rFonts w:ascii="Calibri" w:hAnsi="Calibri" w:cs="Calibri"/>
          <w:lang w:val="ro-RO"/>
        </w:rPr>
        <w:t xml:space="preserve">propuse </w:t>
      </w:r>
      <w:r w:rsidR="00B91E74" w:rsidRPr="00834B27">
        <w:rPr>
          <w:rFonts w:ascii="Calibri" w:hAnsi="Calibri" w:cs="Calibri"/>
          <w:lang w:val="ro-RO"/>
        </w:rPr>
        <w:t>î</w:t>
      </w:r>
      <w:r w:rsidR="00BC69BF" w:rsidRPr="00834B27">
        <w:rPr>
          <w:rFonts w:ascii="Calibri" w:hAnsi="Calibri" w:cs="Calibri"/>
          <w:lang w:val="ro-RO"/>
        </w:rPr>
        <w:t>n cele ce urmeaz</w:t>
      </w:r>
      <w:r w:rsidR="00B91E74" w:rsidRPr="00834B27">
        <w:rPr>
          <w:rFonts w:ascii="Calibri" w:hAnsi="Calibri" w:cs="Calibri"/>
          <w:lang w:val="ro-RO"/>
        </w:rPr>
        <w:t>ă</w:t>
      </w:r>
      <w:r w:rsidR="00BC69BF" w:rsidRPr="00834B27">
        <w:rPr>
          <w:rFonts w:ascii="Calibri" w:hAnsi="Calibri" w:cs="Calibri"/>
          <w:lang w:val="ro-RO"/>
        </w:rPr>
        <w:t xml:space="preserve">, </w:t>
      </w:r>
      <w:r w:rsidR="00BD0AE4" w:rsidRPr="00834B27">
        <w:rPr>
          <w:rFonts w:ascii="Calibri" w:hAnsi="Calibri" w:cs="Calibri"/>
          <w:lang w:val="ro-RO"/>
        </w:rPr>
        <w:t>urm</w:t>
      </w:r>
      <w:r w:rsidR="00B91E74" w:rsidRPr="00834B27">
        <w:rPr>
          <w:rFonts w:ascii="Calibri" w:hAnsi="Calibri" w:cs="Calibri"/>
          <w:lang w:val="ro-RO"/>
        </w:rPr>
        <w:t>ă</w:t>
      </w:r>
      <w:r w:rsidR="00BD0AE4" w:rsidRPr="00834B27">
        <w:rPr>
          <w:rFonts w:ascii="Calibri" w:hAnsi="Calibri" w:cs="Calibri"/>
          <w:lang w:val="ro-RO"/>
        </w:rPr>
        <w:t xml:space="preserve">rim </w:t>
      </w:r>
      <w:r w:rsidR="00B91E74" w:rsidRPr="00834B27">
        <w:rPr>
          <w:rFonts w:ascii="Calibri" w:hAnsi="Calibri" w:cs="Calibri"/>
          <w:lang w:val="ro-RO"/>
        </w:rPr>
        <w:t>obiectivele de mai jos</w:t>
      </w:r>
      <w:r w:rsidR="000B3448" w:rsidRPr="00834B27">
        <w:rPr>
          <w:rFonts w:ascii="Calibri" w:hAnsi="Calibri" w:cs="Calibri"/>
          <w:lang w:val="ro-RO"/>
        </w:rPr>
        <w:t>:</w:t>
      </w:r>
    </w:p>
    <w:p w14:paraId="3057BBC1" w14:textId="5070DD27" w:rsidR="00560C7F" w:rsidRPr="00834B27" w:rsidRDefault="009539A3" w:rsidP="00F21165">
      <w:pPr>
        <w:pStyle w:val="Listparagraf"/>
        <w:numPr>
          <w:ilvl w:val="0"/>
          <w:numId w:val="22"/>
        </w:numPr>
        <w:tabs>
          <w:tab w:val="left" w:pos="720"/>
        </w:tabs>
        <w:spacing w:line="276" w:lineRule="auto"/>
        <w:ind w:left="720"/>
        <w:contextualSpacing w:val="0"/>
        <w:jc w:val="both"/>
        <w:rPr>
          <w:rFonts w:ascii="Calibri" w:hAnsi="Calibri" w:cs="Calibri"/>
          <w:lang w:val="ro-RO"/>
        </w:rPr>
      </w:pPr>
      <w:r w:rsidRPr="00834B27">
        <w:rPr>
          <w:rFonts w:ascii="Calibri" w:hAnsi="Calibri" w:cs="Calibri"/>
          <w:lang w:val="ro-RO"/>
        </w:rPr>
        <w:t>Creșterea</w:t>
      </w:r>
      <w:r w:rsidR="000B3448" w:rsidRPr="00834B27">
        <w:rPr>
          <w:rFonts w:ascii="Calibri" w:hAnsi="Calibri" w:cs="Calibri"/>
          <w:lang w:val="ro-RO"/>
        </w:rPr>
        <w:t xml:space="preserve"> gradului de conformare</w:t>
      </w:r>
      <w:r w:rsidR="008D20EE" w:rsidRPr="00834B27">
        <w:rPr>
          <w:rFonts w:ascii="Calibri" w:hAnsi="Calibri" w:cs="Calibri"/>
          <w:lang w:val="ro-RO"/>
        </w:rPr>
        <w:t xml:space="preserve">, prin </w:t>
      </w:r>
      <w:r w:rsidR="00B91E74" w:rsidRPr="00834B27">
        <w:rPr>
          <w:rFonts w:ascii="Calibri" w:hAnsi="Calibri" w:cs="Calibri"/>
          <w:lang w:val="ro-RO"/>
        </w:rPr>
        <w:t>așezarea</w:t>
      </w:r>
      <w:r w:rsidR="008D20EE" w:rsidRPr="00834B27">
        <w:rPr>
          <w:rFonts w:ascii="Calibri" w:hAnsi="Calibri" w:cs="Calibri"/>
          <w:lang w:val="ro-RO"/>
        </w:rPr>
        <w:t xml:space="preserve"> SFT </w:t>
      </w:r>
      <w:r w:rsidR="00B91E74" w:rsidRPr="00834B27">
        <w:rPr>
          <w:rFonts w:ascii="Calibri" w:hAnsi="Calibri" w:cs="Calibri"/>
          <w:lang w:val="ro-RO"/>
        </w:rPr>
        <w:t>î</w:t>
      </w:r>
      <w:r w:rsidR="008D20EE" w:rsidRPr="00834B27">
        <w:rPr>
          <w:rFonts w:ascii="Calibri" w:hAnsi="Calibri" w:cs="Calibri"/>
          <w:lang w:val="ro-RO"/>
        </w:rPr>
        <w:t>n mod rezonabil</w:t>
      </w:r>
      <w:r w:rsidR="001624BA" w:rsidRPr="00834B27">
        <w:rPr>
          <w:rFonts w:ascii="Calibri" w:hAnsi="Calibri" w:cs="Calibri"/>
          <w:lang w:val="ro-RO"/>
        </w:rPr>
        <w:t xml:space="preserve"> </w:t>
      </w:r>
      <w:r w:rsidR="00B91E74" w:rsidRPr="00834B27">
        <w:rPr>
          <w:rFonts w:ascii="Calibri" w:hAnsi="Calibri" w:cs="Calibri"/>
          <w:lang w:val="ro-RO"/>
        </w:rPr>
        <w:t>ș</w:t>
      </w:r>
      <w:r w:rsidR="001624BA" w:rsidRPr="00834B27">
        <w:rPr>
          <w:rFonts w:ascii="Calibri" w:hAnsi="Calibri" w:cs="Calibri"/>
          <w:lang w:val="ro-RO"/>
        </w:rPr>
        <w:t xml:space="preserve">i eliminarea </w:t>
      </w:r>
      <w:r w:rsidR="00B91E74" w:rsidRPr="00834B27">
        <w:rPr>
          <w:rFonts w:ascii="Calibri" w:hAnsi="Calibri" w:cs="Calibri"/>
          <w:lang w:val="ro-RO"/>
        </w:rPr>
        <w:t>posibilită</w:t>
      </w:r>
      <w:r w:rsidR="00D77C4B" w:rsidRPr="00834B27">
        <w:rPr>
          <w:rFonts w:ascii="Calibri" w:hAnsi="Calibri" w:cs="Calibri"/>
          <w:lang w:val="ro-RO"/>
        </w:rPr>
        <w:t>ț</w:t>
      </w:r>
      <w:r w:rsidR="00B91E74" w:rsidRPr="00834B27">
        <w:rPr>
          <w:rFonts w:ascii="Calibri" w:hAnsi="Calibri" w:cs="Calibri"/>
          <w:lang w:val="ro-RO"/>
        </w:rPr>
        <w:t>ii</w:t>
      </w:r>
      <w:r w:rsidR="001624BA" w:rsidRPr="00834B27">
        <w:rPr>
          <w:rFonts w:ascii="Calibri" w:hAnsi="Calibri" w:cs="Calibri"/>
          <w:lang w:val="ro-RO"/>
        </w:rPr>
        <w:t xml:space="preserve"> de arbitraj </w:t>
      </w:r>
      <w:r w:rsidR="00B91E74" w:rsidRPr="00834B27">
        <w:rPr>
          <w:rFonts w:ascii="Calibri" w:hAnsi="Calibri" w:cs="Calibri"/>
          <w:lang w:val="ro-RO"/>
        </w:rPr>
        <w:t>î</w:t>
      </w:r>
      <w:r w:rsidR="001624BA" w:rsidRPr="00834B27">
        <w:rPr>
          <w:rFonts w:ascii="Calibri" w:hAnsi="Calibri" w:cs="Calibri"/>
          <w:lang w:val="ro-RO"/>
        </w:rPr>
        <w:t>ntre diverse categorii de venit</w:t>
      </w:r>
      <w:r w:rsidR="0059322A" w:rsidRPr="00834B27">
        <w:rPr>
          <w:rFonts w:ascii="Calibri" w:hAnsi="Calibri" w:cs="Calibri"/>
          <w:lang w:val="ro-RO"/>
        </w:rPr>
        <w:t>;</w:t>
      </w:r>
    </w:p>
    <w:p w14:paraId="661171CA" w14:textId="6710AC00" w:rsidR="0059322A" w:rsidRPr="00834B27" w:rsidRDefault="00B91E74" w:rsidP="00F21165">
      <w:pPr>
        <w:pStyle w:val="Listparagraf"/>
        <w:numPr>
          <w:ilvl w:val="0"/>
          <w:numId w:val="22"/>
        </w:numPr>
        <w:tabs>
          <w:tab w:val="left" w:pos="720"/>
        </w:tabs>
        <w:spacing w:line="276" w:lineRule="auto"/>
        <w:ind w:left="720"/>
        <w:contextualSpacing w:val="0"/>
        <w:jc w:val="both"/>
        <w:rPr>
          <w:rFonts w:ascii="Calibri" w:hAnsi="Calibri" w:cs="Calibri"/>
          <w:lang w:val="ro-RO"/>
        </w:rPr>
      </w:pPr>
      <w:r w:rsidRPr="00834B27">
        <w:rPr>
          <w:rFonts w:ascii="Calibri" w:hAnsi="Calibri" w:cs="Calibri"/>
          <w:lang w:val="ro-RO"/>
        </w:rPr>
        <w:t>Scăderea</w:t>
      </w:r>
      <w:r w:rsidR="0059322A" w:rsidRPr="00834B27">
        <w:rPr>
          <w:rFonts w:ascii="Calibri" w:hAnsi="Calibri" w:cs="Calibri"/>
          <w:lang w:val="ro-RO"/>
        </w:rPr>
        <w:t xml:space="preserve"> costurilor de conformare</w:t>
      </w:r>
      <w:r w:rsidR="008407B4" w:rsidRPr="00834B27">
        <w:rPr>
          <w:rFonts w:ascii="Calibri" w:hAnsi="Calibri" w:cs="Calibri"/>
          <w:lang w:val="ro-RO"/>
        </w:rPr>
        <w:t xml:space="preserve"> </w:t>
      </w:r>
      <w:r w:rsidR="00E62BA6" w:rsidRPr="00834B27">
        <w:rPr>
          <w:rFonts w:ascii="Calibri" w:hAnsi="Calibri" w:cs="Calibri"/>
          <w:lang w:val="ro-RO"/>
        </w:rPr>
        <w:t xml:space="preserve">prin crearea unui cadrul fiscal unitar </w:t>
      </w:r>
      <w:r w:rsidR="0029130B" w:rsidRPr="00834B27">
        <w:rPr>
          <w:rFonts w:ascii="Calibri" w:hAnsi="Calibri" w:cs="Calibri"/>
          <w:lang w:val="ro-RO"/>
        </w:rPr>
        <w:t>ș</w:t>
      </w:r>
      <w:r w:rsidR="00E62BA6" w:rsidRPr="00834B27">
        <w:rPr>
          <w:rFonts w:ascii="Calibri" w:hAnsi="Calibri" w:cs="Calibri"/>
          <w:lang w:val="ro-RO"/>
        </w:rPr>
        <w:t xml:space="preserve">i eficientizarea </w:t>
      </w:r>
      <w:r w:rsidR="0029130B" w:rsidRPr="00834B27">
        <w:rPr>
          <w:rFonts w:ascii="Calibri" w:hAnsi="Calibri" w:cs="Calibri"/>
          <w:lang w:val="ro-RO"/>
        </w:rPr>
        <w:t>colectării</w:t>
      </w:r>
      <w:r w:rsidR="00E62BA6" w:rsidRPr="00834B27">
        <w:rPr>
          <w:rFonts w:ascii="Calibri" w:hAnsi="Calibri" w:cs="Calibri"/>
          <w:lang w:val="ro-RO"/>
        </w:rPr>
        <w:t xml:space="preserve"> prin </w:t>
      </w:r>
      <w:r w:rsidR="0029130B" w:rsidRPr="00834B27">
        <w:rPr>
          <w:rFonts w:ascii="Calibri" w:hAnsi="Calibri" w:cs="Calibri"/>
          <w:lang w:val="ro-RO"/>
        </w:rPr>
        <w:t>lărgirea</w:t>
      </w:r>
      <w:r w:rsidR="00E62BA6" w:rsidRPr="00834B27">
        <w:rPr>
          <w:rFonts w:ascii="Calibri" w:hAnsi="Calibri" w:cs="Calibri"/>
          <w:lang w:val="ro-RO"/>
        </w:rPr>
        <w:t xml:space="preserve"> la maxim posibil a </w:t>
      </w:r>
      <w:r w:rsidR="0029130B" w:rsidRPr="00834B27">
        <w:rPr>
          <w:rFonts w:ascii="Calibri" w:hAnsi="Calibri" w:cs="Calibri"/>
          <w:lang w:val="ro-RO"/>
        </w:rPr>
        <w:t>re</w:t>
      </w:r>
      <w:r w:rsidR="00D77C4B" w:rsidRPr="00834B27">
        <w:rPr>
          <w:rFonts w:ascii="Calibri" w:hAnsi="Calibri" w:cs="Calibri"/>
          <w:lang w:val="ro-RO"/>
        </w:rPr>
        <w:t>ț</w:t>
      </w:r>
      <w:r w:rsidR="0029130B" w:rsidRPr="00834B27">
        <w:rPr>
          <w:rFonts w:ascii="Calibri" w:hAnsi="Calibri" w:cs="Calibri"/>
          <w:lang w:val="ro-RO"/>
        </w:rPr>
        <w:t>inerii</w:t>
      </w:r>
      <w:r w:rsidR="00E62BA6" w:rsidRPr="00834B27">
        <w:rPr>
          <w:rFonts w:ascii="Calibri" w:hAnsi="Calibri" w:cs="Calibri"/>
          <w:lang w:val="ro-RO"/>
        </w:rPr>
        <w:t xml:space="preserve"> la surs</w:t>
      </w:r>
      <w:r w:rsidR="0029130B" w:rsidRPr="00834B27">
        <w:rPr>
          <w:rFonts w:ascii="Calibri" w:hAnsi="Calibri" w:cs="Calibri"/>
          <w:lang w:val="ro-RO"/>
        </w:rPr>
        <w:t>ă</w:t>
      </w:r>
      <w:r w:rsidR="00E62BA6" w:rsidRPr="00834B27">
        <w:rPr>
          <w:rFonts w:ascii="Calibri" w:hAnsi="Calibri" w:cs="Calibri"/>
          <w:lang w:val="ro-RO"/>
        </w:rPr>
        <w:t xml:space="preserve"> a impozitului pe venit, CAS </w:t>
      </w:r>
      <w:r w:rsidR="0029130B" w:rsidRPr="00834B27">
        <w:rPr>
          <w:rFonts w:ascii="Calibri" w:hAnsi="Calibri" w:cs="Calibri"/>
          <w:lang w:val="ro-RO"/>
        </w:rPr>
        <w:t>ș</w:t>
      </w:r>
      <w:r w:rsidR="00E62BA6" w:rsidRPr="00834B27">
        <w:rPr>
          <w:rFonts w:ascii="Calibri" w:hAnsi="Calibri" w:cs="Calibri"/>
          <w:lang w:val="ro-RO"/>
        </w:rPr>
        <w:t>i CASS de c</w:t>
      </w:r>
      <w:r w:rsidR="0029130B" w:rsidRPr="00834B27">
        <w:rPr>
          <w:rFonts w:ascii="Calibri" w:hAnsi="Calibri" w:cs="Calibri"/>
          <w:lang w:val="ro-RO"/>
        </w:rPr>
        <w:t>ă</w:t>
      </w:r>
      <w:r w:rsidR="00E62BA6" w:rsidRPr="00834B27">
        <w:rPr>
          <w:rFonts w:ascii="Calibri" w:hAnsi="Calibri" w:cs="Calibri"/>
          <w:lang w:val="ro-RO"/>
        </w:rPr>
        <w:t xml:space="preserve">tre </w:t>
      </w:r>
      <w:r w:rsidR="0029130B" w:rsidRPr="00834B27">
        <w:rPr>
          <w:rFonts w:ascii="Calibri" w:hAnsi="Calibri" w:cs="Calibri"/>
          <w:lang w:val="ro-RO"/>
        </w:rPr>
        <w:t>plătitorul</w:t>
      </w:r>
      <w:r w:rsidR="00E62BA6" w:rsidRPr="00834B27">
        <w:rPr>
          <w:rFonts w:ascii="Calibri" w:hAnsi="Calibri" w:cs="Calibri"/>
          <w:lang w:val="ro-RO"/>
        </w:rPr>
        <w:t xml:space="preserve"> de venit</w:t>
      </w:r>
      <w:r w:rsidR="00A026AA" w:rsidRPr="00834B27">
        <w:rPr>
          <w:rFonts w:ascii="Calibri" w:hAnsi="Calibri" w:cs="Calibri"/>
          <w:lang w:val="ro-RO"/>
        </w:rPr>
        <w:t>;</w:t>
      </w:r>
    </w:p>
    <w:p w14:paraId="08AC4803" w14:textId="77777777" w:rsidR="004E05AA" w:rsidRPr="00834B27" w:rsidRDefault="00B91E74" w:rsidP="008407B4">
      <w:pPr>
        <w:pStyle w:val="Listparagraf"/>
        <w:numPr>
          <w:ilvl w:val="0"/>
          <w:numId w:val="22"/>
        </w:numPr>
        <w:tabs>
          <w:tab w:val="left" w:pos="720"/>
        </w:tabs>
        <w:spacing w:line="276" w:lineRule="auto"/>
        <w:ind w:left="720"/>
        <w:contextualSpacing w:val="0"/>
        <w:jc w:val="both"/>
        <w:rPr>
          <w:rFonts w:ascii="Calibri" w:hAnsi="Calibri" w:cs="Calibri"/>
          <w:lang w:val="ro-RO"/>
        </w:rPr>
      </w:pPr>
      <w:r w:rsidRPr="00834B27">
        <w:rPr>
          <w:rFonts w:ascii="Calibri" w:hAnsi="Calibri" w:cs="Calibri"/>
          <w:lang w:val="ro-RO"/>
        </w:rPr>
        <w:t>Scăderea</w:t>
      </w:r>
      <w:r w:rsidR="00A026AA" w:rsidRPr="00834B27">
        <w:rPr>
          <w:rFonts w:ascii="Calibri" w:hAnsi="Calibri" w:cs="Calibri"/>
          <w:lang w:val="ro-RO"/>
        </w:rPr>
        <w:t xml:space="preserve"> costurilor de </w:t>
      </w:r>
      <w:r w:rsidRPr="00834B27">
        <w:rPr>
          <w:rFonts w:ascii="Calibri" w:hAnsi="Calibri" w:cs="Calibri"/>
          <w:lang w:val="ro-RO"/>
        </w:rPr>
        <w:t>administrare</w:t>
      </w:r>
      <w:r w:rsidR="004E05AA" w:rsidRPr="00834B27">
        <w:rPr>
          <w:rFonts w:ascii="Calibri" w:hAnsi="Calibri" w:cs="Calibri"/>
          <w:lang w:val="ro-RO"/>
        </w:rPr>
        <w:t>:</w:t>
      </w:r>
    </w:p>
    <w:p w14:paraId="377B78AE" w14:textId="0F70C8D9" w:rsidR="00B11316" w:rsidRPr="00834B27" w:rsidRDefault="004E05AA" w:rsidP="00C75F3E">
      <w:pPr>
        <w:pStyle w:val="Listparagraf"/>
        <w:numPr>
          <w:ilvl w:val="0"/>
          <w:numId w:val="42"/>
        </w:numPr>
        <w:tabs>
          <w:tab w:val="left" w:pos="720"/>
          <w:tab w:val="left" w:pos="1080"/>
        </w:tabs>
        <w:spacing w:line="276" w:lineRule="auto"/>
        <w:ind w:left="1080"/>
        <w:contextualSpacing w:val="0"/>
        <w:jc w:val="both"/>
        <w:rPr>
          <w:rFonts w:ascii="Calibri" w:hAnsi="Calibri" w:cs="Calibri"/>
          <w:lang w:val="ro-RO"/>
        </w:rPr>
      </w:pPr>
      <w:r w:rsidRPr="00834B27">
        <w:rPr>
          <w:rFonts w:ascii="Calibri" w:hAnsi="Calibri" w:cs="Calibri"/>
          <w:lang w:val="ro-RO"/>
        </w:rPr>
        <w:t>p</w:t>
      </w:r>
      <w:r w:rsidR="00A026AA" w:rsidRPr="00834B27">
        <w:rPr>
          <w:rFonts w:ascii="Calibri" w:hAnsi="Calibri" w:cs="Calibri"/>
          <w:lang w:val="ro-RO"/>
        </w:rPr>
        <w:t xml:space="preserve">rin eliminarea </w:t>
      </w:r>
      <w:r w:rsidR="00B91E74" w:rsidRPr="00834B27">
        <w:rPr>
          <w:rFonts w:ascii="Calibri" w:hAnsi="Calibri" w:cs="Calibri"/>
          <w:lang w:val="ro-RO"/>
        </w:rPr>
        <w:t>oportunită</w:t>
      </w:r>
      <w:r w:rsidR="00D77C4B" w:rsidRPr="00834B27">
        <w:rPr>
          <w:rFonts w:ascii="Calibri" w:hAnsi="Calibri" w:cs="Calibri"/>
          <w:lang w:val="ro-RO"/>
        </w:rPr>
        <w:t>ț</w:t>
      </w:r>
      <w:r w:rsidR="00B91E74" w:rsidRPr="00834B27">
        <w:rPr>
          <w:rFonts w:ascii="Calibri" w:hAnsi="Calibri" w:cs="Calibri"/>
          <w:lang w:val="ro-RO"/>
        </w:rPr>
        <w:t>ilor</w:t>
      </w:r>
      <w:r w:rsidR="00A026AA" w:rsidRPr="00834B27">
        <w:rPr>
          <w:rFonts w:ascii="Calibri" w:hAnsi="Calibri" w:cs="Calibri"/>
          <w:lang w:val="ro-RO"/>
        </w:rPr>
        <w:t xml:space="preserve"> </w:t>
      </w:r>
      <w:r w:rsidR="001C1507" w:rsidRPr="00834B27">
        <w:rPr>
          <w:rFonts w:ascii="Calibri" w:hAnsi="Calibri" w:cs="Calibri"/>
          <w:lang w:val="ro-RO"/>
        </w:rPr>
        <w:t xml:space="preserve">de arbitraj, </w:t>
      </w:r>
      <w:r w:rsidR="00A95213" w:rsidRPr="00834B27">
        <w:rPr>
          <w:rFonts w:ascii="Calibri" w:hAnsi="Calibri" w:cs="Calibri"/>
          <w:lang w:val="ro-RO"/>
        </w:rPr>
        <w:t xml:space="preserve">se </w:t>
      </w:r>
      <w:r w:rsidR="00375FA1" w:rsidRPr="00834B27">
        <w:rPr>
          <w:rFonts w:ascii="Calibri" w:hAnsi="Calibri" w:cs="Calibri"/>
          <w:lang w:val="ro-RO"/>
        </w:rPr>
        <w:t>elimin</w:t>
      </w:r>
      <w:r w:rsidR="00C75F3E" w:rsidRPr="00834B27">
        <w:rPr>
          <w:rFonts w:ascii="Calibri" w:hAnsi="Calibri" w:cs="Calibri"/>
          <w:lang w:val="ro-RO"/>
        </w:rPr>
        <w:t>ă</w:t>
      </w:r>
      <w:r w:rsidR="00375FA1" w:rsidRPr="00834B27">
        <w:rPr>
          <w:rFonts w:ascii="Calibri" w:hAnsi="Calibri" w:cs="Calibri"/>
          <w:lang w:val="ro-RO"/>
        </w:rPr>
        <w:t xml:space="preserve"> nevoi</w:t>
      </w:r>
      <w:r w:rsidR="002D47DA" w:rsidRPr="00834B27">
        <w:rPr>
          <w:rFonts w:ascii="Calibri" w:hAnsi="Calibri" w:cs="Calibri"/>
          <w:lang w:val="ro-RO"/>
        </w:rPr>
        <w:t>a</w:t>
      </w:r>
      <w:r w:rsidR="00375FA1" w:rsidRPr="00834B27">
        <w:rPr>
          <w:rFonts w:ascii="Calibri" w:hAnsi="Calibri" w:cs="Calibri"/>
          <w:lang w:val="ro-RO"/>
        </w:rPr>
        <w:t xml:space="preserve"> </w:t>
      </w:r>
      <w:r w:rsidR="00B91E74" w:rsidRPr="00834B27">
        <w:rPr>
          <w:rFonts w:ascii="Calibri" w:hAnsi="Calibri" w:cs="Calibri"/>
          <w:lang w:val="ro-RO"/>
        </w:rPr>
        <w:t>inspec</w:t>
      </w:r>
      <w:r w:rsidR="00D77C4B" w:rsidRPr="00834B27">
        <w:rPr>
          <w:rFonts w:ascii="Calibri" w:hAnsi="Calibri" w:cs="Calibri"/>
          <w:lang w:val="ro-RO"/>
        </w:rPr>
        <w:t>ț</w:t>
      </w:r>
      <w:r w:rsidR="00B91E74" w:rsidRPr="00834B27">
        <w:rPr>
          <w:rFonts w:ascii="Calibri" w:hAnsi="Calibri" w:cs="Calibri"/>
          <w:lang w:val="ro-RO"/>
        </w:rPr>
        <w:t>iilor</w:t>
      </w:r>
      <w:r w:rsidR="002D47DA" w:rsidRPr="00834B27">
        <w:rPr>
          <w:rFonts w:ascii="Calibri" w:hAnsi="Calibri" w:cs="Calibri"/>
          <w:lang w:val="ro-RO"/>
        </w:rPr>
        <w:t xml:space="preserve"> fiscale pentru a verifica </w:t>
      </w:r>
      <w:r w:rsidR="0029130B" w:rsidRPr="00834B27">
        <w:rPr>
          <w:rFonts w:ascii="Calibri" w:hAnsi="Calibri" w:cs="Calibri"/>
          <w:lang w:val="ro-RO"/>
        </w:rPr>
        <w:t>încadrarea</w:t>
      </w:r>
      <w:r w:rsidR="002D47DA" w:rsidRPr="00834B27">
        <w:rPr>
          <w:rFonts w:ascii="Calibri" w:hAnsi="Calibri" w:cs="Calibri"/>
          <w:lang w:val="ro-RO"/>
        </w:rPr>
        <w:t xml:space="preserve"> corect</w:t>
      </w:r>
      <w:r w:rsidR="00854DB3" w:rsidRPr="00834B27">
        <w:rPr>
          <w:rFonts w:ascii="Calibri" w:hAnsi="Calibri" w:cs="Calibri"/>
          <w:lang w:val="ro-RO"/>
        </w:rPr>
        <w:t>ă</w:t>
      </w:r>
      <w:r w:rsidR="002D47DA" w:rsidRPr="00834B27">
        <w:rPr>
          <w:rFonts w:ascii="Calibri" w:hAnsi="Calibri" w:cs="Calibri"/>
          <w:lang w:val="ro-RO"/>
        </w:rPr>
        <w:t xml:space="preserve"> </w:t>
      </w:r>
      <w:r w:rsidR="0029130B" w:rsidRPr="00834B27">
        <w:rPr>
          <w:rFonts w:ascii="Calibri" w:hAnsi="Calibri" w:cs="Calibri"/>
          <w:lang w:val="ro-RO"/>
        </w:rPr>
        <w:t>î</w:t>
      </w:r>
      <w:r w:rsidR="002D47DA" w:rsidRPr="00834B27">
        <w:rPr>
          <w:rFonts w:ascii="Calibri" w:hAnsi="Calibri" w:cs="Calibri"/>
          <w:lang w:val="ro-RO"/>
        </w:rPr>
        <w:t xml:space="preserve">n categoria de venit cu </w:t>
      </w:r>
      <w:r w:rsidR="00C54EEA" w:rsidRPr="00834B27">
        <w:rPr>
          <w:rFonts w:ascii="Calibri" w:hAnsi="Calibri" w:cs="Calibri"/>
          <w:lang w:val="ro-RO"/>
        </w:rPr>
        <w:t>SFT mai mic</w:t>
      </w:r>
      <w:r w:rsidR="0029130B" w:rsidRPr="00834B27">
        <w:rPr>
          <w:rFonts w:ascii="Calibri" w:hAnsi="Calibri" w:cs="Calibri"/>
          <w:lang w:val="ro-RO"/>
        </w:rPr>
        <w:t>ă</w:t>
      </w:r>
      <w:r w:rsidR="00C54EEA" w:rsidRPr="00834B27">
        <w:rPr>
          <w:rFonts w:ascii="Calibri" w:hAnsi="Calibri" w:cs="Calibri"/>
          <w:lang w:val="ro-RO"/>
        </w:rPr>
        <w:t xml:space="preserve"> </w:t>
      </w:r>
      <w:r w:rsidR="0029130B" w:rsidRPr="00834B27">
        <w:rPr>
          <w:rFonts w:ascii="Calibri" w:hAnsi="Calibri" w:cs="Calibri"/>
          <w:lang w:val="ro-RO"/>
        </w:rPr>
        <w:t>decât</w:t>
      </w:r>
      <w:r w:rsidR="00C54EEA" w:rsidRPr="00834B27">
        <w:rPr>
          <w:rFonts w:ascii="Calibri" w:hAnsi="Calibri" w:cs="Calibri"/>
          <w:lang w:val="ro-RO"/>
        </w:rPr>
        <w:t xml:space="preserve"> cea aplicabil</w:t>
      </w:r>
      <w:r w:rsidR="0029130B" w:rsidRPr="00834B27">
        <w:rPr>
          <w:rFonts w:ascii="Calibri" w:hAnsi="Calibri" w:cs="Calibri"/>
          <w:lang w:val="ro-RO"/>
        </w:rPr>
        <w:t>ă</w:t>
      </w:r>
      <w:r w:rsidR="00C54EEA" w:rsidRPr="00834B27">
        <w:rPr>
          <w:rFonts w:ascii="Calibri" w:hAnsi="Calibri" w:cs="Calibri"/>
          <w:lang w:val="ro-RO"/>
        </w:rPr>
        <w:t xml:space="preserve"> la salarii </w:t>
      </w:r>
      <w:r w:rsidR="0029130B" w:rsidRPr="00834B27">
        <w:rPr>
          <w:rFonts w:ascii="Calibri" w:hAnsi="Calibri" w:cs="Calibri"/>
          <w:lang w:val="ro-RO"/>
        </w:rPr>
        <w:t>ș</w:t>
      </w:r>
      <w:r w:rsidR="00C54EEA" w:rsidRPr="00834B27">
        <w:rPr>
          <w:rFonts w:ascii="Calibri" w:hAnsi="Calibri" w:cs="Calibri"/>
          <w:lang w:val="ro-RO"/>
        </w:rPr>
        <w:t xml:space="preserve">i venituri asimilate salariilor (ex. </w:t>
      </w:r>
      <w:r w:rsidR="00C75F3E" w:rsidRPr="00834B27">
        <w:rPr>
          <w:rFonts w:ascii="Calibri" w:hAnsi="Calibri" w:cs="Calibri"/>
          <w:lang w:val="ro-RO"/>
        </w:rPr>
        <w:t>de exemplu, v</w:t>
      </w:r>
      <w:r w:rsidR="00C54EEA" w:rsidRPr="00834B27">
        <w:rPr>
          <w:rFonts w:ascii="Calibri" w:hAnsi="Calibri" w:cs="Calibri"/>
          <w:lang w:val="ro-RO"/>
        </w:rPr>
        <w:t xml:space="preserve">erificarea </w:t>
      </w:r>
      <w:r w:rsidR="0029130B" w:rsidRPr="00834B27">
        <w:rPr>
          <w:rFonts w:ascii="Calibri" w:hAnsi="Calibri" w:cs="Calibri"/>
          <w:lang w:val="ro-RO"/>
        </w:rPr>
        <w:t>îndeplinirii</w:t>
      </w:r>
      <w:r w:rsidR="00C54EEA" w:rsidRPr="00834B27">
        <w:rPr>
          <w:rFonts w:ascii="Calibri" w:hAnsi="Calibri" w:cs="Calibri"/>
          <w:lang w:val="ro-RO"/>
        </w:rPr>
        <w:t xml:space="preserve"> a cel </w:t>
      </w:r>
      <w:r w:rsidR="0029130B" w:rsidRPr="00834B27">
        <w:rPr>
          <w:rFonts w:ascii="Calibri" w:hAnsi="Calibri" w:cs="Calibri"/>
          <w:lang w:val="ro-RO"/>
        </w:rPr>
        <w:t>pu</w:t>
      </w:r>
      <w:r w:rsidR="00D77C4B" w:rsidRPr="00834B27">
        <w:rPr>
          <w:rFonts w:ascii="Calibri" w:hAnsi="Calibri" w:cs="Calibri"/>
          <w:lang w:val="ro-RO"/>
        </w:rPr>
        <w:t>ț</w:t>
      </w:r>
      <w:r w:rsidR="0029130B" w:rsidRPr="00834B27">
        <w:rPr>
          <w:rFonts w:ascii="Calibri" w:hAnsi="Calibri" w:cs="Calibri"/>
          <w:lang w:val="ro-RO"/>
        </w:rPr>
        <w:t>in</w:t>
      </w:r>
      <w:r w:rsidR="00C54EEA" w:rsidRPr="00834B27">
        <w:rPr>
          <w:rFonts w:ascii="Calibri" w:hAnsi="Calibri" w:cs="Calibri"/>
          <w:lang w:val="ro-RO"/>
        </w:rPr>
        <w:t xml:space="preserve"> 4 din</w:t>
      </w:r>
      <w:r w:rsidR="00C75F3E" w:rsidRPr="00834B27">
        <w:rPr>
          <w:rFonts w:ascii="Calibri" w:hAnsi="Calibri" w:cs="Calibri"/>
          <w:lang w:val="ro-RO"/>
        </w:rPr>
        <w:t>tre</w:t>
      </w:r>
      <w:r w:rsidR="00C54EEA" w:rsidRPr="00834B27">
        <w:rPr>
          <w:rFonts w:ascii="Calibri" w:hAnsi="Calibri" w:cs="Calibri"/>
          <w:lang w:val="ro-RO"/>
        </w:rPr>
        <w:t xml:space="preserve"> cele 7 </w:t>
      </w:r>
      <w:r w:rsidR="0029130B" w:rsidRPr="00834B27">
        <w:rPr>
          <w:rFonts w:ascii="Calibri" w:hAnsi="Calibri" w:cs="Calibri"/>
          <w:lang w:val="ro-RO"/>
        </w:rPr>
        <w:t>condi</w:t>
      </w:r>
      <w:r w:rsidR="00D77C4B" w:rsidRPr="00834B27">
        <w:rPr>
          <w:rFonts w:ascii="Calibri" w:hAnsi="Calibri" w:cs="Calibri"/>
          <w:lang w:val="ro-RO"/>
        </w:rPr>
        <w:t>ț</w:t>
      </w:r>
      <w:r w:rsidR="0029130B" w:rsidRPr="00834B27">
        <w:rPr>
          <w:rFonts w:ascii="Calibri" w:hAnsi="Calibri" w:cs="Calibri"/>
          <w:lang w:val="ro-RO"/>
        </w:rPr>
        <w:t>ii</w:t>
      </w:r>
      <w:r w:rsidR="00C54EEA" w:rsidRPr="00834B27">
        <w:rPr>
          <w:rFonts w:ascii="Calibri" w:hAnsi="Calibri" w:cs="Calibri"/>
          <w:lang w:val="ro-RO"/>
        </w:rPr>
        <w:t xml:space="preserve"> pentru </w:t>
      </w:r>
      <w:r w:rsidR="0029130B" w:rsidRPr="00834B27">
        <w:rPr>
          <w:rFonts w:ascii="Calibri" w:hAnsi="Calibri" w:cs="Calibri"/>
          <w:lang w:val="ro-RO"/>
        </w:rPr>
        <w:t>încadrarea</w:t>
      </w:r>
      <w:r w:rsidR="00C54EEA" w:rsidRPr="00834B27">
        <w:rPr>
          <w:rFonts w:ascii="Calibri" w:hAnsi="Calibri" w:cs="Calibri"/>
          <w:lang w:val="ro-RO"/>
        </w:rPr>
        <w:t xml:space="preserve"> </w:t>
      </w:r>
      <w:r w:rsidR="000E44F9" w:rsidRPr="00834B27">
        <w:rPr>
          <w:rFonts w:ascii="Calibri" w:hAnsi="Calibri" w:cs="Calibri"/>
          <w:lang w:val="ro-RO"/>
        </w:rPr>
        <w:t xml:space="preserve">ca venituri din </w:t>
      </w:r>
      <w:r w:rsidR="0029130B" w:rsidRPr="00834B27">
        <w:rPr>
          <w:rFonts w:ascii="Calibri" w:hAnsi="Calibri" w:cs="Calibri"/>
          <w:lang w:val="ro-RO"/>
        </w:rPr>
        <w:t>activită</w:t>
      </w:r>
      <w:r w:rsidR="00D77C4B" w:rsidRPr="00834B27">
        <w:rPr>
          <w:rFonts w:ascii="Calibri" w:hAnsi="Calibri" w:cs="Calibri"/>
          <w:lang w:val="ro-RO"/>
        </w:rPr>
        <w:t>ț</w:t>
      </w:r>
      <w:r w:rsidR="0029130B" w:rsidRPr="00834B27">
        <w:rPr>
          <w:rFonts w:ascii="Calibri" w:hAnsi="Calibri" w:cs="Calibri"/>
          <w:lang w:val="ro-RO"/>
        </w:rPr>
        <w:t>i</w:t>
      </w:r>
      <w:r w:rsidR="000E44F9" w:rsidRPr="00834B27">
        <w:rPr>
          <w:rFonts w:ascii="Calibri" w:hAnsi="Calibri" w:cs="Calibri"/>
          <w:lang w:val="ro-RO"/>
        </w:rPr>
        <w:t xml:space="preserve"> independente)</w:t>
      </w:r>
      <w:r w:rsidR="00DE242F" w:rsidRPr="00834B27">
        <w:rPr>
          <w:rFonts w:ascii="Calibri" w:hAnsi="Calibri" w:cs="Calibri"/>
          <w:lang w:val="ro-RO"/>
        </w:rPr>
        <w:t>;</w:t>
      </w:r>
    </w:p>
    <w:p w14:paraId="295A3A08" w14:textId="69C1D5AE" w:rsidR="00DE242F" w:rsidRPr="00834B27" w:rsidRDefault="0029130B" w:rsidP="00C75F3E">
      <w:pPr>
        <w:pStyle w:val="Listparagraf"/>
        <w:numPr>
          <w:ilvl w:val="0"/>
          <w:numId w:val="42"/>
        </w:numPr>
        <w:tabs>
          <w:tab w:val="left" w:pos="720"/>
          <w:tab w:val="left" w:pos="1080"/>
        </w:tabs>
        <w:spacing w:line="276" w:lineRule="auto"/>
        <w:ind w:left="1080"/>
        <w:contextualSpacing w:val="0"/>
        <w:jc w:val="both"/>
        <w:rPr>
          <w:rFonts w:ascii="Calibri" w:hAnsi="Calibri" w:cs="Calibri"/>
          <w:lang w:val="ro-RO"/>
        </w:rPr>
      </w:pPr>
      <w:r w:rsidRPr="00834B27">
        <w:rPr>
          <w:rFonts w:ascii="Calibri" w:hAnsi="Calibri" w:cs="Calibri"/>
          <w:lang w:val="ro-RO"/>
        </w:rPr>
        <w:t>de asemenea</w:t>
      </w:r>
      <w:r w:rsidR="00846445" w:rsidRPr="00834B27">
        <w:rPr>
          <w:rFonts w:ascii="Calibri" w:hAnsi="Calibri" w:cs="Calibri"/>
          <w:lang w:val="ro-RO"/>
        </w:rPr>
        <w:t xml:space="preserve">, este de </w:t>
      </w:r>
      <w:r w:rsidRPr="00834B27">
        <w:rPr>
          <w:rFonts w:ascii="Calibri" w:hAnsi="Calibri" w:cs="Calibri"/>
          <w:lang w:val="ro-RO"/>
        </w:rPr>
        <w:t>așteptat</w:t>
      </w:r>
      <w:r w:rsidR="00846445" w:rsidRPr="00834B27">
        <w:rPr>
          <w:rFonts w:ascii="Calibri" w:hAnsi="Calibri" w:cs="Calibri"/>
          <w:lang w:val="ro-RO"/>
        </w:rPr>
        <w:t xml:space="preserve"> c</w:t>
      </w:r>
      <w:r w:rsidRPr="00834B27">
        <w:rPr>
          <w:rFonts w:ascii="Calibri" w:hAnsi="Calibri" w:cs="Calibri"/>
          <w:lang w:val="ro-RO"/>
        </w:rPr>
        <w:t>ă</w:t>
      </w:r>
      <w:r w:rsidR="00846445" w:rsidRPr="00834B27">
        <w:rPr>
          <w:rFonts w:ascii="Calibri" w:hAnsi="Calibri" w:cs="Calibri"/>
          <w:lang w:val="ro-RO"/>
        </w:rPr>
        <w:t xml:space="preserve"> eliminarea </w:t>
      </w:r>
      <w:r w:rsidRPr="00834B27">
        <w:rPr>
          <w:rFonts w:ascii="Calibri" w:hAnsi="Calibri" w:cs="Calibri"/>
          <w:lang w:val="ro-RO"/>
        </w:rPr>
        <w:t>oportunită</w:t>
      </w:r>
      <w:r w:rsidR="00D77C4B" w:rsidRPr="00834B27">
        <w:rPr>
          <w:rFonts w:ascii="Calibri" w:hAnsi="Calibri" w:cs="Calibri"/>
          <w:lang w:val="ro-RO"/>
        </w:rPr>
        <w:t>ț</w:t>
      </w:r>
      <w:r w:rsidRPr="00834B27">
        <w:rPr>
          <w:rFonts w:ascii="Calibri" w:hAnsi="Calibri" w:cs="Calibri"/>
          <w:lang w:val="ro-RO"/>
        </w:rPr>
        <w:t>ilor</w:t>
      </w:r>
      <w:r w:rsidR="00846445" w:rsidRPr="00834B27">
        <w:rPr>
          <w:rFonts w:ascii="Calibri" w:hAnsi="Calibri" w:cs="Calibri"/>
          <w:lang w:val="ro-RO"/>
        </w:rPr>
        <w:t xml:space="preserve"> de arbitraj va duce la reducerea </w:t>
      </w:r>
      <w:r w:rsidRPr="00834B27">
        <w:rPr>
          <w:rFonts w:ascii="Calibri" w:hAnsi="Calibri" w:cs="Calibri"/>
          <w:lang w:val="ro-RO"/>
        </w:rPr>
        <w:t>numărului</w:t>
      </w:r>
      <w:r w:rsidR="00846445" w:rsidRPr="00834B27">
        <w:rPr>
          <w:rFonts w:ascii="Calibri" w:hAnsi="Calibri" w:cs="Calibri"/>
          <w:lang w:val="ro-RO"/>
        </w:rPr>
        <w:t xml:space="preserve"> de PFA/PFI</w:t>
      </w:r>
      <w:r w:rsidR="00D03EB5" w:rsidRPr="00834B27">
        <w:rPr>
          <w:rFonts w:ascii="Calibri" w:hAnsi="Calibri" w:cs="Calibri"/>
          <w:lang w:val="ro-RO"/>
        </w:rPr>
        <w:t xml:space="preserve"> prin transferul acestor </w:t>
      </w:r>
      <w:r w:rsidRPr="00834B27">
        <w:rPr>
          <w:rFonts w:ascii="Calibri" w:hAnsi="Calibri" w:cs="Calibri"/>
          <w:lang w:val="ro-RO"/>
        </w:rPr>
        <w:t>activită</w:t>
      </w:r>
      <w:r w:rsidR="00D77C4B" w:rsidRPr="00834B27">
        <w:rPr>
          <w:rFonts w:ascii="Calibri" w:hAnsi="Calibri" w:cs="Calibri"/>
          <w:lang w:val="ro-RO"/>
        </w:rPr>
        <w:t>ț</w:t>
      </w:r>
      <w:r w:rsidRPr="00834B27">
        <w:rPr>
          <w:rFonts w:ascii="Calibri" w:hAnsi="Calibri" w:cs="Calibri"/>
          <w:lang w:val="ro-RO"/>
        </w:rPr>
        <w:t>i</w:t>
      </w:r>
      <w:r w:rsidR="00D03EB5" w:rsidRPr="00834B27">
        <w:rPr>
          <w:rFonts w:ascii="Calibri" w:hAnsi="Calibri" w:cs="Calibri"/>
          <w:lang w:val="ro-RO"/>
        </w:rPr>
        <w:t xml:space="preserve"> </w:t>
      </w:r>
      <w:r w:rsidRPr="00834B27">
        <w:rPr>
          <w:rFonts w:ascii="Calibri" w:hAnsi="Calibri" w:cs="Calibri"/>
          <w:lang w:val="ro-RO"/>
        </w:rPr>
        <w:t>î</w:t>
      </w:r>
      <w:r w:rsidR="00D03EB5" w:rsidRPr="00834B27">
        <w:rPr>
          <w:rFonts w:ascii="Calibri" w:hAnsi="Calibri" w:cs="Calibri"/>
          <w:lang w:val="ro-RO"/>
        </w:rPr>
        <w:t>n sfera veniturilor de natur</w:t>
      </w:r>
      <w:r w:rsidRPr="00834B27">
        <w:rPr>
          <w:rFonts w:ascii="Calibri" w:hAnsi="Calibri" w:cs="Calibri"/>
          <w:lang w:val="ro-RO"/>
        </w:rPr>
        <w:t>ă</w:t>
      </w:r>
      <w:r w:rsidR="00D03EB5" w:rsidRPr="00834B27">
        <w:rPr>
          <w:rFonts w:ascii="Calibri" w:hAnsi="Calibri" w:cs="Calibri"/>
          <w:lang w:val="ro-RO"/>
        </w:rPr>
        <w:t xml:space="preserve"> de salarial</w:t>
      </w:r>
      <w:r w:rsidRPr="00834B27">
        <w:rPr>
          <w:rFonts w:ascii="Calibri" w:hAnsi="Calibri" w:cs="Calibri"/>
          <w:lang w:val="ro-RO"/>
        </w:rPr>
        <w:t>ă</w:t>
      </w:r>
      <w:r w:rsidR="00657B79" w:rsidRPr="00834B27">
        <w:rPr>
          <w:rFonts w:ascii="Calibri" w:hAnsi="Calibri" w:cs="Calibri"/>
          <w:lang w:val="ro-RO"/>
        </w:rPr>
        <w:t xml:space="preserve">, cu </w:t>
      </w:r>
      <w:r w:rsidRPr="00834B27">
        <w:rPr>
          <w:rFonts w:ascii="Calibri" w:hAnsi="Calibri" w:cs="Calibri"/>
          <w:lang w:val="ro-RO"/>
        </w:rPr>
        <w:t>consecin</w:t>
      </w:r>
      <w:r w:rsidR="00D77C4B" w:rsidRPr="00834B27">
        <w:rPr>
          <w:rFonts w:ascii="Calibri" w:hAnsi="Calibri" w:cs="Calibri"/>
          <w:lang w:val="ro-RO"/>
        </w:rPr>
        <w:t>ț</w:t>
      </w:r>
      <w:r w:rsidRPr="00834B27">
        <w:rPr>
          <w:rFonts w:ascii="Calibri" w:hAnsi="Calibri" w:cs="Calibri"/>
          <w:lang w:val="ro-RO"/>
        </w:rPr>
        <w:t>e</w:t>
      </w:r>
      <w:r w:rsidR="00657B79" w:rsidRPr="00834B27">
        <w:rPr>
          <w:rFonts w:ascii="Calibri" w:hAnsi="Calibri" w:cs="Calibri"/>
          <w:lang w:val="ro-RO"/>
        </w:rPr>
        <w:t xml:space="preserve"> pozitive </w:t>
      </w:r>
      <w:r w:rsidRPr="00834B27">
        <w:rPr>
          <w:rFonts w:ascii="Calibri" w:hAnsi="Calibri" w:cs="Calibri"/>
          <w:lang w:val="ro-RO"/>
        </w:rPr>
        <w:t>ș</w:t>
      </w:r>
      <w:r w:rsidR="00657B79" w:rsidRPr="00834B27">
        <w:rPr>
          <w:rFonts w:ascii="Calibri" w:hAnsi="Calibri" w:cs="Calibri"/>
          <w:lang w:val="ro-RO"/>
        </w:rPr>
        <w:t xml:space="preserve">i </w:t>
      </w:r>
      <w:r w:rsidRPr="00834B27">
        <w:rPr>
          <w:rFonts w:ascii="Calibri" w:hAnsi="Calibri" w:cs="Calibri"/>
          <w:lang w:val="ro-RO"/>
        </w:rPr>
        <w:t>î</w:t>
      </w:r>
      <w:r w:rsidR="00657B79" w:rsidRPr="00834B27">
        <w:rPr>
          <w:rFonts w:ascii="Calibri" w:hAnsi="Calibri" w:cs="Calibri"/>
          <w:lang w:val="ro-RO"/>
        </w:rPr>
        <w:t xml:space="preserve">n ceea ce </w:t>
      </w:r>
      <w:r w:rsidRPr="00834B27">
        <w:rPr>
          <w:rFonts w:ascii="Calibri" w:hAnsi="Calibri" w:cs="Calibri"/>
          <w:lang w:val="ro-RO"/>
        </w:rPr>
        <w:t>privește</w:t>
      </w:r>
      <w:r w:rsidR="00657B79" w:rsidRPr="00834B27">
        <w:rPr>
          <w:rFonts w:ascii="Calibri" w:hAnsi="Calibri" w:cs="Calibri"/>
          <w:lang w:val="ro-RO"/>
        </w:rPr>
        <w:t xml:space="preserve"> </w:t>
      </w:r>
      <w:r w:rsidRPr="00834B27">
        <w:rPr>
          <w:rFonts w:ascii="Calibri" w:hAnsi="Calibri" w:cs="Calibri"/>
          <w:lang w:val="ro-RO"/>
        </w:rPr>
        <w:t>numărul</w:t>
      </w:r>
      <w:r w:rsidR="00657B79" w:rsidRPr="00834B27">
        <w:rPr>
          <w:rFonts w:ascii="Calibri" w:hAnsi="Calibri" w:cs="Calibri"/>
          <w:lang w:val="ro-RO"/>
        </w:rPr>
        <w:t xml:space="preserve"> de </w:t>
      </w:r>
      <w:r w:rsidRPr="00834B27">
        <w:rPr>
          <w:rFonts w:ascii="Calibri" w:hAnsi="Calibri" w:cs="Calibri"/>
          <w:lang w:val="ro-RO"/>
        </w:rPr>
        <w:t>plătitori</w:t>
      </w:r>
      <w:r w:rsidR="00657B79" w:rsidRPr="00834B27">
        <w:rPr>
          <w:rFonts w:ascii="Calibri" w:hAnsi="Calibri" w:cs="Calibri"/>
          <w:lang w:val="ro-RO"/>
        </w:rPr>
        <w:t xml:space="preserve"> de TVA.</w:t>
      </w:r>
    </w:p>
    <w:p w14:paraId="5AC74FCE" w14:textId="47243997" w:rsidR="00B11316" w:rsidRPr="00834B27" w:rsidRDefault="0029130B" w:rsidP="00B11316">
      <w:pPr>
        <w:pStyle w:val="Listparagraf"/>
        <w:numPr>
          <w:ilvl w:val="0"/>
          <w:numId w:val="22"/>
        </w:numPr>
        <w:tabs>
          <w:tab w:val="left" w:pos="720"/>
        </w:tabs>
        <w:spacing w:line="276" w:lineRule="auto"/>
        <w:ind w:left="720"/>
        <w:contextualSpacing w:val="0"/>
        <w:jc w:val="both"/>
        <w:rPr>
          <w:rFonts w:ascii="Calibri" w:hAnsi="Calibri" w:cs="Calibri"/>
          <w:lang w:val="ro-RO"/>
        </w:rPr>
      </w:pPr>
      <w:r w:rsidRPr="00834B27">
        <w:rPr>
          <w:rFonts w:ascii="Calibri" w:hAnsi="Calibri" w:cs="Calibri"/>
          <w:lang w:val="ro-RO"/>
        </w:rPr>
        <w:t>Scăderea</w:t>
      </w:r>
      <w:r w:rsidR="00B11316" w:rsidRPr="00834B27">
        <w:rPr>
          <w:rFonts w:ascii="Calibri" w:hAnsi="Calibri" w:cs="Calibri"/>
          <w:lang w:val="ro-RO"/>
        </w:rPr>
        <w:t xml:space="preserve"> sarcinii fiscale </w:t>
      </w:r>
      <w:r w:rsidR="004764E0" w:rsidRPr="00834B27">
        <w:rPr>
          <w:rFonts w:ascii="Calibri" w:hAnsi="Calibri" w:cs="Calibri"/>
          <w:lang w:val="ro-RO"/>
        </w:rPr>
        <w:t>pentru salariile mici si foarte mici;</w:t>
      </w:r>
    </w:p>
    <w:p w14:paraId="62DCC950" w14:textId="2A6C61EF" w:rsidR="004261B8" w:rsidRPr="00834B27" w:rsidRDefault="004261B8" w:rsidP="00F21165">
      <w:pPr>
        <w:pStyle w:val="Listparagraf"/>
        <w:numPr>
          <w:ilvl w:val="0"/>
          <w:numId w:val="22"/>
        </w:numPr>
        <w:tabs>
          <w:tab w:val="left" w:pos="720"/>
        </w:tabs>
        <w:spacing w:line="276" w:lineRule="auto"/>
        <w:ind w:left="720"/>
        <w:contextualSpacing w:val="0"/>
        <w:jc w:val="both"/>
        <w:rPr>
          <w:rFonts w:ascii="Calibri" w:hAnsi="Calibri" w:cs="Calibri"/>
          <w:lang w:val="ro-RO"/>
        </w:rPr>
      </w:pPr>
      <w:r w:rsidRPr="00834B27">
        <w:rPr>
          <w:rFonts w:ascii="Calibri" w:hAnsi="Calibri" w:cs="Calibri"/>
          <w:lang w:val="ro-RO"/>
        </w:rPr>
        <w:t xml:space="preserve">Impozitarea sumelor ce nu pot fi </w:t>
      </w:r>
      <w:r w:rsidR="0029130B" w:rsidRPr="00834B27">
        <w:rPr>
          <w:rFonts w:ascii="Calibri" w:hAnsi="Calibri" w:cs="Calibri"/>
          <w:lang w:val="ro-RO"/>
        </w:rPr>
        <w:t>î</w:t>
      </w:r>
      <w:r w:rsidRPr="00834B27">
        <w:rPr>
          <w:rFonts w:ascii="Calibri" w:hAnsi="Calibri" w:cs="Calibri"/>
          <w:lang w:val="ro-RO"/>
        </w:rPr>
        <w:t xml:space="preserve">n prezent justificate </w:t>
      </w:r>
      <w:r w:rsidR="0029130B" w:rsidRPr="00834B27">
        <w:rPr>
          <w:rFonts w:ascii="Calibri" w:hAnsi="Calibri" w:cs="Calibri"/>
          <w:lang w:val="ro-RO"/>
        </w:rPr>
        <w:t>ș</w:t>
      </w:r>
      <w:r w:rsidRPr="00834B27">
        <w:rPr>
          <w:rFonts w:ascii="Calibri" w:hAnsi="Calibri" w:cs="Calibri"/>
          <w:lang w:val="ro-RO"/>
        </w:rPr>
        <w:t xml:space="preserve">i </w:t>
      </w:r>
      <w:r w:rsidR="00E633B8" w:rsidRPr="00834B27">
        <w:rPr>
          <w:rFonts w:ascii="Calibri" w:hAnsi="Calibri" w:cs="Calibri"/>
          <w:lang w:val="ro-RO"/>
        </w:rPr>
        <w:t xml:space="preserve">introducerea </w:t>
      </w:r>
      <w:r w:rsidR="00745964" w:rsidRPr="00834B27">
        <w:rPr>
          <w:rFonts w:ascii="Calibri" w:hAnsi="Calibri" w:cs="Calibri"/>
          <w:lang w:val="ro-RO"/>
        </w:rPr>
        <w:t>unor m</w:t>
      </w:r>
      <w:r w:rsidR="0029130B" w:rsidRPr="00834B27">
        <w:rPr>
          <w:rFonts w:ascii="Calibri" w:hAnsi="Calibri" w:cs="Calibri"/>
          <w:lang w:val="ro-RO"/>
        </w:rPr>
        <w:t>ă</w:t>
      </w:r>
      <w:r w:rsidR="00745964" w:rsidRPr="00834B27">
        <w:rPr>
          <w:rFonts w:ascii="Calibri" w:hAnsi="Calibri" w:cs="Calibri"/>
          <w:lang w:val="ro-RO"/>
        </w:rPr>
        <w:t xml:space="preserve">suri eficiente de descurajare pentru viitor a </w:t>
      </w:r>
      <w:r w:rsidR="0029130B" w:rsidRPr="00834B27">
        <w:rPr>
          <w:rFonts w:ascii="Calibri" w:hAnsi="Calibri" w:cs="Calibri"/>
          <w:lang w:val="ro-RO"/>
        </w:rPr>
        <w:t>nedeclarării</w:t>
      </w:r>
      <w:r w:rsidR="00745964" w:rsidRPr="00834B27">
        <w:rPr>
          <w:rFonts w:ascii="Calibri" w:hAnsi="Calibri" w:cs="Calibri"/>
          <w:lang w:val="ro-RO"/>
        </w:rPr>
        <w:t xml:space="preserve"> veniturilor;</w:t>
      </w:r>
    </w:p>
    <w:p w14:paraId="5CD889DA" w14:textId="51C8CCBE" w:rsidR="00745964" w:rsidRPr="00834B27" w:rsidRDefault="009F66F5" w:rsidP="00F21165">
      <w:pPr>
        <w:pStyle w:val="Listparagraf"/>
        <w:numPr>
          <w:ilvl w:val="0"/>
          <w:numId w:val="22"/>
        </w:numPr>
        <w:tabs>
          <w:tab w:val="left" w:pos="720"/>
        </w:tabs>
        <w:spacing w:line="276" w:lineRule="auto"/>
        <w:ind w:left="720"/>
        <w:contextualSpacing w:val="0"/>
        <w:jc w:val="both"/>
        <w:rPr>
          <w:rFonts w:ascii="Calibri" w:hAnsi="Calibri" w:cs="Calibri"/>
          <w:lang w:val="ro-RO"/>
        </w:rPr>
      </w:pPr>
      <w:r w:rsidRPr="00834B27">
        <w:rPr>
          <w:rFonts w:ascii="Calibri" w:hAnsi="Calibri" w:cs="Calibri"/>
          <w:lang w:val="ro-RO"/>
        </w:rPr>
        <w:t xml:space="preserve">Combaterea </w:t>
      </w:r>
      <w:r w:rsidR="0029130B" w:rsidRPr="00834B27">
        <w:rPr>
          <w:rFonts w:ascii="Calibri" w:hAnsi="Calibri" w:cs="Calibri"/>
          <w:lang w:val="ro-RO"/>
        </w:rPr>
        <w:t>erodării</w:t>
      </w:r>
      <w:r w:rsidRPr="00834B27">
        <w:rPr>
          <w:rFonts w:ascii="Calibri" w:hAnsi="Calibri" w:cs="Calibri"/>
          <w:lang w:val="ro-RO"/>
        </w:rPr>
        <w:t xml:space="preserve"> bazei de impunere </w:t>
      </w:r>
      <w:r w:rsidR="0029130B" w:rsidRPr="00834B27">
        <w:rPr>
          <w:rFonts w:ascii="Calibri" w:hAnsi="Calibri" w:cs="Calibri"/>
          <w:lang w:val="ro-RO"/>
        </w:rPr>
        <w:t>î</w:t>
      </w:r>
      <w:r w:rsidRPr="00834B27">
        <w:rPr>
          <w:rFonts w:ascii="Calibri" w:hAnsi="Calibri" w:cs="Calibri"/>
          <w:lang w:val="ro-RO"/>
        </w:rPr>
        <w:t>n Rom</w:t>
      </w:r>
      <w:r w:rsidR="0029130B" w:rsidRPr="00834B27">
        <w:rPr>
          <w:rFonts w:ascii="Calibri" w:hAnsi="Calibri" w:cs="Calibri"/>
          <w:lang w:val="ro-RO"/>
        </w:rPr>
        <w:t>â</w:t>
      </w:r>
      <w:r w:rsidRPr="00834B27">
        <w:rPr>
          <w:rFonts w:ascii="Calibri" w:hAnsi="Calibri" w:cs="Calibri"/>
          <w:lang w:val="ro-RO"/>
        </w:rPr>
        <w:t xml:space="preserve">nia </w:t>
      </w:r>
      <w:r w:rsidR="00EC4C55" w:rsidRPr="00834B27">
        <w:rPr>
          <w:rFonts w:ascii="Calibri" w:hAnsi="Calibri" w:cs="Calibri"/>
          <w:lang w:val="ro-RO"/>
        </w:rPr>
        <w:t xml:space="preserve">prin </w:t>
      </w:r>
      <w:r w:rsidR="0029130B" w:rsidRPr="00834B27">
        <w:rPr>
          <w:rFonts w:ascii="Calibri" w:hAnsi="Calibri" w:cs="Calibri"/>
          <w:lang w:val="ro-RO"/>
        </w:rPr>
        <w:t>acumulări</w:t>
      </w:r>
      <w:r w:rsidR="00A77710" w:rsidRPr="00834B27">
        <w:rPr>
          <w:rFonts w:ascii="Calibri" w:hAnsi="Calibri" w:cs="Calibri"/>
          <w:lang w:val="ro-RO"/>
        </w:rPr>
        <w:t xml:space="preserve"> de sume neimpozitate</w:t>
      </w:r>
      <w:r w:rsidR="007901F3" w:rsidRPr="00834B27">
        <w:rPr>
          <w:rFonts w:ascii="Calibri" w:hAnsi="Calibri" w:cs="Calibri"/>
          <w:lang w:val="ro-RO"/>
        </w:rPr>
        <w:t xml:space="preserve"> </w:t>
      </w:r>
      <w:r w:rsidR="0029130B" w:rsidRPr="00834B27">
        <w:rPr>
          <w:rFonts w:ascii="Calibri" w:hAnsi="Calibri" w:cs="Calibri"/>
          <w:lang w:val="ro-RO"/>
        </w:rPr>
        <w:t>aici,</w:t>
      </w:r>
      <w:r w:rsidR="007901F3" w:rsidRPr="00834B27">
        <w:rPr>
          <w:rFonts w:ascii="Calibri" w:hAnsi="Calibri" w:cs="Calibri"/>
          <w:lang w:val="ro-RO"/>
        </w:rPr>
        <w:t xml:space="preserve"> prin folosirea de </w:t>
      </w:r>
      <w:r w:rsidR="00EC4C55" w:rsidRPr="00834B27">
        <w:rPr>
          <w:rFonts w:ascii="Calibri" w:hAnsi="Calibri" w:cs="Calibri"/>
          <w:lang w:val="ro-RO"/>
        </w:rPr>
        <w:t xml:space="preserve">companii aflate </w:t>
      </w:r>
      <w:r w:rsidR="0029130B" w:rsidRPr="00834B27">
        <w:rPr>
          <w:rFonts w:ascii="Calibri" w:hAnsi="Calibri" w:cs="Calibri"/>
          <w:lang w:val="ro-RO"/>
        </w:rPr>
        <w:t>î</w:t>
      </w:r>
      <w:r w:rsidR="00EC4C55" w:rsidRPr="00834B27">
        <w:rPr>
          <w:rFonts w:ascii="Calibri" w:hAnsi="Calibri" w:cs="Calibri"/>
          <w:lang w:val="ro-RO"/>
        </w:rPr>
        <w:t xml:space="preserve">n </w:t>
      </w:r>
      <w:r w:rsidR="0029130B" w:rsidRPr="00834B27">
        <w:rPr>
          <w:rFonts w:ascii="Calibri" w:hAnsi="Calibri" w:cs="Calibri"/>
          <w:lang w:val="ro-RO"/>
        </w:rPr>
        <w:t>jurisdic</w:t>
      </w:r>
      <w:r w:rsidR="00D77C4B" w:rsidRPr="00834B27">
        <w:rPr>
          <w:rFonts w:ascii="Calibri" w:hAnsi="Calibri" w:cs="Calibri"/>
          <w:lang w:val="ro-RO"/>
        </w:rPr>
        <w:t>ț</w:t>
      </w:r>
      <w:r w:rsidR="0029130B" w:rsidRPr="00834B27">
        <w:rPr>
          <w:rFonts w:ascii="Calibri" w:hAnsi="Calibri" w:cs="Calibri"/>
          <w:lang w:val="ro-RO"/>
        </w:rPr>
        <w:t>ii</w:t>
      </w:r>
      <w:r w:rsidR="00EC4C55" w:rsidRPr="00834B27">
        <w:rPr>
          <w:rFonts w:ascii="Calibri" w:hAnsi="Calibri" w:cs="Calibri"/>
          <w:lang w:val="ro-RO"/>
        </w:rPr>
        <w:t xml:space="preserve"> </w:t>
      </w:r>
      <w:r w:rsidR="0029130B" w:rsidRPr="00834B27">
        <w:rPr>
          <w:rFonts w:ascii="Calibri" w:hAnsi="Calibri" w:cs="Calibri"/>
          <w:lang w:val="ro-RO"/>
        </w:rPr>
        <w:t>străine</w:t>
      </w:r>
      <w:r w:rsidR="00EC4C55" w:rsidRPr="00834B27">
        <w:rPr>
          <w:rFonts w:ascii="Calibri" w:hAnsi="Calibri" w:cs="Calibri"/>
          <w:lang w:val="ro-RO"/>
        </w:rPr>
        <w:t xml:space="preserve"> slab fiscalizate (paradisuri fiscale)</w:t>
      </w:r>
      <w:r w:rsidR="008B1A46" w:rsidRPr="00834B27">
        <w:rPr>
          <w:rFonts w:ascii="Calibri" w:hAnsi="Calibri" w:cs="Calibri"/>
          <w:lang w:val="ro-RO"/>
        </w:rPr>
        <w:t>;</w:t>
      </w:r>
    </w:p>
    <w:p w14:paraId="37DF30CE" w14:textId="1312424C" w:rsidR="008B1A46" w:rsidRPr="00834B27" w:rsidRDefault="008B1A46" w:rsidP="00F21165">
      <w:pPr>
        <w:pStyle w:val="Listparagraf"/>
        <w:numPr>
          <w:ilvl w:val="0"/>
          <w:numId w:val="22"/>
        </w:numPr>
        <w:tabs>
          <w:tab w:val="left" w:pos="720"/>
        </w:tabs>
        <w:spacing w:line="276" w:lineRule="auto"/>
        <w:ind w:left="720"/>
        <w:contextualSpacing w:val="0"/>
        <w:jc w:val="both"/>
        <w:rPr>
          <w:rFonts w:ascii="Calibri" w:hAnsi="Calibri" w:cs="Calibri"/>
          <w:lang w:val="ro-RO"/>
        </w:rPr>
      </w:pPr>
      <w:r w:rsidRPr="00834B27">
        <w:rPr>
          <w:rFonts w:ascii="Calibri" w:hAnsi="Calibri" w:cs="Calibri"/>
          <w:lang w:val="ro-RO"/>
        </w:rPr>
        <w:lastRenderedPageBreak/>
        <w:t xml:space="preserve">Combaterea </w:t>
      </w:r>
      <w:r w:rsidR="00E831DC" w:rsidRPr="00834B27">
        <w:rPr>
          <w:rFonts w:ascii="Calibri" w:hAnsi="Calibri" w:cs="Calibri"/>
          <w:lang w:val="ro-RO"/>
        </w:rPr>
        <w:t>fenomenului de mutare a reziden</w:t>
      </w:r>
      <w:r w:rsidR="00D77C4B" w:rsidRPr="00834B27">
        <w:rPr>
          <w:rFonts w:ascii="Calibri" w:hAnsi="Calibri" w:cs="Calibri"/>
          <w:lang w:val="ro-RO"/>
        </w:rPr>
        <w:t>ț</w:t>
      </w:r>
      <w:r w:rsidR="00E831DC" w:rsidRPr="00834B27">
        <w:rPr>
          <w:rFonts w:ascii="Calibri" w:hAnsi="Calibri" w:cs="Calibri"/>
          <w:lang w:val="ro-RO"/>
        </w:rPr>
        <w:t>ei fiscale din Rom</w:t>
      </w:r>
      <w:r w:rsidR="0029130B" w:rsidRPr="00834B27">
        <w:rPr>
          <w:rFonts w:ascii="Calibri" w:hAnsi="Calibri" w:cs="Calibri"/>
          <w:lang w:val="ro-RO"/>
        </w:rPr>
        <w:t>â</w:t>
      </w:r>
      <w:r w:rsidR="00E831DC" w:rsidRPr="00834B27">
        <w:rPr>
          <w:rFonts w:ascii="Calibri" w:hAnsi="Calibri" w:cs="Calibri"/>
          <w:lang w:val="ro-RO"/>
        </w:rPr>
        <w:t>nia</w:t>
      </w:r>
      <w:r w:rsidR="00AB701F" w:rsidRPr="00834B27">
        <w:rPr>
          <w:rFonts w:ascii="Calibri" w:hAnsi="Calibri" w:cs="Calibri"/>
          <w:lang w:val="ro-RO"/>
        </w:rPr>
        <w:t>,</w:t>
      </w:r>
      <w:r w:rsidR="00E831DC" w:rsidRPr="00834B27">
        <w:rPr>
          <w:rFonts w:ascii="Calibri" w:hAnsi="Calibri" w:cs="Calibri"/>
          <w:lang w:val="ro-RO"/>
        </w:rPr>
        <w:t xml:space="preserve"> </w:t>
      </w:r>
      <w:r w:rsidR="00AB701F" w:rsidRPr="00834B27">
        <w:rPr>
          <w:rFonts w:ascii="Calibri" w:hAnsi="Calibri" w:cs="Calibri"/>
          <w:lang w:val="ro-RO"/>
        </w:rPr>
        <w:t>prin</w:t>
      </w:r>
      <w:r w:rsidR="00BF0894" w:rsidRPr="00834B27">
        <w:rPr>
          <w:rFonts w:ascii="Calibri" w:hAnsi="Calibri" w:cs="Calibri"/>
          <w:lang w:val="ro-RO"/>
        </w:rPr>
        <w:t xml:space="preserve"> introducerea </w:t>
      </w:r>
      <w:r w:rsidR="00F01B2D" w:rsidRPr="00834B27">
        <w:rPr>
          <w:rFonts w:ascii="Calibri" w:hAnsi="Calibri" w:cs="Calibri"/>
          <w:lang w:val="ro-RO"/>
        </w:rPr>
        <w:t>„</w:t>
      </w:r>
      <w:r w:rsidR="00F01B2D" w:rsidRPr="00834B27">
        <w:rPr>
          <w:rFonts w:ascii="Calibri" w:hAnsi="Calibri" w:cs="Calibri"/>
          <w:i/>
          <w:iCs/>
          <w:lang w:val="ro-RO"/>
        </w:rPr>
        <w:t>ex</w:t>
      </w:r>
      <w:r w:rsidR="000906D5">
        <w:rPr>
          <w:rFonts w:ascii="Calibri" w:hAnsi="Calibri" w:cs="Calibri"/>
          <w:i/>
          <w:iCs/>
          <w:lang w:val="ro-RO"/>
        </w:rPr>
        <w:t>it</w:t>
      </w:r>
      <w:r w:rsidR="00F01B2D" w:rsidRPr="00834B27">
        <w:rPr>
          <w:rFonts w:ascii="Calibri" w:hAnsi="Calibri" w:cs="Calibri"/>
          <w:i/>
          <w:iCs/>
          <w:lang w:val="ro-RO"/>
        </w:rPr>
        <w:t xml:space="preserve"> tax</w:t>
      </w:r>
      <w:r w:rsidR="00F01B2D" w:rsidRPr="00834B27">
        <w:rPr>
          <w:rFonts w:ascii="Calibri" w:hAnsi="Calibri" w:cs="Calibri"/>
          <w:lang w:val="ro-RO"/>
        </w:rPr>
        <w:t>”</w:t>
      </w:r>
      <w:r w:rsidR="0035391D" w:rsidRPr="00834B27">
        <w:rPr>
          <w:rFonts w:ascii="Calibri" w:hAnsi="Calibri" w:cs="Calibri"/>
          <w:lang w:val="ro-RO"/>
        </w:rPr>
        <w:t xml:space="preserve">, fenomen amplificat </w:t>
      </w:r>
      <w:r w:rsidR="0029130B" w:rsidRPr="00834B27">
        <w:rPr>
          <w:rFonts w:ascii="Calibri" w:hAnsi="Calibri" w:cs="Calibri"/>
          <w:lang w:val="ro-RO"/>
        </w:rPr>
        <w:t>î</w:t>
      </w:r>
      <w:r w:rsidR="0035391D" w:rsidRPr="00834B27">
        <w:rPr>
          <w:rFonts w:ascii="Calibri" w:hAnsi="Calibri" w:cs="Calibri"/>
          <w:lang w:val="ro-RO"/>
        </w:rPr>
        <w:t>n ultima perioad</w:t>
      </w:r>
      <w:r w:rsidR="0029130B" w:rsidRPr="00834B27">
        <w:rPr>
          <w:rFonts w:ascii="Calibri" w:hAnsi="Calibri" w:cs="Calibri"/>
          <w:lang w:val="ro-RO"/>
        </w:rPr>
        <w:t>ă</w:t>
      </w:r>
      <w:r w:rsidR="0035391D" w:rsidRPr="00834B27">
        <w:rPr>
          <w:rFonts w:ascii="Calibri" w:hAnsi="Calibri" w:cs="Calibri"/>
          <w:lang w:val="ro-RO"/>
        </w:rPr>
        <w:t xml:space="preserve"> </w:t>
      </w:r>
      <w:r w:rsidR="003D2DD9" w:rsidRPr="00834B27">
        <w:rPr>
          <w:rFonts w:ascii="Calibri" w:hAnsi="Calibri" w:cs="Calibri"/>
          <w:lang w:val="ro-RO"/>
        </w:rPr>
        <w:t xml:space="preserve">și </w:t>
      </w:r>
      <w:r w:rsidR="0035391D" w:rsidRPr="00834B27">
        <w:rPr>
          <w:rFonts w:ascii="Calibri" w:hAnsi="Calibri" w:cs="Calibri"/>
          <w:lang w:val="ro-RO"/>
        </w:rPr>
        <w:t>de majorarea impozitului pe dividende la 16%.</w:t>
      </w:r>
    </w:p>
    <w:p w14:paraId="038FF435" w14:textId="51310E62" w:rsidR="00DE7D3E" w:rsidRPr="00834B27" w:rsidRDefault="00854DB3" w:rsidP="00A41B4B">
      <w:pPr>
        <w:rPr>
          <w:rFonts w:ascii="Calibri" w:hAnsi="Calibri" w:cs="Calibri"/>
          <w:b/>
          <w:bCs/>
          <w:lang w:val="ro-RO"/>
        </w:rPr>
      </w:pPr>
      <w:r w:rsidRPr="00834B27">
        <w:rPr>
          <w:rFonts w:ascii="Calibri" w:hAnsi="Calibri" w:cs="Calibri"/>
          <w:lang w:val="ro-RO"/>
        </w:rPr>
        <w:br w:type="page"/>
      </w:r>
      <w:r w:rsidR="00226F25" w:rsidRPr="00834B27">
        <w:rPr>
          <w:rFonts w:ascii="Calibri" w:hAnsi="Calibri" w:cs="Calibri"/>
          <w:b/>
          <w:bCs/>
          <w:lang w:val="ro-RO"/>
        </w:rPr>
        <w:lastRenderedPageBreak/>
        <w:t>Scenarii de reform</w:t>
      </w:r>
      <w:r w:rsidR="0029130B" w:rsidRPr="00834B27">
        <w:rPr>
          <w:rFonts w:ascii="Calibri" w:hAnsi="Calibri" w:cs="Calibri"/>
          <w:b/>
          <w:bCs/>
          <w:lang w:val="ro-RO"/>
        </w:rPr>
        <w:t>ă</w:t>
      </w:r>
    </w:p>
    <w:p w14:paraId="11B267B8" w14:textId="51510503" w:rsidR="00616A9E" w:rsidRPr="00834B27" w:rsidRDefault="0029130B" w:rsidP="00967BC7">
      <w:pPr>
        <w:pStyle w:val="Listparagraf"/>
        <w:keepNext/>
        <w:numPr>
          <w:ilvl w:val="2"/>
          <w:numId w:val="45"/>
        </w:numPr>
        <w:tabs>
          <w:tab w:val="left" w:pos="720"/>
        </w:tabs>
        <w:spacing w:line="276" w:lineRule="auto"/>
        <w:ind w:left="720" w:hanging="720"/>
        <w:jc w:val="both"/>
        <w:rPr>
          <w:rFonts w:ascii="Calibri" w:hAnsi="Calibri" w:cs="Calibri"/>
          <w:b/>
          <w:bCs/>
          <w:lang w:val="ro-RO"/>
        </w:rPr>
      </w:pPr>
      <w:r w:rsidRPr="00834B27">
        <w:rPr>
          <w:rFonts w:ascii="Calibri" w:hAnsi="Calibri" w:cs="Calibri"/>
          <w:b/>
          <w:bCs/>
          <w:lang w:val="ro-RO"/>
        </w:rPr>
        <w:t>Considera</w:t>
      </w:r>
      <w:r w:rsidR="00D77C4B" w:rsidRPr="00834B27">
        <w:rPr>
          <w:rFonts w:ascii="Calibri" w:hAnsi="Calibri" w:cs="Calibri"/>
          <w:b/>
          <w:bCs/>
          <w:lang w:val="ro-RO"/>
        </w:rPr>
        <w:t>ț</w:t>
      </w:r>
      <w:r w:rsidRPr="00834B27">
        <w:rPr>
          <w:rFonts w:ascii="Calibri" w:hAnsi="Calibri" w:cs="Calibri"/>
          <w:b/>
          <w:bCs/>
          <w:lang w:val="ro-RO"/>
        </w:rPr>
        <w:t>ii</w:t>
      </w:r>
      <w:r w:rsidR="00616A9E" w:rsidRPr="00834B27">
        <w:rPr>
          <w:rFonts w:ascii="Calibri" w:hAnsi="Calibri" w:cs="Calibri"/>
          <w:b/>
          <w:bCs/>
          <w:lang w:val="ro-RO"/>
        </w:rPr>
        <w:t xml:space="preserve"> preliminare</w:t>
      </w:r>
    </w:p>
    <w:p w14:paraId="035431FD" w14:textId="1730C1B8" w:rsidR="00AE417C" w:rsidRPr="00834B27" w:rsidRDefault="0057642C" w:rsidP="00967BC7">
      <w:pPr>
        <w:pStyle w:val="Listparagraf"/>
        <w:keepNext/>
        <w:numPr>
          <w:ilvl w:val="0"/>
          <w:numId w:val="46"/>
        </w:numPr>
        <w:tabs>
          <w:tab w:val="left" w:pos="720"/>
        </w:tabs>
        <w:spacing w:line="276" w:lineRule="auto"/>
        <w:ind w:hanging="720"/>
        <w:jc w:val="both"/>
        <w:rPr>
          <w:rFonts w:ascii="Calibri" w:hAnsi="Calibri" w:cs="Calibri"/>
          <w:b/>
          <w:bCs/>
          <w:lang w:val="ro-RO"/>
        </w:rPr>
      </w:pPr>
      <w:r w:rsidRPr="00834B27">
        <w:rPr>
          <w:rFonts w:ascii="Calibri" w:hAnsi="Calibri" w:cs="Calibri"/>
          <w:b/>
          <w:bCs/>
          <w:lang w:val="ro-RO"/>
        </w:rPr>
        <w:t>Cota unic</w:t>
      </w:r>
      <w:r w:rsidR="00854DB3" w:rsidRPr="00834B27">
        <w:rPr>
          <w:rFonts w:ascii="Calibri" w:hAnsi="Calibri" w:cs="Calibri"/>
          <w:b/>
          <w:bCs/>
          <w:lang w:val="ro-RO"/>
        </w:rPr>
        <w:t>ă</w:t>
      </w:r>
      <w:r w:rsidRPr="00834B27">
        <w:rPr>
          <w:rFonts w:ascii="Calibri" w:hAnsi="Calibri" w:cs="Calibri"/>
          <w:b/>
          <w:bCs/>
          <w:lang w:val="ro-RO"/>
        </w:rPr>
        <w:t xml:space="preserve"> </w:t>
      </w:r>
      <w:r w:rsidR="00893E27" w:rsidRPr="00834B27">
        <w:rPr>
          <w:rFonts w:ascii="Calibri" w:hAnsi="Calibri" w:cs="Calibri"/>
          <w:b/>
          <w:bCs/>
          <w:lang w:val="ro-RO"/>
        </w:rPr>
        <w:t>vs</w:t>
      </w:r>
      <w:r w:rsidR="0029130B" w:rsidRPr="00834B27">
        <w:rPr>
          <w:rFonts w:ascii="Calibri" w:hAnsi="Calibri" w:cs="Calibri"/>
          <w:b/>
          <w:bCs/>
          <w:lang w:val="ro-RO"/>
        </w:rPr>
        <w:t>.</w:t>
      </w:r>
      <w:r w:rsidR="00893E27" w:rsidRPr="00834B27">
        <w:rPr>
          <w:rFonts w:ascii="Calibri" w:hAnsi="Calibri" w:cs="Calibri"/>
          <w:b/>
          <w:bCs/>
          <w:lang w:val="ro-RO"/>
        </w:rPr>
        <w:t xml:space="preserve"> cote progresive</w:t>
      </w:r>
    </w:p>
    <w:p w14:paraId="63DE9136" w14:textId="5930E621" w:rsidR="00893E27" w:rsidRPr="00834B27" w:rsidRDefault="00734233" w:rsidP="0029130B">
      <w:pPr>
        <w:keepNext/>
        <w:tabs>
          <w:tab w:val="left" w:pos="720"/>
        </w:tabs>
        <w:spacing w:line="276" w:lineRule="auto"/>
        <w:jc w:val="both"/>
        <w:rPr>
          <w:rFonts w:ascii="Calibri" w:hAnsi="Calibri" w:cs="Calibri"/>
          <w:lang w:val="ro-RO"/>
        </w:rPr>
      </w:pPr>
      <w:r w:rsidRPr="00834B27">
        <w:rPr>
          <w:rFonts w:ascii="Calibri" w:hAnsi="Calibri" w:cs="Calibri"/>
          <w:lang w:val="ro-RO"/>
        </w:rPr>
        <w:t>Consider</w:t>
      </w:r>
      <w:r w:rsidR="0029130B" w:rsidRPr="00834B27">
        <w:rPr>
          <w:rFonts w:ascii="Calibri" w:hAnsi="Calibri" w:cs="Calibri"/>
          <w:lang w:val="ro-RO"/>
        </w:rPr>
        <w:t>ă</w:t>
      </w:r>
      <w:r w:rsidRPr="00834B27">
        <w:rPr>
          <w:rFonts w:ascii="Calibri" w:hAnsi="Calibri" w:cs="Calibri"/>
          <w:lang w:val="ro-RO"/>
        </w:rPr>
        <w:t>m c</w:t>
      </w:r>
      <w:r w:rsidR="0029130B" w:rsidRPr="00834B27">
        <w:rPr>
          <w:rFonts w:ascii="Calibri" w:hAnsi="Calibri" w:cs="Calibri"/>
          <w:lang w:val="ro-RO"/>
        </w:rPr>
        <w:t>ă</w:t>
      </w:r>
      <w:r w:rsidRPr="00834B27">
        <w:rPr>
          <w:rFonts w:ascii="Calibri" w:hAnsi="Calibri" w:cs="Calibri"/>
          <w:lang w:val="ro-RO"/>
        </w:rPr>
        <w:t xml:space="preserve"> este necesar s</w:t>
      </w:r>
      <w:r w:rsidR="0029130B" w:rsidRPr="00834B27">
        <w:rPr>
          <w:rFonts w:ascii="Calibri" w:hAnsi="Calibri" w:cs="Calibri"/>
          <w:lang w:val="ro-RO"/>
        </w:rPr>
        <w:t>ă</w:t>
      </w:r>
      <w:r w:rsidRPr="00834B27">
        <w:rPr>
          <w:rFonts w:ascii="Calibri" w:hAnsi="Calibri" w:cs="Calibri"/>
          <w:lang w:val="ro-RO"/>
        </w:rPr>
        <w:t xml:space="preserve"> explic</w:t>
      </w:r>
      <w:r w:rsidR="00C75F3E" w:rsidRPr="00834B27">
        <w:rPr>
          <w:rFonts w:ascii="Calibri" w:hAnsi="Calibri" w:cs="Calibri"/>
          <w:lang w:val="ro-RO"/>
        </w:rPr>
        <w:t>ă</w:t>
      </w:r>
      <w:r w:rsidRPr="00834B27">
        <w:rPr>
          <w:rFonts w:ascii="Calibri" w:hAnsi="Calibri" w:cs="Calibri"/>
          <w:lang w:val="ro-RO"/>
        </w:rPr>
        <w:t xml:space="preserve">m de ce </w:t>
      </w:r>
      <w:r w:rsidR="0029130B" w:rsidRPr="00834B27">
        <w:rPr>
          <w:rFonts w:ascii="Calibri" w:hAnsi="Calibri" w:cs="Calibri"/>
          <w:lang w:val="ro-RO"/>
        </w:rPr>
        <w:t>sus</w:t>
      </w:r>
      <w:r w:rsidR="00D77C4B" w:rsidRPr="00834B27">
        <w:rPr>
          <w:rFonts w:ascii="Calibri" w:hAnsi="Calibri" w:cs="Calibri"/>
          <w:lang w:val="ro-RO"/>
        </w:rPr>
        <w:t>ț</w:t>
      </w:r>
      <w:r w:rsidR="0029130B" w:rsidRPr="00834B27">
        <w:rPr>
          <w:rFonts w:ascii="Calibri" w:hAnsi="Calibri" w:cs="Calibri"/>
          <w:lang w:val="ro-RO"/>
        </w:rPr>
        <w:t>inem</w:t>
      </w:r>
      <w:r w:rsidRPr="00834B27">
        <w:rPr>
          <w:rFonts w:ascii="Calibri" w:hAnsi="Calibri" w:cs="Calibri"/>
          <w:lang w:val="ro-RO"/>
        </w:rPr>
        <w:t xml:space="preserve"> </w:t>
      </w:r>
      <w:r w:rsidR="0029130B" w:rsidRPr="00834B27">
        <w:rPr>
          <w:rFonts w:ascii="Calibri" w:hAnsi="Calibri" w:cs="Calibri"/>
          <w:lang w:val="ro-RO"/>
        </w:rPr>
        <w:t>î</w:t>
      </w:r>
      <w:r w:rsidR="00B220EF" w:rsidRPr="00834B27">
        <w:rPr>
          <w:rFonts w:ascii="Calibri" w:hAnsi="Calibri" w:cs="Calibri"/>
          <w:lang w:val="ro-RO"/>
        </w:rPr>
        <w:t xml:space="preserve">n cele ce </w:t>
      </w:r>
      <w:r w:rsidR="0029130B" w:rsidRPr="00834B27">
        <w:rPr>
          <w:rFonts w:ascii="Calibri" w:hAnsi="Calibri" w:cs="Calibri"/>
          <w:lang w:val="ro-RO"/>
        </w:rPr>
        <w:t>urmează</w:t>
      </w:r>
      <w:r w:rsidR="00B220EF" w:rsidRPr="00834B27">
        <w:rPr>
          <w:rFonts w:ascii="Calibri" w:hAnsi="Calibri" w:cs="Calibri"/>
          <w:lang w:val="ro-RO"/>
        </w:rPr>
        <w:t xml:space="preserve"> un IV bazat pe cota unic</w:t>
      </w:r>
      <w:r w:rsidR="0029130B" w:rsidRPr="00834B27">
        <w:rPr>
          <w:rFonts w:ascii="Calibri" w:hAnsi="Calibri" w:cs="Calibri"/>
          <w:lang w:val="ro-RO"/>
        </w:rPr>
        <w:t>ă</w:t>
      </w:r>
      <w:r w:rsidR="0009072A" w:rsidRPr="00834B27">
        <w:rPr>
          <w:rFonts w:ascii="Calibri" w:hAnsi="Calibri" w:cs="Calibri"/>
          <w:lang w:val="ro-RO"/>
        </w:rPr>
        <w:t xml:space="preserve"> </w:t>
      </w:r>
      <w:r w:rsidR="0029130B" w:rsidRPr="00834B27">
        <w:rPr>
          <w:rFonts w:ascii="Calibri" w:hAnsi="Calibri" w:cs="Calibri"/>
          <w:lang w:val="ro-RO"/>
        </w:rPr>
        <w:t>ș</w:t>
      </w:r>
      <w:r w:rsidR="0009072A" w:rsidRPr="00834B27">
        <w:rPr>
          <w:rFonts w:ascii="Calibri" w:hAnsi="Calibri" w:cs="Calibri"/>
          <w:lang w:val="ro-RO"/>
        </w:rPr>
        <w:t>i de ce consider</w:t>
      </w:r>
      <w:r w:rsidR="0029130B" w:rsidRPr="00834B27">
        <w:rPr>
          <w:rFonts w:ascii="Calibri" w:hAnsi="Calibri" w:cs="Calibri"/>
          <w:lang w:val="ro-RO"/>
        </w:rPr>
        <w:t>ă</w:t>
      </w:r>
      <w:r w:rsidR="0009072A" w:rsidRPr="00834B27">
        <w:rPr>
          <w:rFonts w:ascii="Calibri" w:hAnsi="Calibri" w:cs="Calibri"/>
          <w:lang w:val="ro-RO"/>
        </w:rPr>
        <w:t>m c</w:t>
      </w:r>
      <w:r w:rsidR="0029130B" w:rsidRPr="00834B27">
        <w:rPr>
          <w:rFonts w:ascii="Calibri" w:hAnsi="Calibri" w:cs="Calibri"/>
          <w:lang w:val="ro-RO"/>
        </w:rPr>
        <w:t>ă</w:t>
      </w:r>
      <w:r w:rsidR="0009072A" w:rsidRPr="00834B27">
        <w:rPr>
          <w:rFonts w:ascii="Calibri" w:hAnsi="Calibri" w:cs="Calibri"/>
          <w:lang w:val="ro-RO"/>
        </w:rPr>
        <w:t xml:space="preserve"> </w:t>
      </w:r>
      <w:r w:rsidR="0029130B" w:rsidRPr="00834B27">
        <w:rPr>
          <w:rFonts w:ascii="Calibri" w:hAnsi="Calibri" w:cs="Calibri"/>
          <w:lang w:val="ro-RO"/>
        </w:rPr>
        <w:t>revenirea</w:t>
      </w:r>
      <w:r w:rsidR="00136880" w:rsidRPr="00834B27">
        <w:rPr>
          <w:rFonts w:ascii="Calibri" w:hAnsi="Calibri" w:cs="Calibri"/>
          <w:lang w:val="ro-RO"/>
        </w:rPr>
        <w:t xml:space="preserve"> la un sistem de impunere bazat pe cote progresive</w:t>
      </w:r>
      <w:r w:rsidR="007724AE" w:rsidRPr="00834B27">
        <w:rPr>
          <w:rFonts w:ascii="Calibri" w:hAnsi="Calibri" w:cs="Calibri"/>
          <w:lang w:val="ro-RO"/>
        </w:rPr>
        <w:t xml:space="preserve"> – idee </w:t>
      </w:r>
      <w:r w:rsidR="0029130B" w:rsidRPr="00834B27">
        <w:rPr>
          <w:rFonts w:ascii="Calibri" w:hAnsi="Calibri" w:cs="Calibri"/>
          <w:lang w:val="ro-RO"/>
        </w:rPr>
        <w:t>sus</w:t>
      </w:r>
      <w:r w:rsidR="00D77C4B" w:rsidRPr="00834B27">
        <w:rPr>
          <w:rFonts w:ascii="Calibri" w:hAnsi="Calibri" w:cs="Calibri"/>
          <w:lang w:val="ro-RO"/>
        </w:rPr>
        <w:t>ț</w:t>
      </w:r>
      <w:r w:rsidR="0029130B" w:rsidRPr="00834B27">
        <w:rPr>
          <w:rFonts w:ascii="Calibri" w:hAnsi="Calibri" w:cs="Calibri"/>
          <w:lang w:val="ro-RO"/>
        </w:rPr>
        <w:t>inută</w:t>
      </w:r>
      <w:r w:rsidR="007724AE" w:rsidRPr="00834B27">
        <w:rPr>
          <w:rFonts w:ascii="Calibri" w:hAnsi="Calibri" w:cs="Calibri"/>
          <w:lang w:val="ro-RO"/>
        </w:rPr>
        <w:t xml:space="preserve"> inclusiv de </w:t>
      </w:r>
      <w:r w:rsidR="00861C33" w:rsidRPr="00834B27">
        <w:rPr>
          <w:rFonts w:ascii="Calibri" w:hAnsi="Calibri" w:cs="Calibri"/>
          <w:lang w:val="ro-RO"/>
        </w:rPr>
        <w:t xml:space="preserve">FMI </w:t>
      </w:r>
      <w:r w:rsidR="0029130B" w:rsidRPr="00834B27">
        <w:rPr>
          <w:rFonts w:ascii="Calibri" w:hAnsi="Calibri" w:cs="Calibri"/>
          <w:lang w:val="ro-RO"/>
        </w:rPr>
        <w:t>ș</w:t>
      </w:r>
      <w:r w:rsidR="00861C33" w:rsidRPr="00834B27">
        <w:rPr>
          <w:rFonts w:ascii="Calibri" w:hAnsi="Calibri" w:cs="Calibri"/>
          <w:lang w:val="ro-RO"/>
        </w:rPr>
        <w:t>i Banca Mondial</w:t>
      </w:r>
      <w:r w:rsidR="0029130B" w:rsidRPr="00834B27">
        <w:rPr>
          <w:rFonts w:ascii="Calibri" w:hAnsi="Calibri" w:cs="Calibri"/>
          <w:lang w:val="ro-RO"/>
        </w:rPr>
        <w:t>ă</w:t>
      </w:r>
      <w:r w:rsidR="00861C33" w:rsidRPr="00834B27">
        <w:rPr>
          <w:rFonts w:ascii="Calibri" w:hAnsi="Calibri" w:cs="Calibri"/>
          <w:lang w:val="ro-RO"/>
        </w:rPr>
        <w:t xml:space="preserve"> </w:t>
      </w:r>
      <w:r w:rsidR="0029130B" w:rsidRPr="00834B27">
        <w:rPr>
          <w:rFonts w:ascii="Calibri" w:hAnsi="Calibri" w:cs="Calibri"/>
          <w:lang w:val="ro-RO"/>
        </w:rPr>
        <w:t>î</w:t>
      </w:r>
      <w:r w:rsidR="00861C33" w:rsidRPr="00834B27">
        <w:rPr>
          <w:rFonts w:ascii="Calibri" w:hAnsi="Calibri" w:cs="Calibri"/>
          <w:lang w:val="ro-RO"/>
        </w:rPr>
        <w:t xml:space="preserve">n rapoartele publicate </w:t>
      </w:r>
      <w:r w:rsidR="0029130B" w:rsidRPr="00834B27">
        <w:rPr>
          <w:rFonts w:ascii="Calibri" w:hAnsi="Calibri" w:cs="Calibri"/>
          <w:lang w:val="ro-RO"/>
        </w:rPr>
        <w:t>î</w:t>
      </w:r>
      <w:r w:rsidR="00861C33" w:rsidRPr="00834B27">
        <w:rPr>
          <w:rFonts w:ascii="Calibri" w:hAnsi="Calibri" w:cs="Calibri"/>
          <w:lang w:val="ro-RO"/>
        </w:rPr>
        <w:t>n 2022</w:t>
      </w:r>
      <w:r w:rsidR="001801AA" w:rsidRPr="00834B27">
        <w:rPr>
          <w:rFonts w:ascii="Calibri" w:hAnsi="Calibri" w:cs="Calibri"/>
          <w:lang w:val="ro-RO"/>
        </w:rPr>
        <w:t>, respectiv 2023</w:t>
      </w:r>
      <w:r w:rsidR="00D0488C" w:rsidRPr="00834B27">
        <w:rPr>
          <w:rFonts w:ascii="Calibri" w:hAnsi="Calibri" w:cs="Calibri"/>
          <w:lang w:val="ro-RO"/>
        </w:rPr>
        <w:t xml:space="preserve">, nu este </w:t>
      </w:r>
      <w:r w:rsidR="0029130B" w:rsidRPr="00834B27">
        <w:rPr>
          <w:rFonts w:ascii="Calibri" w:hAnsi="Calibri" w:cs="Calibri"/>
          <w:lang w:val="ro-RO"/>
        </w:rPr>
        <w:t>solu</w:t>
      </w:r>
      <w:r w:rsidR="00D77C4B" w:rsidRPr="00834B27">
        <w:rPr>
          <w:rFonts w:ascii="Calibri" w:hAnsi="Calibri" w:cs="Calibri"/>
          <w:lang w:val="ro-RO"/>
        </w:rPr>
        <w:t>ț</w:t>
      </w:r>
      <w:r w:rsidR="0029130B" w:rsidRPr="00834B27">
        <w:rPr>
          <w:rFonts w:ascii="Calibri" w:hAnsi="Calibri" w:cs="Calibri"/>
          <w:lang w:val="ro-RO"/>
        </w:rPr>
        <w:t>ia</w:t>
      </w:r>
      <w:r w:rsidR="00D0488C" w:rsidRPr="00834B27">
        <w:rPr>
          <w:rFonts w:ascii="Calibri" w:hAnsi="Calibri" w:cs="Calibri"/>
          <w:lang w:val="ro-RO"/>
        </w:rPr>
        <w:t xml:space="preserve"> optim</w:t>
      </w:r>
      <w:r w:rsidR="0029130B" w:rsidRPr="00834B27">
        <w:rPr>
          <w:rFonts w:ascii="Calibri" w:hAnsi="Calibri" w:cs="Calibri"/>
          <w:lang w:val="ro-RO"/>
        </w:rPr>
        <w:t>ă</w:t>
      </w:r>
      <w:r w:rsidR="00D0488C" w:rsidRPr="00834B27">
        <w:rPr>
          <w:rFonts w:ascii="Calibri" w:hAnsi="Calibri" w:cs="Calibri"/>
          <w:lang w:val="ro-RO"/>
        </w:rPr>
        <w:t xml:space="preserve"> pentru Rom</w:t>
      </w:r>
      <w:r w:rsidR="0029130B" w:rsidRPr="00834B27">
        <w:rPr>
          <w:rFonts w:ascii="Calibri" w:hAnsi="Calibri" w:cs="Calibri"/>
          <w:lang w:val="ro-RO"/>
        </w:rPr>
        <w:t>â</w:t>
      </w:r>
      <w:r w:rsidR="00D0488C" w:rsidRPr="00834B27">
        <w:rPr>
          <w:rFonts w:ascii="Calibri" w:hAnsi="Calibri" w:cs="Calibri"/>
          <w:lang w:val="ro-RO"/>
        </w:rPr>
        <w:t>nia.</w:t>
      </w:r>
    </w:p>
    <w:p w14:paraId="5050148B" w14:textId="226D07AF" w:rsidR="00854DB3" w:rsidRPr="00834B27" w:rsidRDefault="0029130B" w:rsidP="00E76123">
      <w:pPr>
        <w:tabs>
          <w:tab w:val="left" w:pos="720"/>
        </w:tabs>
        <w:spacing w:line="276" w:lineRule="auto"/>
        <w:jc w:val="both"/>
        <w:rPr>
          <w:rFonts w:ascii="Calibri" w:hAnsi="Calibri" w:cs="Calibri"/>
          <w:lang w:val="ro-RO"/>
        </w:rPr>
      </w:pPr>
      <w:r w:rsidRPr="00834B27">
        <w:rPr>
          <w:rFonts w:ascii="Calibri" w:hAnsi="Calibri" w:cs="Calibri"/>
          <w:b/>
          <w:bCs/>
          <w:lang w:val="ro-RO"/>
        </w:rPr>
        <w:t>Î</w:t>
      </w:r>
      <w:r w:rsidR="001801AA" w:rsidRPr="00834B27">
        <w:rPr>
          <w:rFonts w:ascii="Calibri" w:hAnsi="Calibri" w:cs="Calibri"/>
          <w:b/>
          <w:bCs/>
          <w:lang w:val="ro-RO"/>
        </w:rPr>
        <w:t xml:space="preserve">n primul </w:t>
      </w:r>
      <w:r w:rsidRPr="00834B27">
        <w:rPr>
          <w:rFonts w:ascii="Calibri" w:hAnsi="Calibri" w:cs="Calibri"/>
          <w:b/>
          <w:bCs/>
          <w:lang w:val="ro-RO"/>
        </w:rPr>
        <w:t>rând</w:t>
      </w:r>
      <w:r w:rsidR="001801AA" w:rsidRPr="00834B27">
        <w:rPr>
          <w:rFonts w:ascii="Calibri" w:hAnsi="Calibri" w:cs="Calibri"/>
          <w:b/>
          <w:bCs/>
          <w:lang w:val="ro-RO"/>
        </w:rPr>
        <w:t xml:space="preserve">, </w:t>
      </w:r>
      <w:r w:rsidR="009C7D91" w:rsidRPr="00834B27">
        <w:rPr>
          <w:rFonts w:ascii="Calibri" w:hAnsi="Calibri" w:cs="Calibri"/>
          <w:b/>
          <w:bCs/>
          <w:lang w:val="ro-RO"/>
        </w:rPr>
        <w:t>cota unic</w:t>
      </w:r>
      <w:r w:rsidRPr="00834B27">
        <w:rPr>
          <w:rFonts w:ascii="Calibri" w:hAnsi="Calibri" w:cs="Calibri"/>
          <w:b/>
          <w:bCs/>
          <w:lang w:val="ro-RO"/>
        </w:rPr>
        <w:t>ă</w:t>
      </w:r>
      <w:r w:rsidR="009C7D91" w:rsidRPr="00834B27">
        <w:rPr>
          <w:rFonts w:ascii="Calibri" w:hAnsi="Calibri" w:cs="Calibri"/>
          <w:b/>
          <w:bCs/>
          <w:lang w:val="ro-RO"/>
        </w:rPr>
        <w:t xml:space="preserve"> (16%) </w:t>
      </w:r>
      <w:r w:rsidR="009C7D91" w:rsidRPr="00834B27">
        <w:rPr>
          <w:rFonts w:ascii="Calibri" w:hAnsi="Calibri" w:cs="Calibri"/>
          <w:lang w:val="ro-RO"/>
        </w:rPr>
        <w:t xml:space="preserve">a </w:t>
      </w:r>
      <w:r w:rsidR="00854DB3" w:rsidRPr="00834B27">
        <w:rPr>
          <w:rFonts w:ascii="Calibri" w:hAnsi="Calibri" w:cs="Calibri"/>
          <w:lang w:val="ro-RO"/>
        </w:rPr>
        <w:t>susținut</w:t>
      </w:r>
      <w:r w:rsidR="009C7D91" w:rsidRPr="00834B27">
        <w:rPr>
          <w:rFonts w:ascii="Calibri" w:hAnsi="Calibri" w:cs="Calibri"/>
          <w:lang w:val="ro-RO"/>
        </w:rPr>
        <w:t xml:space="preserve"> </w:t>
      </w:r>
      <w:r w:rsidR="00087DCB" w:rsidRPr="00834B27">
        <w:rPr>
          <w:rFonts w:ascii="Calibri" w:hAnsi="Calibri" w:cs="Calibri"/>
          <w:lang w:val="ro-RO"/>
        </w:rPr>
        <w:t xml:space="preserve">încasarea de </w:t>
      </w:r>
      <w:r w:rsidR="009C7D91" w:rsidRPr="00834B27">
        <w:rPr>
          <w:rFonts w:ascii="Calibri" w:hAnsi="Calibri" w:cs="Calibri"/>
          <w:lang w:val="ro-RO"/>
        </w:rPr>
        <w:t xml:space="preserve">venituri bugetare semnificativ mai mari </w:t>
      </w:r>
      <w:r w:rsidRPr="00834B27">
        <w:rPr>
          <w:rFonts w:ascii="Calibri" w:hAnsi="Calibri" w:cs="Calibri"/>
          <w:lang w:val="ro-RO"/>
        </w:rPr>
        <w:t>decât</w:t>
      </w:r>
      <w:r w:rsidR="009C7D91" w:rsidRPr="00834B27">
        <w:rPr>
          <w:rFonts w:ascii="Calibri" w:hAnsi="Calibri" w:cs="Calibri"/>
          <w:lang w:val="ro-RO"/>
        </w:rPr>
        <w:t xml:space="preserve"> cele generate de </w:t>
      </w:r>
      <w:r w:rsidR="004F37EA" w:rsidRPr="00834B27">
        <w:rPr>
          <w:rFonts w:ascii="Calibri" w:hAnsi="Calibri" w:cs="Calibri"/>
          <w:lang w:val="ro-RO"/>
        </w:rPr>
        <w:t>impozitul progresiv (18% - 40%</w:t>
      </w:r>
      <w:r w:rsidR="004433BD" w:rsidRPr="00834B27">
        <w:rPr>
          <w:rFonts w:ascii="Calibri" w:hAnsi="Calibri" w:cs="Calibri"/>
          <w:lang w:val="ro-RO"/>
        </w:rPr>
        <w:t xml:space="preserve">), </w:t>
      </w:r>
      <w:r w:rsidRPr="00834B27">
        <w:rPr>
          <w:rFonts w:ascii="Calibri" w:hAnsi="Calibri" w:cs="Calibri"/>
          <w:lang w:val="ro-RO"/>
        </w:rPr>
        <w:t>așa</w:t>
      </w:r>
      <w:r w:rsidR="004433BD" w:rsidRPr="00834B27">
        <w:rPr>
          <w:rFonts w:ascii="Calibri" w:hAnsi="Calibri" w:cs="Calibri"/>
          <w:lang w:val="ro-RO"/>
        </w:rPr>
        <w:t xml:space="preserve"> cum se poate vedea din </w:t>
      </w:r>
      <w:r w:rsidR="00947CC1" w:rsidRPr="00834B27">
        <w:rPr>
          <w:rFonts w:ascii="Calibri" w:hAnsi="Calibri" w:cs="Calibri"/>
          <w:lang w:val="ro-RO"/>
        </w:rPr>
        <w:t>Graficul</w:t>
      </w:r>
      <w:r w:rsidR="004433BD" w:rsidRPr="00834B27">
        <w:rPr>
          <w:rFonts w:ascii="Calibri" w:hAnsi="Calibri" w:cs="Calibri"/>
          <w:lang w:val="ro-RO"/>
        </w:rPr>
        <w:t xml:space="preserve"> 1.</w:t>
      </w:r>
      <w:r w:rsidR="00854DB3" w:rsidRPr="00834B27">
        <w:rPr>
          <w:rFonts w:ascii="Calibri" w:hAnsi="Calibri" w:cs="Calibri"/>
          <w:lang w:val="ro-RO"/>
        </w:rPr>
        <w:t xml:space="preserve"> Este important de menționat că perioadele comparate (cote progresive 2000–2004 vs. cotă unică 2007–2017) au coincis cu transformări structurale majore (aderarea la UE, creșterea rapidă a PIB, formalizarea economiei), ceea ce face dificilă izolarea efectului cotei de impozit ca atare.  BCE a concluzionat încă din 2007 că „introducerea cotei unice în majoritatea statelor ECE a coincis cu reforme structurale majore, ceea ce face imposibilă izolarea efectului cotei unice asupra veniturilor bugetare”. Un studiu de microsimulare EUROMOD (Ferrario &amp; Catrina, 2020) arată că toate statele cu cotă unică au introdus de facto elemente de progresivitate prin deduceri, credite fiscale și praguri de contribuții, ceea ce face distincția „cotă unică vs. progresivitate” mai puțin categorică decât suger</w:t>
      </w:r>
      <w:r w:rsidR="00087DCB" w:rsidRPr="00834B27">
        <w:rPr>
          <w:rFonts w:ascii="Calibri" w:hAnsi="Calibri" w:cs="Calibri"/>
          <w:lang w:val="ro-RO"/>
        </w:rPr>
        <w:t>eaz</w:t>
      </w:r>
      <w:r w:rsidR="00854DB3" w:rsidRPr="00834B27">
        <w:rPr>
          <w:rFonts w:ascii="Calibri" w:hAnsi="Calibri" w:cs="Calibri"/>
          <w:lang w:val="ro-RO"/>
        </w:rPr>
        <w:t>ă retorica politică. Cu toate acestea, argumentele practice în favoarea cotei unice — simplitatea, costurile reduse de conformare/administrare și eliminarea posibilităților de arbitraj — rămân valabile și sunt confirmate de rezultatele superioare obținute în perioada 2007–2017.</w:t>
      </w:r>
      <w:r w:rsidR="00854DB3" w:rsidRPr="00834B27">
        <w:rPr>
          <w:rStyle w:val="Referinnotdesubsol"/>
          <w:rFonts w:ascii="Calibri" w:hAnsi="Calibri" w:cs="Calibri"/>
          <w:lang w:val="ro-RO"/>
        </w:rPr>
        <w:footnoteReference w:id="21"/>
      </w:r>
    </w:p>
    <w:p w14:paraId="075877D6" w14:textId="7DA28E4E" w:rsidR="008E4491" w:rsidRPr="00834B27" w:rsidRDefault="008E4491" w:rsidP="00E76123">
      <w:pPr>
        <w:tabs>
          <w:tab w:val="left" w:pos="720"/>
        </w:tabs>
        <w:spacing w:line="276" w:lineRule="auto"/>
        <w:jc w:val="both"/>
        <w:rPr>
          <w:rFonts w:ascii="Calibri" w:hAnsi="Calibri" w:cs="Calibri"/>
          <w:lang w:val="ro-RO"/>
        </w:rPr>
      </w:pPr>
      <w:r w:rsidRPr="00834B27">
        <w:rPr>
          <w:rFonts w:ascii="Calibri" w:hAnsi="Calibri" w:cs="Calibri"/>
          <w:lang w:val="ro-RO"/>
        </w:rPr>
        <w:t>Recunoaștem că o comparație simplă a ponderii IV în PIB nu poate izola efectul cotei unice de celelalte variabile (aderarea la UE, creșterea economică, extinderea bazei de impunere). Cu toate acestea, datele sunt relevante pentru că demonstrează un fapt contra-intuitiv: reducerea cotei marginale maxime de la 40% la 16% nu a dus la scăderea  veniturilor din impozitul pe venit ca procent din PIB</w:t>
      </w:r>
      <w:r w:rsidR="000F28B0" w:rsidRPr="00834B27">
        <w:rPr>
          <w:rFonts w:ascii="Calibri" w:hAnsi="Calibri" w:cs="Calibri"/>
          <w:lang w:val="ro-RO"/>
        </w:rPr>
        <w:t>, dimpotriv</w:t>
      </w:r>
      <w:r w:rsidR="005A2B88" w:rsidRPr="00834B27">
        <w:rPr>
          <w:rFonts w:ascii="Calibri" w:hAnsi="Calibri" w:cs="Calibri"/>
          <w:lang w:val="ro-RO"/>
        </w:rPr>
        <w:t>ă</w:t>
      </w:r>
      <w:r w:rsidRPr="00834B27">
        <w:rPr>
          <w:rFonts w:ascii="Calibri" w:hAnsi="Calibri" w:cs="Calibri"/>
          <w:lang w:val="ro-RO"/>
        </w:rPr>
        <w:t xml:space="preserve"> — ceea ce indică fie o creștere semnificativă a conformării, fie o extindere a bazei, fie ambele. Acest rezultat </w:t>
      </w:r>
      <w:r w:rsidR="003841BD" w:rsidRPr="00834B27">
        <w:rPr>
          <w:rFonts w:ascii="Calibri" w:hAnsi="Calibri" w:cs="Calibri"/>
          <w:lang w:val="ro-RO"/>
        </w:rPr>
        <w:t xml:space="preserve">confirmă faptul că </w:t>
      </w:r>
      <w:r w:rsidR="00B27EC1" w:rsidRPr="00834B27">
        <w:rPr>
          <w:rFonts w:ascii="Calibri" w:hAnsi="Calibri" w:cs="Calibri"/>
          <w:lang w:val="ro-RO"/>
        </w:rPr>
        <w:t>Rom</w:t>
      </w:r>
      <w:r w:rsidR="006D619A" w:rsidRPr="00834B27">
        <w:rPr>
          <w:rFonts w:ascii="Calibri" w:hAnsi="Calibri" w:cs="Calibri"/>
          <w:lang w:val="ro-RO"/>
        </w:rPr>
        <w:t>ânia se afla la vremea respectivă în zona nesustenabilă a curbei Laffer</w:t>
      </w:r>
      <w:r w:rsidR="00694752" w:rsidRPr="00834B27">
        <w:rPr>
          <w:rFonts w:ascii="Calibri" w:hAnsi="Calibri" w:cs="Calibri"/>
          <w:lang w:val="ro-RO"/>
        </w:rPr>
        <w:t xml:space="preserve">, iar o scadere a cotei de impunere a dus la creșterea veniturilor bugetare. </w:t>
      </w:r>
    </w:p>
    <w:p w14:paraId="258CD658" w14:textId="77777777" w:rsidR="00854DB3" w:rsidRPr="00834B27" w:rsidRDefault="00854DB3" w:rsidP="00E76123">
      <w:pPr>
        <w:tabs>
          <w:tab w:val="left" w:pos="720"/>
        </w:tabs>
        <w:spacing w:line="276" w:lineRule="auto"/>
        <w:jc w:val="both"/>
        <w:rPr>
          <w:rFonts w:ascii="Calibri" w:hAnsi="Calibri" w:cs="Calibri"/>
          <w:b/>
          <w:bCs/>
          <w:lang w:val="ro-RO"/>
        </w:rPr>
      </w:pPr>
    </w:p>
    <w:p w14:paraId="22193672" w14:textId="77777777" w:rsidR="008E4491" w:rsidRPr="00834B27" w:rsidRDefault="008E4491">
      <w:pPr>
        <w:rPr>
          <w:rFonts w:ascii="Calibri" w:hAnsi="Calibri" w:cs="Calibri"/>
          <w:b/>
          <w:bCs/>
          <w:lang w:val="ro-RO"/>
        </w:rPr>
      </w:pPr>
      <w:r w:rsidRPr="00834B27">
        <w:rPr>
          <w:rFonts w:ascii="Calibri" w:hAnsi="Calibri" w:cs="Calibri"/>
          <w:b/>
          <w:bCs/>
          <w:lang w:val="ro-RO"/>
        </w:rPr>
        <w:br w:type="page"/>
      </w:r>
    </w:p>
    <w:p w14:paraId="769F43E6" w14:textId="146FDA5F" w:rsidR="00854DB3" w:rsidRPr="00834B27" w:rsidRDefault="00947CC1" w:rsidP="00854DB3">
      <w:pPr>
        <w:tabs>
          <w:tab w:val="left" w:pos="720"/>
        </w:tabs>
        <w:spacing w:line="276" w:lineRule="auto"/>
        <w:jc w:val="both"/>
        <w:rPr>
          <w:rFonts w:ascii="Calibri" w:hAnsi="Calibri" w:cs="Calibri"/>
          <w:b/>
          <w:bCs/>
          <w:lang w:val="ro-RO"/>
        </w:rPr>
      </w:pPr>
      <w:r w:rsidRPr="00834B27">
        <w:rPr>
          <w:rFonts w:ascii="Calibri" w:hAnsi="Calibri" w:cs="Calibri"/>
          <w:b/>
          <w:bCs/>
          <w:lang w:val="ro-RO"/>
        </w:rPr>
        <w:lastRenderedPageBreak/>
        <w:t>G</w:t>
      </w:r>
      <w:r w:rsidR="00854DB3" w:rsidRPr="00834B27">
        <w:rPr>
          <w:rFonts w:ascii="Calibri" w:hAnsi="Calibri" w:cs="Calibri"/>
          <w:b/>
          <w:bCs/>
          <w:lang w:val="ro-RO"/>
        </w:rPr>
        <w:t>RAFICUL</w:t>
      </w:r>
      <w:r w:rsidRPr="00834B27">
        <w:rPr>
          <w:rFonts w:ascii="Calibri" w:hAnsi="Calibri" w:cs="Calibri"/>
          <w:b/>
          <w:bCs/>
          <w:lang w:val="ro-RO"/>
        </w:rPr>
        <w:t xml:space="preserve"> </w:t>
      </w:r>
      <w:r w:rsidR="00854DB3" w:rsidRPr="00834B27">
        <w:rPr>
          <w:rFonts w:ascii="Calibri" w:hAnsi="Calibri" w:cs="Calibri"/>
          <w:b/>
          <w:bCs/>
          <w:lang w:val="ro-RO"/>
        </w:rPr>
        <w:t>1</w:t>
      </w:r>
      <w:r w:rsidR="00E95E91" w:rsidRPr="00834B27">
        <w:rPr>
          <w:rFonts w:ascii="Calibri" w:hAnsi="Calibri" w:cs="Calibri"/>
          <w:b/>
          <w:bCs/>
          <w:lang w:val="ro-RO"/>
        </w:rPr>
        <w:t xml:space="preserve"> – </w:t>
      </w:r>
      <w:r w:rsidR="0029130B" w:rsidRPr="00834B27">
        <w:rPr>
          <w:rFonts w:ascii="Calibri" w:hAnsi="Calibri" w:cs="Calibri"/>
          <w:b/>
          <w:bCs/>
          <w:lang w:val="ro-RO"/>
        </w:rPr>
        <w:t>Evolu</w:t>
      </w:r>
      <w:r w:rsidR="00D77C4B" w:rsidRPr="00834B27">
        <w:rPr>
          <w:rFonts w:ascii="Calibri" w:hAnsi="Calibri" w:cs="Calibri"/>
          <w:b/>
          <w:bCs/>
          <w:lang w:val="ro-RO"/>
        </w:rPr>
        <w:t>ț</w:t>
      </w:r>
      <w:r w:rsidR="0029130B" w:rsidRPr="00834B27">
        <w:rPr>
          <w:rFonts w:ascii="Calibri" w:hAnsi="Calibri" w:cs="Calibri"/>
          <w:b/>
          <w:bCs/>
          <w:lang w:val="ro-RO"/>
        </w:rPr>
        <w:t>ia</w:t>
      </w:r>
      <w:r w:rsidR="00E95E91" w:rsidRPr="00834B27">
        <w:rPr>
          <w:rFonts w:ascii="Calibri" w:hAnsi="Calibri" w:cs="Calibri"/>
          <w:b/>
          <w:bCs/>
          <w:lang w:val="ro-RO"/>
        </w:rPr>
        <w:t xml:space="preserve"> ponderii IV </w:t>
      </w:r>
      <w:r w:rsidR="00C75F3E" w:rsidRPr="00834B27">
        <w:rPr>
          <w:rFonts w:ascii="Calibri" w:hAnsi="Calibri" w:cs="Calibri"/>
          <w:b/>
          <w:bCs/>
          <w:lang w:val="ro-RO"/>
        </w:rPr>
        <w:t>î</w:t>
      </w:r>
      <w:r w:rsidR="00E95E91" w:rsidRPr="00834B27">
        <w:rPr>
          <w:rFonts w:ascii="Calibri" w:hAnsi="Calibri" w:cs="Calibri"/>
          <w:b/>
          <w:bCs/>
          <w:lang w:val="ro-RO"/>
        </w:rPr>
        <w:t>n PIB</w:t>
      </w:r>
      <w:r w:rsidR="0047250B" w:rsidRPr="00834B27">
        <w:rPr>
          <w:rFonts w:ascii="Calibri" w:hAnsi="Calibri" w:cs="Calibri"/>
          <w:b/>
          <w:bCs/>
          <w:lang w:val="ro-RO"/>
        </w:rPr>
        <w:t>, 2000 - 2025</w:t>
      </w:r>
    </w:p>
    <w:p w14:paraId="56FCD5B9" w14:textId="77777777" w:rsidR="00854DB3" w:rsidRPr="00834B27" w:rsidRDefault="00854DB3" w:rsidP="00854DB3">
      <w:pPr>
        <w:tabs>
          <w:tab w:val="left" w:pos="720"/>
        </w:tabs>
        <w:spacing w:line="276" w:lineRule="auto"/>
        <w:jc w:val="both"/>
        <w:rPr>
          <w:rFonts w:ascii="Calibri" w:hAnsi="Calibri" w:cs="Calibri"/>
          <w:b/>
          <w:bCs/>
          <w:sz w:val="22"/>
          <w:szCs w:val="22"/>
          <w:lang w:val="ro-RO"/>
        </w:rPr>
      </w:pPr>
      <w:r w:rsidRPr="00834B27">
        <w:rPr>
          <w:rFonts w:ascii="Calibri" w:hAnsi="Calibri" w:cs="Calibri"/>
          <w:noProof/>
          <w:sz w:val="22"/>
          <w:szCs w:val="22"/>
          <w:lang w:val="ro-RO"/>
        </w:rPr>
        <mc:AlternateContent>
          <mc:Choice Requires="wps">
            <w:drawing>
              <wp:anchor distT="0" distB="0" distL="114300" distR="114300" simplePos="0" relativeHeight="251658240" behindDoc="0" locked="0" layoutInCell="1" allowOverlap="1" wp14:anchorId="634A9506" wp14:editId="3F43F83F">
                <wp:simplePos x="0" y="0"/>
                <wp:positionH relativeFrom="column">
                  <wp:posOffset>2274570</wp:posOffset>
                </wp:positionH>
                <wp:positionV relativeFrom="paragraph">
                  <wp:posOffset>1626870</wp:posOffset>
                </wp:positionV>
                <wp:extent cx="720000" cy="360000"/>
                <wp:effectExtent l="0" t="0" r="17145" b="8890"/>
                <wp:wrapNone/>
                <wp:docPr id="97402287" name="Text Box 1"/>
                <wp:cNvGraphicFramePr/>
                <a:graphic xmlns:a="http://schemas.openxmlformats.org/drawingml/2006/main">
                  <a:graphicData uri="http://schemas.microsoft.com/office/word/2010/wordprocessingShape">
                    <wps:wsp>
                      <wps:cNvSpPr txBox="1"/>
                      <wps:spPr>
                        <a:xfrm>
                          <a:off x="0" y="0"/>
                          <a:ext cx="720000" cy="360000"/>
                        </a:xfrm>
                        <a:prstGeom prst="rect">
                          <a:avLst/>
                        </a:prstGeom>
                        <a:noFill/>
                        <a:ln w="9525" cap="flat" cmpd="sng" algn="ctr">
                          <a:solidFill>
                            <a:schemeClr val="accent2"/>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2"/>
                        </a:fontRef>
                      </wps:style>
                      <wps:txbx>
                        <w:txbxContent>
                          <w:p w14:paraId="71DE1296" w14:textId="77777777" w:rsidR="00854DB3" w:rsidRPr="00547F26" w:rsidRDefault="00854DB3" w:rsidP="00854DB3">
                            <w:pPr>
                              <w:rPr>
                                <w:lang w:val="ro-RO"/>
                              </w:rPr>
                            </w:pPr>
                            <w:r>
                              <w:rPr>
                                <w:lang w:val="ro-RO"/>
                              </w:rPr>
                              <w:t>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4A9506" id="_x0000_t202" coordsize="21600,21600" o:spt="202" path="m,l,21600r21600,l21600,xe">
                <v:stroke joinstyle="miter"/>
                <v:path gradientshapeok="t" o:connecttype="rect"/>
              </v:shapetype>
              <v:shape id="Text Box 1" o:spid="_x0000_s1026" type="#_x0000_t202" style="position:absolute;left:0;text-align:left;margin-left:179.1pt;margin-top:128.1pt;width:56.7pt;height:28.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" filled="f" strokecolor="#e97132 [3205]">
                <v:stroke joinstyle="round"/>
                <v:textbox>
                  <w:txbxContent>
                    <w:p w14:paraId="71DE1296" w14:textId="77777777" w:rsidR="00854DB3" w:rsidRPr="00547F26" w:rsidRDefault="00854DB3" w:rsidP="00854DB3">
                      <w:pPr>
                        <w:rPr>
                          <w:lang w:val="ro-RO"/>
                        </w:rPr>
                      </w:pPr>
                      <w:r>
                        <w:rPr>
                          <w:lang w:val="ro-RO"/>
                        </w:rPr>
                        <w:t>16%</w:t>
                      </w:r>
                    </w:p>
                  </w:txbxContent>
                </v:textbox>
              </v:shape>
            </w:pict>
          </mc:Fallback>
        </mc:AlternateContent>
      </w:r>
      <w:r w:rsidRPr="00834B27">
        <w:rPr>
          <w:rFonts w:ascii="Calibri" w:hAnsi="Calibri" w:cs="Calibri"/>
          <w:noProof/>
          <w:sz w:val="22"/>
          <w:szCs w:val="22"/>
          <w:lang w:val="ro-RO"/>
        </w:rPr>
        <mc:AlternateContent>
          <mc:Choice Requires="wps">
            <w:drawing>
              <wp:anchor distT="0" distB="0" distL="114300" distR="114300" simplePos="0" relativeHeight="251660288" behindDoc="0" locked="0" layoutInCell="1" allowOverlap="1" wp14:anchorId="2D976666" wp14:editId="244024E8">
                <wp:simplePos x="0" y="0"/>
                <wp:positionH relativeFrom="column">
                  <wp:posOffset>4517390</wp:posOffset>
                </wp:positionH>
                <wp:positionV relativeFrom="paragraph">
                  <wp:posOffset>1626870</wp:posOffset>
                </wp:positionV>
                <wp:extent cx="720000" cy="360000"/>
                <wp:effectExtent l="0" t="0" r="17145" b="8890"/>
                <wp:wrapNone/>
                <wp:docPr id="740714757" name="Text Box 1"/>
                <wp:cNvGraphicFramePr/>
                <a:graphic xmlns:a="http://schemas.openxmlformats.org/drawingml/2006/main">
                  <a:graphicData uri="http://schemas.microsoft.com/office/word/2010/wordprocessingShape">
                    <wps:wsp>
                      <wps:cNvSpPr txBox="1"/>
                      <wps:spPr>
                        <a:xfrm>
                          <a:off x="0" y="0"/>
                          <a:ext cx="720000" cy="360000"/>
                        </a:xfrm>
                        <a:prstGeom prst="rect">
                          <a:avLst/>
                        </a:prstGeom>
                        <a:noFill/>
                        <a:ln w="9525" cap="flat" cmpd="sng" algn="ctr">
                          <a:solidFill>
                            <a:schemeClr val="accent2"/>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2"/>
                        </a:fontRef>
                      </wps:style>
                      <wps:txbx>
                        <w:txbxContent>
                          <w:p w14:paraId="7FED3F1A" w14:textId="77777777" w:rsidR="00854DB3" w:rsidRPr="00547F26" w:rsidRDefault="00854DB3" w:rsidP="00854DB3">
                            <w:pPr>
                              <w:rPr>
                                <w:lang w:val="ro-RO"/>
                              </w:rPr>
                            </w:pPr>
                            <w:r>
                              <w:rPr>
                                <w:lang w:val="ro-RO"/>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976666" id="_x0000_s1027" type="#_x0000_t202" style="position:absolute;left:0;text-align:left;margin-left:355.7pt;margin-top:128.1pt;width:56.7pt;height:2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" filled="f" strokecolor="#e97132 [3205]">
                <v:stroke joinstyle="round"/>
                <v:textbox>
                  <w:txbxContent>
                    <w:p w14:paraId="7FED3F1A" w14:textId="77777777" w:rsidR="00854DB3" w:rsidRPr="00547F26" w:rsidRDefault="00854DB3" w:rsidP="00854DB3">
                      <w:pPr>
                        <w:rPr>
                          <w:lang w:val="ro-RO"/>
                        </w:rPr>
                      </w:pPr>
                      <w:r>
                        <w:rPr>
                          <w:lang w:val="ro-RO"/>
                        </w:rPr>
                        <w:t>10%</w:t>
                      </w:r>
                    </w:p>
                  </w:txbxContent>
                </v:textbox>
              </v:shape>
            </w:pict>
          </mc:Fallback>
        </mc:AlternateContent>
      </w:r>
      <w:r w:rsidRPr="00834B27">
        <w:rPr>
          <w:rFonts w:ascii="Calibri" w:hAnsi="Calibri" w:cs="Calibri"/>
          <w:noProof/>
          <w:sz w:val="22"/>
          <w:szCs w:val="22"/>
          <w:lang w:val="ro-RO"/>
        </w:rPr>
        <mc:AlternateContent>
          <mc:Choice Requires="wps">
            <w:drawing>
              <wp:anchor distT="0" distB="0" distL="114300" distR="114300" simplePos="0" relativeHeight="251656192" behindDoc="0" locked="0" layoutInCell="1" allowOverlap="1" wp14:anchorId="4BD4A78E" wp14:editId="382CD32B">
                <wp:simplePos x="0" y="0"/>
                <wp:positionH relativeFrom="column">
                  <wp:posOffset>554990</wp:posOffset>
                </wp:positionH>
                <wp:positionV relativeFrom="paragraph">
                  <wp:posOffset>1626870</wp:posOffset>
                </wp:positionV>
                <wp:extent cx="720000" cy="360000"/>
                <wp:effectExtent l="0" t="0" r="17145" b="8890"/>
                <wp:wrapNone/>
                <wp:docPr id="2132357177" name="Text Box 1"/>
                <wp:cNvGraphicFramePr/>
                <a:graphic xmlns:a="http://schemas.openxmlformats.org/drawingml/2006/main">
                  <a:graphicData uri="http://schemas.microsoft.com/office/word/2010/wordprocessingShape">
                    <wps:wsp>
                      <wps:cNvSpPr txBox="1"/>
                      <wps:spPr>
                        <a:xfrm>
                          <a:off x="0" y="0"/>
                          <a:ext cx="720000" cy="360000"/>
                        </a:xfrm>
                        <a:prstGeom prst="rect">
                          <a:avLst/>
                        </a:prstGeom>
                        <a:noFill/>
                        <a:ln w="9525" cap="flat" cmpd="sng" algn="ctr">
                          <a:solidFill>
                            <a:schemeClr val="accent2"/>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2"/>
                        </a:fontRef>
                      </wps:style>
                      <wps:txbx>
                        <w:txbxContent>
                          <w:p w14:paraId="08B200DA" w14:textId="77777777" w:rsidR="00854DB3" w:rsidRPr="00547F26" w:rsidRDefault="00854DB3" w:rsidP="00854DB3">
                            <w:pPr>
                              <w:rPr>
                                <w:lang w:val="ro-RO"/>
                              </w:rPr>
                            </w:pPr>
                            <w:r>
                              <w:rPr>
                                <w:lang w:val="ro-RO"/>
                              </w:rPr>
                              <w:t>18-40%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4A78E" id="_x0000_s1028" type="#_x0000_t202" style="position:absolute;left:0;text-align:left;margin-left:43.7pt;margin-top:128.1pt;width:56.7pt;height:28.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" filled="f" strokecolor="#e97132 [3205]">
                <v:stroke joinstyle="round"/>
                <v:textbox>
                  <w:txbxContent>
                    <w:p w14:paraId="08B200DA" w14:textId="77777777" w:rsidR="00854DB3" w:rsidRPr="00547F26" w:rsidRDefault="00854DB3" w:rsidP="00854DB3">
                      <w:pPr>
                        <w:rPr>
                          <w:lang w:val="ro-RO"/>
                        </w:rPr>
                      </w:pPr>
                      <w:r>
                        <w:rPr>
                          <w:lang w:val="ro-RO"/>
                        </w:rPr>
                        <w:t>18-40%</w:t>
                      </w:r>
                    </w:p>
                  </w:txbxContent>
                </v:textbox>
              </v:shape>
            </w:pict>
          </mc:Fallback>
        </mc:AlternateContent>
      </w:r>
      <w:r w:rsidRPr="00834B27">
        <w:rPr>
          <w:rFonts w:ascii="Calibri" w:hAnsi="Calibri" w:cs="Calibri"/>
          <w:noProof/>
          <w:sz w:val="22"/>
          <w:szCs w:val="22"/>
          <w:lang w:val="ro-RO"/>
        </w:rPr>
        <w:drawing>
          <wp:inline distT="0" distB="0" distL="0" distR="0" wp14:anchorId="2AADF7A2" wp14:editId="6F01C19D">
            <wp:extent cx="5943600" cy="2448560"/>
            <wp:effectExtent l="0" t="0" r="12700" b="15240"/>
            <wp:docPr id="1327042932" name="Chart 1">
              <a:extLst xmlns:a="http://schemas.openxmlformats.org/drawingml/2006/main">
                <a:ext uri="{FF2B5EF4-FFF2-40B4-BE49-F238E27FC236}">
                  <a16:creationId xmlns:a16="http://schemas.microsoft.com/office/drawing/2014/main" id="{AECAD373-EEC1-A72D-0353-CDF76199576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C9028FB" w14:textId="57AC97A6" w:rsidR="00947CC1" w:rsidRPr="00834B27" w:rsidRDefault="009F51C2" w:rsidP="00E76123">
      <w:pPr>
        <w:tabs>
          <w:tab w:val="left" w:pos="720"/>
        </w:tabs>
        <w:spacing w:line="276" w:lineRule="auto"/>
        <w:jc w:val="both"/>
        <w:rPr>
          <w:rFonts w:ascii="Calibri" w:hAnsi="Calibri" w:cs="Calibri"/>
          <w:lang w:val="ro-RO"/>
        </w:rPr>
      </w:pPr>
      <w:r w:rsidRPr="00834B27">
        <w:rPr>
          <w:rFonts w:ascii="Calibri" w:hAnsi="Calibri" w:cs="Calibri"/>
          <w:i/>
          <w:iCs/>
          <w:lang w:val="ro-RO"/>
        </w:rPr>
        <w:t>Not</w:t>
      </w:r>
      <w:r w:rsidR="0029130B" w:rsidRPr="00834B27">
        <w:rPr>
          <w:rFonts w:ascii="Calibri" w:hAnsi="Calibri" w:cs="Calibri"/>
          <w:i/>
          <w:iCs/>
          <w:lang w:val="ro-RO"/>
        </w:rPr>
        <w:t>ă</w:t>
      </w:r>
      <w:r w:rsidRPr="00834B27">
        <w:rPr>
          <w:rFonts w:ascii="Calibri" w:hAnsi="Calibri" w:cs="Calibri"/>
          <w:i/>
          <w:iCs/>
          <w:lang w:val="ro-RO"/>
        </w:rPr>
        <w:t xml:space="preserve"> metodologic</w:t>
      </w:r>
      <w:r w:rsidR="0029130B" w:rsidRPr="00834B27">
        <w:rPr>
          <w:rFonts w:ascii="Calibri" w:hAnsi="Calibri" w:cs="Calibri"/>
          <w:i/>
          <w:iCs/>
          <w:lang w:val="ro-RO"/>
        </w:rPr>
        <w:t>ă</w:t>
      </w:r>
      <w:r w:rsidRPr="00834B27">
        <w:rPr>
          <w:rFonts w:ascii="Calibri" w:hAnsi="Calibri" w:cs="Calibri"/>
          <w:i/>
          <w:iCs/>
          <w:lang w:val="ro-RO"/>
        </w:rPr>
        <w:t>:</w:t>
      </w:r>
      <w:r w:rsidRPr="00834B27">
        <w:rPr>
          <w:rFonts w:ascii="Calibri" w:hAnsi="Calibri" w:cs="Calibri"/>
          <w:lang w:val="ro-RO"/>
        </w:rPr>
        <w:t xml:space="preserve"> </w:t>
      </w:r>
      <w:r w:rsidR="00557786" w:rsidRPr="00834B27">
        <w:rPr>
          <w:rFonts w:ascii="Calibri" w:hAnsi="Calibri" w:cs="Calibri"/>
          <w:lang w:val="ro-RO"/>
        </w:rPr>
        <w:t xml:space="preserve">am folosit cifrele din legile bugetului de stat, </w:t>
      </w:r>
      <w:r w:rsidR="0029130B" w:rsidRPr="00834B27">
        <w:rPr>
          <w:rFonts w:ascii="Calibri" w:hAnsi="Calibri" w:cs="Calibri"/>
          <w:lang w:val="ro-RO"/>
        </w:rPr>
        <w:t>neavând</w:t>
      </w:r>
      <w:r w:rsidR="00557786" w:rsidRPr="00834B27">
        <w:rPr>
          <w:rFonts w:ascii="Calibri" w:hAnsi="Calibri" w:cs="Calibri"/>
          <w:lang w:val="ro-RO"/>
        </w:rPr>
        <w:t xml:space="preserve"> date privind </w:t>
      </w:r>
      <w:r w:rsidR="0029130B" w:rsidRPr="00834B27">
        <w:rPr>
          <w:rFonts w:ascii="Calibri" w:hAnsi="Calibri" w:cs="Calibri"/>
          <w:lang w:val="ro-RO"/>
        </w:rPr>
        <w:t>execu</w:t>
      </w:r>
      <w:r w:rsidR="00D77C4B" w:rsidRPr="00834B27">
        <w:rPr>
          <w:rFonts w:ascii="Calibri" w:hAnsi="Calibri" w:cs="Calibri"/>
          <w:lang w:val="ro-RO"/>
        </w:rPr>
        <w:t>ț</w:t>
      </w:r>
      <w:r w:rsidR="0029130B" w:rsidRPr="00834B27">
        <w:rPr>
          <w:rFonts w:ascii="Calibri" w:hAnsi="Calibri" w:cs="Calibri"/>
          <w:lang w:val="ro-RO"/>
        </w:rPr>
        <w:t>iile</w:t>
      </w:r>
      <w:r w:rsidR="00557786" w:rsidRPr="00834B27">
        <w:rPr>
          <w:rFonts w:ascii="Calibri" w:hAnsi="Calibri" w:cs="Calibri"/>
          <w:lang w:val="ro-RO"/>
        </w:rPr>
        <w:t xml:space="preserve"> bugetare pe o perioad</w:t>
      </w:r>
      <w:r w:rsidR="0029130B" w:rsidRPr="00834B27">
        <w:rPr>
          <w:rFonts w:ascii="Calibri" w:hAnsi="Calibri" w:cs="Calibri"/>
          <w:lang w:val="ro-RO"/>
        </w:rPr>
        <w:t>ă</w:t>
      </w:r>
      <w:r w:rsidR="00557786" w:rsidRPr="00834B27">
        <w:rPr>
          <w:rFonts w:ascii="Calibri" w:hAnsi="Calibri" w:cs="Calibri"/>
          <w:lang w:val="ro-RO"/>
        </w:rPr>
        <w:t xml:space="preserve"> </w:t>
      </w:r>
      <w:r w:rsidR="0029130B" w:rsidRPr="00834B27">
        <w:rPr>
          <w:rFonts w:ascii="Calibri" w:hAnsi="Calibri" w:cs="Calibri"/>
          <w:lang w:val="ro-RO"/>
        </w:rPr>
        <w:t>atât</w:t>
      </w:r>
      <w:r w:rsidR="00557786" w:rsidRPr="00834B27">
        <w:rPr>
          <w:rFonts w:ascii="Calibri" w:hAnsi="Calibri" w:cs="Calibri"/>
          <w:lang w:val="ro-RO"/>
        </w:rPr>
        <w:t xml:space="preserve"> de lung</w:t>
      </w:r>
      <w:r w:rsidR="0029130B" w:rsidRPr="00834B27">
        <w:rPr>
          <w:rFonts w:ascii="Calibri" w:hAnsi="Calibri" w:cs="Calibri"/>
          <w:lang w:val="ro-RO"/>
        </w:rPr>
        <w:t>ă</w:t>
      </w:r>
      <w:r w:rsidR="00557786" w:rsidRPr="00834B27">
        <w:rPr>
          <w:rFonts w:ascii="Calibri" w:hAnsi="Calibri" w:cs="Calibri"/>
          <w:lang w:val="ro-RO"/>
        </w:rPr>
        <w:t xml:space="preserve">. </w:t>
      </w:r>
      <w:r w:rsidR="00D77C4B" w:rsidRPr="00834B27">
        <w:rPr>
          <w:rFonts w:ascii="Calibri" w:hAnsi="Calibri" w:cs="Calibri"/>
          <w:lang w:val="ro-RO"/>
        </w:rPr>
        <w:t>Ț</w:t>
      </w:r>
      <w:r w:rsidR="0029130B" w:rsidRPr="00834B27">
        <w:rPr>
          <w:rFonts w:ascii="Calibri" w:hAnsi="Calibri" w:cs="Calibri"/>
          <w:lang w:val="ro-RO"/>
        </w:rPr>
        <w:t>inând</w:t>
      </w:r>
      <w:r w:rsidR="00557786" w:rsidRPr="00834B27">
        <w:rPr>
          <w:rFonts w:ascii="Calibri" w:hAnsi="Calibri" w:cs="Calibri"/>
          <w:lang w:val="ro-RO"/>
        </w:rPr>
        <w:t xml:space="preserve"> </w:t>
      </w:r>
      <w:r w:rsidR="0029130B" w:rsidRPr="00834B27">
        <w:rPr>
          <w:rFonts w:ascii="Calibri" w:hAnsi="Calibri" w:cs="Calibri"/>
          <w:lang w:val="ro-RO"/>
        </w:rPr>
        <w:t>î</w:t>
      </w:r>
      <w:r w:rsidR="00557786" w:rsidRPr="00834B27">
        <w:rPr>
          <w:rFonts w:ascii="Calibri" w:hAnsi="Calibri" w:cs="Calibri"/>
          <w:lang w:val="ro-RO"/>
        </w:rPr>
        <w:t>ns</w:t>
      </w:r>
      <w:r w:rsidR="0029130B" w:rsidRPr="00834B27">
        <w:rPr>
          <w:rFonts w:ascii="Calibri" w:hAnsi="Calibri" w:cs="Calibri"/>
          <w:lang w:val="ro-RO"/>
        </w:rPr>
        <w:t>ă</w:t>
      </w:r>
      <w:r w:rsidR="00557786" w:rsidRPr="00834B27">
        <w:rPr>
          <w:rFonts w:ascii="Calibri" w:hAnsi="Calibri" w:cs="Calibri"/>
          <w:lang w:val="ro-RO"/>
        </w:rPr>
        <w:t xml:space="preserve"> cont c</w:t>
      </w:r>
      <w:r w:rsidR="0029130B" w:rsidRPr="00834B27">
        <w:rPr>
          <w:rFonts w:ascii="Calibri" w:hAnsi="Calibri" w:cs="Calibri"/>
          <w:lang w:val="ro-RO"/>
        </w:rPr>
        <w:t>ă</w:t>
      </w:r>
      <w:r w:rsidR="00557786" w:rsidRPr="00834B27">
        <w:rPr>
          <w:rFonts w:ascii="Calibri" w:hAnsi="Calibri" w:cs="Calibri"/>
          <w:lang w:val="ro-RO"/>
        </w:rPr>
        <w:t xml:space="preserve"> </w:t>
      </w:r>
      <w:r w:rsidR="0029130B" w:rsidRPr="00834B27">
        <w:rPr>
          <w:rFonts w:ascii="Calibri" w:hAnsi="Calibri" w:cs="Calibri"/>
          <w:lang w:val="ro-RO"/>
        </w:rPr>
        <w:t>diferen</w:t>
      </w:r>
      <w:r w:rsidR="00D77C4B" w:rsidRPr="00834B27">
        <w:rPr>
          <w:rFonts w:ascii="Calibri" w:hAnsi="Calibri" w:cs="Calibri"/>
          <w:lang w:val="ro-RO"/>
        </w:rPr>
        <w:t>ț</w:t>
      </w:r>
      <w:r w:rsidR="0029130B" w:rsidRPr="00834B27">
        <w:rPr>
          <w:rFonts w:ascii="Calibri" w:hAnsi="Calibri" w:cs="Calibri"/>
          <w:lang w:val="ro-RO"/>
        </w:rPr>
        <w:t>ele</w:t>
      </w:r>
      <w:r w:rsidR="00557786" w:rsidRPr="00834B27">
        <w:rPr>
          <w:rFonts w:ascii="Calibri" w:hAnsi="Calibri" w:cs="Calibri"/>
          <w:lang w:val="ro-RO"/>
        </w:rPr>
        <w:t xml:space="preserve"> dintre veniturile prognozate </w:t>
      </w:r>
      <w:r w:rsidR="0029130B" w:rsidRPr="00834B27">
        <w:rPr>
          <w:rFonts w:ascii="Calibri" w:hAnsi="Calibri" w:cs="Calibri"/>
          <w:lang w:val="ro-RO"/>
        </w:rPr>
        <w:t>ș</w:t>
      </w:r>
      <w:r w:rsidR="00DA0E05" w:rsidRPr="00834B27">
        <w:rPr>
          <w:rFonts w:ascii="Calibri" w:hAnsi="Calibri" w:cs="Calibri"/>
          <w:lang w:val="ro-RO"/>
        </w:rPr>
        <w:t>i cele efectiv realizate</w:t>
      </w:r>
      <w:r w:rsidR="00F41187" w:rsidRPr="00834B27">
        <w:rPr>
          <w:rFonts w:ascii="Calibri" w:hAnsi="Calibri" w:cs="Calibri"/>
          <w:lang w:val="ro-RO"/>
        </w:rPr>
        <w:t xml:space="preserve"> la impozitul pe venit</w:t>
      </w:r>
      <w:r w:rsidR="00DA0E05" w:rsidRPr="00834B27">
        <w:rPr>
          <w:rFonts w:ascii="Calibri" w:hAnsi="Calibri" w:cs="Calibri"/>
          <w:lang w:val="ro-RO"/>
        </w:rPr>
        <w:t xml:space="preserve"> sunt foarte mici (+/- 3%</w:t>
      </w:r>
      <w:r w:rsidR="007D41D6" w:rsidRPr="00834B27">
        <w:rPr>
          <w:rFonts w:ascii="Calibri" w:hAnsi="Calibri" w:cs="Calibri"/>
          <w:lang w:val="ro-RO"/>
        </w:rPr>
        <w:t>), consider</w:t>
      </w:r>
      <w:r w:rsidR="0029130B" w:rsidRPr="00834B27">
        <w:rPr>
          <w:rFonts w:ascii="Calibri" w:hAnsi="Calibri" w:cs="Calibri"/>
          <w:lang w:val="ro-RO"/>
        </w:rPr>
        <w:t>ă</w:t>
      </w:r>
      <w:r w:rsidR="007D41D6" w:rsidRPr="00834B27">
        <w:rPr>
          <w:rFonts w:ascii="Calibri" w:hAnsi="Calibri" w:cs="Calibri"/>
          <w:lang w:val="ro-RO"/>
        </w:rPr>
        <w:t>m c</w:t>
      </w:r>
      <w:r w:rsidR="0029130B" w:rsidRPr="00834B27">
        <w:rPr>
          <w:rFonts w:ascii="Calibri" w:hAnsi="Calibri" w:cs="Calibri"/>
          <w:lang w:val="ro-RO"/>
        </w:rPr>
        <w:t>ă</w:t>
      </w:r>
      <w:r w:rsidR="007D41D6" w:rsidRPr="00834B27">
        <w:rPr>
          <w:rFonts w:ascii="Calibri" w:hAnsi="Calibri" w:cs="Calibri"/>
          <w:lang w:val="ro-RO"/>
        </w:rPr>
        <w:t xml:space="preserve"> </w:t>
      </w:r>
      <w:r w:rsidR="0029130B" w:rsidRPr="00834B27">
        <w:rPr>
          <w:rFonts w:ascii="Calibri" w:hAnsi="Calibri" w:cs="Calibri"/>
          <w:lang w:val="ro-RO"/>
        </w:rPr>
        <w:t>informa</w:t>
      </w:r>
      <w:r w:rsidR="00D77C4B" w:rsidRPr="00834B27">
        <w:rPr>
          <w:rFonts w:ascii="Calibri" w:hAnsi="Calibri" w:cs="Calibri"/>
          <w:lang w:val="ro-RO"/>
        </w:rPr>
        <w:t>ț</w:t>
      </w:r>
      <w:r w:rsidR="0029130B" w:rsidRPr="00834B27">
        <w:rPr>
          <w:rFonts w:ascii="Calibri" w:hAnsi="Calibri" w:cs="Calibri"/>
          <w:lang w:val="ro-RO"/>
        </w:rPr>
        <w:t>ia</w:t>
      </w:r>
      <w:r w:rsidR="007D41D6" w:rsidRPr="00834B27">
        <w:rPr>
          <w:rFonts w:ascii="Calibri" w:hAnsi="Calibri" w:cs="Calibri"/>
          <w:lang w:val="ro-RO"/>
        </w:rPr>
        <w:t xml:space="preserve"> folosit</w:t>
      </w:r>
      <w:r w:rsidR="0029130B" w:rsidRPr="00834B27">
        <w:rPr>
          <w:rFonts w:ascii="Calibri" w:hAnsi="Calibri" w:cs="Calibri"/>
          <w:lang w:val="ro-RO"/>
        </w:rPr>
        <w:t>ă</w:t>
      </w:r>
      <w:r w:rsidR="007D41D6" w:rsidRPr="00834B27">
        <w:rPr>
          <w:rFonts w:ascii="Calibri" w:hAnsi="Calibri" w:cs="Calibri"/>
          <w:lang w:val="ro-RO"/>
        </w:rPr>
        <w:t xml:space="preserve"> este relevant</w:t>
      </w:r>
      <w:r w:rsidR="0029130B" w:rsidRPr="00834B27">
        <w:rPr>
          <w:rFonts w:ascii="Calibri" w:hAnsi="Calibri" w:cs="Calibri"/>
          <w:lang w:val="ro-RO"/>
        </w:rPr>
        <w:t>ă</w:t>
      </w:r>
      <w:r w:rsidR="00F41187" w:rsidRPr="00834B27">
        <w:rPr>
          <w:rFonts w:ascii="Calibri" w:hAnsi="Calibri" w:cs="Calibri"/>
          <w:lang w:val="ro-RO"/>
        </w:rPr>
        <w:t xml:space="preserve"> pentru a putea analiza </w:t>
      </w:r>
      <w:r w:rsidR="0029130B" w:rsidRPr="00834B27">
        <w:rPr>
          <w:rFonts w:ascii="Calibri" w:hAnsi="Calibri" w:cs="Calibri"/>
          <w:lang w:val="ro-RO"/>
        </w:rPr>
        <w:t>evolu</w:t>
      </w:r>
      <w:r w:rsidR="00D77C4B" w:rsidRPr="00834B27">
        <w:rPr>
          <w:rFonts w:ascii="Calibri" w:hAnsi="Calibri" w:cs="Calibri"/>
          <w:lang w:val="ro-RO"/>
        </w:rPr>
        <w:t>ț</w:t>
      </w:r>
      <w:r w:rsidR="0029130B" w:rsidRPr="00834B27">
        <w:rPr>
          <w:rFonts w:ascii="Calibri" w:hAnsi="Calibri" w:cs="Calibri"/>
          <w:lang w:val="ro-RO"/>
        </w:rPr>
        <w:t>ia</w:t>
      </w:r>
      <w:r w:rsidR="00F41187" w:rsidRPr="00834B27">
        <w:rPr>
          <w:rFonts w:ascii="Calibri" w:hAnsi="Calibri" w:cs="Calibri"/>
          <w:lang w:val="ro-RO"/>
        </w:rPr>
        <w:t xml:space="preserve"> multianual</w:t>
      </w:r>
      <w:r w:rsidR="0029130B" w:rsidRPr="00834B27">
        <w:rPr>
          <w:rFonts w:ascii="Calibri" w:hAnsi="Calibri" w:cs="Calibri"/>
          <w:lang w:val="ro-RO"/>
        </w:rPr>
        <w:t>ă</w:t>
      </w:r>
      <w:r w:rsidR="00F41187" w:rsidRPr="00834B27">
        <w:rPr>
          <w:rFonts w:ascii="Calibri" w:hAnsi="Calibri" w:cs="Calibri"/>
          <w:lang w:val="ro-RO"/>
        </w:rPr>
        <w:t>.</w:t>
      </w:r>
    </w:p>
    <w:p w14:paraId="4906AC52" w14:textId="5288804D" w:rsidR="00947CC1" w:rsidRPr="00834B27" w:rsidRDefault="00947CC1" w:rsidP="00E76123">
      <w:pPr>
        <w:tabs>
          <w:tab w:val="left" w:pos="720"/>
        </w:tabs>
        <w:spacing w:line="276" w:lineRule="auto"/>
        <w:jc w:val="both"/>
        <w:rPr>
          <w:rFonts w:ascii="Calibri" w:hAnsi="Calibri" w:cs="Calibri"/>
          <w:lang w:val="ro-RO"/>
        </w:rPr>
      </w:pPr>
      <w:r w:rsidRPr="00834B27">
        <w:rPr>
          <w:rFonts w:ascii="Calibri" w:hAnsi="Calibri" w:cs="Calibri"/>
          <w:lang w:val="ro-RO"/>
        </w:rPr>
        <w:t>Se poate vedea c</w:t>
      </w:r>
      <w:r w:rsidR="0029130B" w:rsidRPr="00834B27">
        <w:rPr>
          <w:rFonts w:ascii="Calibri" w:hAnsi="Calibri" w:cs="Calibri"/>
          <w:lang w:val="ro-RO"/>
        </w:rPr>
        <w:t>ă,</w:t>
      </w:r>
      <w:r w:rsidRPr="00834B27">
        <w:rPr>
          <w:rFonts w:ascii="Calibri" w:hAnsi="Calibri" w:cs="Calibri"/>
          <w:lang w:val="ro-RO"/>
        </w:rPr>
        <w:t xml:space="preserve"> </w:t>
      </w:r>
      <w:r w:rsidR="0029130B" w:rsidRPr="00834B27">
        <w:rPr>
          <w:rFonts w:ascii="Calibri" w:hAnsi="Calibri" w:cs="Calibri"/>
          <w:lang w:val="ro-RO"/>
        </w:rPr>
        <w:t>î</w:t>
      </w:r>
      <w:r w:rsidR="00A842F6" w:rsidRPr="00834B27">
        <w:rPr>
          <w:rFonts w:ascii="Calibri" w:hAnsi="Calibri" w:cs="Calibri"/>
          <w:lang w:val="ro-RO"/>
        </w:rPr>
        <w:t xml:space="preserve">n ultimii 5 ani de aplicare a </w:t>
      </w:r>
      <w:r w:rsidR="0029130B" w:rsidRPr="00834B27">
        <w:rPr>
          <w:rFonts w:ascii="Calibri" w:hAnsi="Calibri" w:cs="Calibri"/>
          <w:lang w:val="ro-RO"/>
        </w:rPr>
        <w:t>impozitării</w:t>
      </w:r>
      <w:r w:rsidR="00A842F6" w:rsidRPr="00834B27">
        <w:rPr>
          <w:rFonts w:ascii="Calibri" w:hAnsi="Calibri" w:cs="Calibri"/>
          <w:lang w:val="ro-RO"/>
        </w:rPr>
        <w:t xml:space="preserve"> progresive (18% – 40%)</w:t>
      </w:r>
      <w:r w:rsidR="002A3B77" w:rsidRPr="00834B27">
        <w:rPr>
          <w:rFonts w:ascii="Calibri" w:hAnsi="Calibri" w:cs="Calibri"/>
          <w:lang w:val="ro-RO"/>
        </w:rPr>
        <w:t xml:space="preserve">, impozitul pe venit a generat venituri cuprinse </w:t>
      </w:r>
      <w:r w:rsidR="0029130B" w:rsidRPr="00834B27">
        <w:rPr>
          <w:rFonts w:ascii="Calibri" w:hAnsi="Calibri" w:cs="Calibri"/>
          <w:lang w:val="ro-RO"/>
        </w:rPr>
        <w:t>î</w:t>
      </w:r>
      <w:r w:rsidR="002A3B77" w:rsidRPr="00834B27">
        <w:rPr>
          <w:rFonts w:ascii="Calibri" w:hAnsi="Calibri" w:cs="Calibri"/>
          <w:lang w:val="ro-RO"/>
        </w:rPr>
        <w:t xml:space="preserve">ntre 3% PIB </w:t>
      </w:r>
      <w:r w:rsidR="0029130B" w:rsidRPr="00834B27">
        <w:rPr>
          <w:rFonts w:ascii="Calibri" w:hAnsi="Calibri" w:cs="Calibri"/>
          <w:lang w:val="ro-RO"/>
        </w:rPr>
        <w:t>ș</w:t>
      </w:r>
      <w:r w:rsidR="002A3B77" w:rsidRPr="00834B27">
        <w:rPr>
          <w:rFonts w:ascii="Calibri" w:hAnsi="Calibri" w:cs="Calibri"/>
          <w:lang w:val="ro-RO"/>
        </w:rPr>
        <w:t>i 2,6% PIB</w:t>
      </w:r>
      <w:r w:rsidR="001C021D" w:rsidRPr="00834B27">
        <w:rPr>
          <w:rFonts w:ascii="Calibri" w:hAnsi="Calibri" w:cs="Calibri"/>
          <w:lang w:val="ro-RO"/>
        </w:rPr>
        <w:t xml:space="preserve">, media fiind de 2,8% PIB. </w:t>
      </w:r>
    </w:p>
    <w:p w14:paraId="609EDAF4" w14:textId="77777777" w:rsidR="00854DB3" w:rsidRPr="00834B27" w:rsidRDefault="00854DB3" w:rsidP="00E76123">
      <w:pPr>
        <w:tabs>
          <w:tab w:val="left" w:pos="720"/>
        </w:tabs>
        <w:spacing w:line="276" w:lineRule="auto"/>
        <w:jc w:val="both"/>
        <w:rPr>
          <w:rFonts w:ascii="Calibri" w:hAnsi="Calibri" w:cs="Calibri"/>
          <w:lang w:val="ro-RO"/>
        </w:rPr>
      </w:pPr>
    </w:p>
    <w:p w14:paraId="05B61681" w14:textId="27B3B9B9" w:rsidR="00265509" w:rsidRPr="00834B27" w:rsidRDefault="008510B0" w:rsidP="00A1202C">
      <w:pPr>
        <w:keepNext/>
        <w:tabs>
          <w:tab w:val="left" w:pos="720"/>
        </w:tabs>
        <w:spacing w:line="276" w:lineRule="auto"/>
        <w:jc w:val="both"/>
        <w:rPr>
          <w:rFonts w:ascii="Calibri" w:hAnsi="Calibri" w:cs="Calibri"/>
          <w:i/>
          <w:iCs/>
          <w:lang w:val="ro-RO"/>
        </w:rPr>
      </w:pPr>
      <w:r w:rsidRPr="00834B27">
        <w:rPr>
          <w:rFonts w:ascii="Calibri" w:hAnsi="Calibri" w:cs="Calibri"/>
          <w:i/>
          <w:iCs/>
          <w:lang w:val="ro-RO"/>
        </w:rPr>
        <w:t>Not</w:t>
      </w:r>
      <w:r w:rsidR="0029130B" w:rsidRPr="00834B27">
        <w:rPr>
          <w:rFonts w:ascii="Calibri" w:hAnsi="Calibri" w:cs="Calibri"/>
          <w:i/>
          <w:iCs/>
          <w:lang w:val="ro-RO"/>
        </w:rPr>
        <w:t>ă</w:t>
      </w:r>
      <w:r w:rsidRPr="00834B27">
        <w:rPr>
          <w:rFonts w:ascii="Calibri" w:hAnsi="Calibri" w:cs="Calibri"/>
          <w:i/>
          <w:iCs/>
          <w:lang w:val="ro-RO"/>
        </w:rPr>
        <w:t xml:space="preserve">: </w:t>
      </w:r>
    </w:p>
    <w:p w14:paraId="7832ACB4" w14:textId="500C1F59" w:rsidR="008E4491" w:rsidRPr="00834B27" w:rsidRDefault="008E4491" w:rsidP="008E4491">
      <w:pPr>
        <w:keepNext/>
        <w:tabs>
          <w:tab w:val="left" w:pos="720"/>
        </w:tabs>
        <w:spacing w:line="276" w:lineRule="auto"/>
        <w:jc w:val="both"/>
        <w:rPr>
          <w:rFonts w:ascii="Calibri" w:hAnsi="Calibri" w:cs="Calibri"/>
          <w:lang w:val="ro-RO"/>
        </w:rPr>
      </w:pPr>
      <w:r w:rsidRPr="00834B27">
        <w:rPr>
          <w:rFonts w:ascii="Calibri" w:hAnsi="Calibri" w:cs="Calibri"/>
          <w:lang w:val="ro-RO"/>
        </w:rPr>
        <w:t>Trebuie subliniat că, sub regimul cotelor progresive (2000–2004), doar veniturile din muncă erau supuse cotelor de până la 40%, afectând disproporționat clasa mijlocie. Veniturile din dividende erau impozitate cu doar 5%, câștigurile de capital cu 1%, iar câștigurile din tranzacții imobiliare erau complet neimpozitate. Regimul progresiv nu era, deci, unul progresiv pe totalul veniturilor — era progresiv doar pe veniturile din muncă, ceea ce îl făcea regresiv în ansamblu.</w:t>
      </w:r>
    </w:p>
    <w:p w14:paraId="27027C80" w14:textId="6E3ABEAC" w:rsidR="008E4491" w:rsidRPr="00834B27" w:rsidRDefault="00176D44" w:rsidP="00176D44">
      <w:pPr>
        <w:tabs>
          <w:tab w:val="left" w:pos="720"/>
        </w:tabs>
        <w:spacing w:line="276" w:lineRule="auto"/>
        <w:jc w:val="both"/>
        <w:rPr>
          <w:rFonts w:ascii="Calibri" w:hAnsi="Calibri" w:cs="Calibri"/>
          <w:lang w:val="ro-RO"/>
        </w:rPr>
      </w:pPr>
      <w:r w:rsidRPr="00834B27">
        <w:rPr>
          <w:rFonts w:ascii="Calibri" w:hAnsi="Calibri" w:cs="Calibri"/>
          <w:lang w:val="ro-RO"/>
        </w:rPr>
        <w:t>S</w:t>
      </w:r>
      <w:r w:rsidR="0029130B" w:rsidRPr="00834B27">
        <w:rPr>
          <w:rFonts w:ascii="Calibri" w:hAnsi="Calibri" w:cs="Calibri"/>
          <w:lang w:val="ro-RO"/>
        </w:rPr>
        <w:t>căderea</w:t>
      </w:r>
      <w:r w:rsidR="008510B0" w:rsidRPr="00834B27">
        <w:rPr>
          <w:rFonts w:ascii="Calibri" w:hAnsi="Calibri" w:cs="Calibri"/>
          <w:lang w:val="ro-RO"/>
        </w:rPr>
        <w:t xml:space="preserve"> din 2002</w:t>
      </w:r>
      <w:r w:rsidR="00534CD2" w:rsidRPr="00834B27">
        <w:rPr>
          <w:rFonts w:ascii="Calibri" w:hAnsi="Calibri" w:cs="Calibri"/>
          <w:lang w:val="ro-RO"/>
        </w:rPr>
        <w:t xml:space="preserve"> (de la 2,9</w:t>
      </w:r>
      <w:r w:rsidR="003C4E0A" w:rsidRPr="00834B27">
        <w:rPr>
          <w:rFonts w:ascii="Calibri" w:hAnsi="Calibri" w:cs="Calibri"/>
          <w:lang w:val="ro-RO"/>
        </w:rPr>
        <w:t>9</w:t>
      </w:r>
      <w:r w:rsidR="00534CD2" w:rsidRPr="00834B27">
        <w:rPr>
          <w:rFonts w:ascii="Calibri" w:hAnsi="Calibri" w:cs="Calibri"/>
          <w:lang w:val="ro-RO"/>
        </w:rPr>
        <w:t>% la 2,</w:t>
      </w:r>
      <w:r w:rsidR="003C4E0A" w:rsidRPr="00834B27">
        <w:rPr>
          <w:rFonts w:ascii="Calibri" w:hAnsi="Calibri" w:cs="Calibri"/>
          <w:lang w:val="ro-RO"/>
        </w:rPr>
        <w:t xml:space="preserve">6% PIB) este </w:t>
      </w:r>
      <w:r w:rsidR="00C75F3E" w:rsidRPr="00834B27">
        <w:rPr>
          <w:rFonts w:ascii="Calibri" w:hAnsi="Calibri" w:cs="Calibri"/>
          <w:lang w:val="ro-RO"/>
        </w:rPr>
        <w:t>cauzată</w:t>
      </w:r>
      <w:r w:rsidR="003C4E0A" w:rsidRPr="00834B27">
        <w:rPr>
          <w:rFonts w:ascii="Calibri" w:hAnsi="Calibri" w:cs="Calibri"/>
          <w:lang w:val="ro-RO"/>
        </w:rPr>
        <w:t xml:space="preserve"> </w:t>
      </w:r>
      <w:r w:rsidR="00C75F3E" w:rsidRPr="00834B27">
        <w:rPr>
          <w:rFonts w:ascii="Calibri" w:hAnsi="Calibri" w:cs="Calibri"/>
          <w:lang w:val="ro-RO"/>
        </w:rPr>
        <w:t>de introducerea</w:t>
      </w:r>
      <w:r w:rsidR="003C4E0A" w:rsidRPr="00834B27">
        <w:rPr>
          <w:rFonts w:ascii="Calibri" w:hAnsi="Calibri" w:cs="Calibri"/>
          <w:lang w:val="ro-RO"/>
        </w:rPr>
        <w:t xml:space="preserve"> </w:t>
      </w:r>
      <w:r w:rsidR="00265509" w:rsidRPr="00834B27">
        <w:rPr>
          <w:rFonts w:ascii="Calibri" w:hAnsi="Calibri" w:cs="Calibri"/>
          <w:lang w:val="ro-RO"/>
        </w:rPr>
        <w:t xml:space="preserve">regimului de impozitare a </w:t>
      </w:r>
      <w:r w:rsidR="0029130B" w:rsidRPr="00834B27">
        <w:rPr>
          <w:rFonts w:ascii="Calibri" w:hAnsi="Calibri" w:cs="Calibri"/>
          <w:lang w:val="ro-RO"/>
        </w:rPr>
        <w:t>microîntreprinderilor</w:t>
      </w:r>
      <w:r w:rsidR="00670BE4" w:rsidRPr="00834B27">
        <w:rPr>
          <w:rFonts w:ascii="Calibri" w:hAnsi="Calibri" w:cs="Calibri"/>
          <w:lang w:val="ro-RO"/>
        </w:rPr>
        <w:t xml:space="preserve">, </w:t>
      </w:r>
      <w:r w:rsidR="0029130B" w:rsidRPr="00834B27">
        <w:rPr>
          <w:rFonts w:ascii="Calibri" w:hAnsi="Calibri" w:cs="Calibri"/>
          <w:lang w:val="ro-RO"/>
        </w:rPr>
        <w:t>fără</w:t>
      </w:r>
      <w:r w:rsidR="00670BE4" w:rsidRPr="00834B27">
        <w:rPr>
          <w:rFonts w:ascii="Calibri" w:hAnsi="Calibri" w:cs="Calibri"/>
          <w:lang w:val="ro-RO"/>
        </w:rPr>
        <w:t xml:space="preserve"> nicio </w:t>
      </w:r>
      <w:r w:rsidR="0029130B" w:rsidRPr="00834B27">
        <w:rPr>
          <w:rFonts w:ascii="Calibri" w:hAnsi="Calibri" w:cs="Calibri"/>
          <w:lang w:val="ro-RO"/>
        </w:rPr>
        <w:t>restric</w:t>
      </w:r>
      <w:r w:rsidR="00D77C4B" w:rsidRPr="00834B27">
        <w:rPr>
          <w:rFonts w:ascii="Calibri" w:hAnsi="Calibri" w:cs="Calibri"/>
          <w:lang w:val="ro-RO"/>
        </w:rPr>
        <w:t>ț</w:t>
      </w:r>
      <w:r w:rsidR="0029130B" w:rsidRPr="00834B27">
        <w:rPr>
          <w:rFonts w:ascii="Calibri" w:hAnsi="Calibri" w:cs="Calibri"/>
          <w:lang w:val="ro-RO"/>
        </w:rPr>
        <w:t>ie</w:t>
      </w:r>
      <w:r w:rsidR="00670BE4" w:rsidRPr="00834B27">
        <w:rPr>
          <w:rFonts w:ascii="Calibri" w:hAnsi="Calibri" w:cs="Calibri"/>
          <w:lang w:val="ro-RO"/>
        </w:rPr>
        <w:t xml:space="preserve"> </w:t>
      </w:r>
      <w:r w:rsidR="0029130B" w:rsidRPr="00834B27">
        <w:rPr>
          <w:rFonts w:ascii="Calibri" w:hAnsi="Calibri" w:cs="Calibri"/>
          <w:lang w:val="ro-RO"/>
        </w:rPr>
        <w:t>î</w:t>
      </w:r>
      <w:r w:rsidR="00670BE4" w:rsidRPr="00834B27">
        <w:rPr>
          <w:rFonts w:ascii="Calibri" w:hAnsi="Calibri" w:cs="Calibri"/>
          <w:lang w:val="ro-RO"/>
        </w:rPr>
        <w:t xml:space="preserve">n ceea ce </w:t>
      </w:r>
      <w:r w:rsidR="0029130B" w:rsidRPr="00834B27">
        <w:rPr>
          <w:rFonts w:ascii="Calibri" w:hAnsi="Calibri" w:cs="Calibri"/>
          <w:lang w:val="ro-RO"/>
        </w:rPr>
        <w:t>privește</w:t>
      </w:r>
      <w:r w:rsidR="00670BE4" w:rsidRPr="00834B27">
        <w:rPr>
          <w:rFonts w:ascii="Calibri" w:hAnsi="Calibri" w:cs="Calibri"/>
          <w:lang w:val="ro-RO"/>
        </w:rPr>
        <w:t xml:space="preserve"> obiectul de activitate sau </w:t>
      </w:r>
      <w:r w:rsidR="0029130B" w:rsidRPr="00834B27">
        <w:rPr>
          <w:rFonts w:ascii="Calibri" w:hAnsi="Calibri" w:cs="Calibri"/>
          <w:lang w:val="ro-RO"/>
        </w:rPr>
        <w:t>numărul</w:t>
      </w:r>
      <w:r w:rsidR="00670BE4" w:rsidRPr="00834B27">
        <w:rPr>
          <w:rFonts w:ascii="Calibri" w:hAnsi="Calibri" w:cs="Calibri"/>
          <w:lang w:val="ro-RO"/>
        </w:rPr>
        <w:t xml:space="preserve"> de </w:t>
      </w:r>
      <w:r w:rsidR="0029130B" w:rsidRPr="00834B27">
        <w:rPr>
          <w:rFonts w:ascii="Calibri" w:hAnsi="Calibri" w:cs="Calibri"/>
          <w:lang w:val="ro-RO"/>
        </w:rPr>
        <w:t>microîntreprinderi</w:t>
      </w:r>
      <w:r w:rsidR="00670BE4" w:rsidRPr="00834B27">
        <w:rPr>
          <w:rFonts w:ascii="Calibri" w:hAnsi="Calibri" w:cs="Calibri"/>
          <w:lang w:val="ro-RO"/>
        </w:rPr>
        <w:t xml:space="preserve"> ce puteau fi </w:t>
      </w:r>
      <w:r w:rsidR="0029130B" w:rsidRPr="00834B27">
        <w:rPr>
          <w:rFonts w:ascii="Calibri" w:hAnsi="Calibri" w:cs="Calibri"/>
          <w:lang w:val="ro-RO"/>
        </w:rPr>
        <w:t>de</w:t>
      </w:r>
      <w:r w:rsidR="00D77C4B" w:rsidRPr="00834B27">
        <w:rPr>
          <w:rFonts w:ascii="Calibri" w:hAnsi="Calibri" w:cs="Calibri"/>
          <w:lang w:val="ro-RO"/>
        </w:rPr>
        <w:t>ț</w:t>
      </w:r>
      <w:r w:rsidR="0029130B" w:rsidRPr="00834B27">
        <w:rPr>
          <w:rFonts w:ascii="Calibri" w:hAnsi="Calibri" w:cs="Calibri"/>
          <w:lang w:val="ro-RO"/>
        </w:rPr>
        <w:t>inute</w:t>
      </w:r>
      <w:r w:rsidR="00764BA9" w:rsidRPr="00834B27">
        <w:rPr>
          <w:rFonts w:ascii="Calibri" w:hAnsi="Calibri" w:cs="Calibri"/>
          <w:lang w:val="ro-RO"/>
        </w:rPr>
        <w:t xml:space="preserve"> de un contribuabil</w:t>
      </w:r>
      <w:r w:rsidRPr="00834B27">
        <w:rPr>
          <w:rFonts w:ascii="Calibri" w:hAnsi="Calibri" w:cs="Calibri"/>
          <w:lang w:val="ro-RO"/>
        </w:rPr>
        <w:t>.</w:t>
      </w:r>
    </w:p>
    <w:p w14:paraId="5E39EE52" w14:textId="1A07BD0C" w:rsidR="00E63A1A" w:rsidRPr="00834B27" w:rsidRDefault="0029130B" w:rsidP="00C75F3E">
      <w:pPr>
        <w:tabs>
          <w:tab w:val="left" w:pos="720"/>
        </w:tabs>
        <w:spacing w:line="276" w:lineRule="auto"/>
        <w:jc w:val="both"/>
        <w:rPr>
          <w:rFonts w:ascii="Calibri" w:hAnsi="Calibri" w:cs="Calibri"/>
          <w:lang w:val="ro-RO"/>
        </w:rPr>
      </w:pPr>
      <w:r w:rsidRPr="00834B27">
        <w:rPr>
          <w:rFonts w:ascii="Calibri" w:hAnsi="Calibri" w:cs="Calibri"/>
          <w:lang w:val="ro-RO"/>
        </w:rPr>
        <w:t>Scăderea</w:t>
      </w:r>
      <w:r w:rsidR="00D64765" w:rsidRPr="00834B27">
        <w:rPr>
          <w:rFonts w:ascii="Calibri" w:hAnsi="Calibri" w:cs="Calibri"/>
          <w:lang w:val="ro-RO"/>
        </w:rPr>
        <w:t xml:space="preserve"> din 2005 este perfect </w:t>
      </w:r>
      <w:r w:rsidRPr="00834B27">
        <w:rPr>
          <w:rFonts w:ascii="Calibri" w:hAnsi="Calibri" w:cs="Calibri"/>
          <w:lang w:val="ro-RO"/>
        </w:rPr>
        <w:t>justificată</w:t>
      </w:r>
      <w:r w:rsidR="00D64765" w:rsidRPr="00834B27">
        <w:rPr>
          <w:rFonts w:ascii="Calibri" w:hAnsi="Calibri" w:cs="Calibri"/>
          <w:lang w:val="ro-RO"/>
        </w:rPr>
        <w:t xml:space="preserve"> de faptul c</w:t>
      </w:r>
      <w:r w:rsidRPr="00834B27">
        <w:rPr>
          <w:rFonts w:ascii="Calibri" w:hAnsi="Calibri" w:cs="Calibri"/>
          <w:lang w:val="ro-RO"/>
        </w:rPr>
        <w:t>ă</w:t>
      </w:r>
      <w:r w:rsidR="00D64765" w:rsidRPr="00834B27">
        <w:rPr>
          <w:rFonts w:ascii="Calibri" w:hAnsi="Calibri" w:cs="Calibri"/>
          <w:lang w:val="ro-RO"/>
        </w:rPr>
        <w:t xml:space="preserve"> introducerea cotei unice de 16%</w:t>
      </w:r>
      <w:r w:rsidR="00C01924" w:rsidRPr="00834B27">
        <w:rPr>
          <w:rFonts w:ascii="Calibri" w:hAnsi="Calibri" w:cs="Calibri"/>
          <w:lang w:val="ro-RO"/>
        </w:rPr>
        <w:t xml:space="preserve"> nu a venit </w:t>
      </w:r>
      <w:r w:rsidRPr="00834B27">
        <w:rPr>
          <w:rFonts w:ascii="Calibri" w:hAnsi="Calibri" w:cs="Calibri"/>
          <w:lang w:val="ro-RO"/>
        </w:rPr>
        <w:t>ș</w:t>
      </w:r>
      <w:r w:rsidR="00C01924" w:rsidRPr="00834B27">
        <w:rPr>
          <w:rFonts w:ascii="Calibri" w:hAnsi="Calibri" w:cs="Calibri"/>
          <w:lang w:val="ro-RO"/>
        </w:rPr>
        <w:t xml:space="preserve">i cu extinderea bazei de impunere. </w:t>
      </w:r>
      <w:r w:rsidR="00C86E47" w:rsidRPr="00834B27">
        <w:rPr>
          <w:rFonts w:ascii="Calibri" w:hAnsi="Calibri" w:cs="Calibri"/>
          <w:lang w:val="ro-RO"/>
        </w:rPr>
        <w:t xml:space="preserve">Doar impozitul pe dividende a fost majorat la 10%, impozitul pe </w:t>
      </w:r>
      <w:r w:rsidRPr="00834B27">
        <w:rPr>
          <w:rFonts w:ascii="Calibri" w:hAnsi="Calibri" w:cs="Calibri"/>
          <w:lang w:val="ro-RO"/>
        </w:rPr>
        <w:t>câștigurile</w:t>
      </w:r>
      <w:r w:rsidR="00C86E47" w:rsidRPr="00834B27">
        <w:rPr>
          <w:rFonts w:ascii="Calibri" w:hAnsi="Calibri" w:cs="Calibri"/>
          <w:lang w:val="ro-RO"/>
        </w:rPr>
        <w:t xml:space="preserve"> de capital </w:t>
      </w:r>
      <w:r w:rsidRPr="00834B27">
        <w:rPr>
          <w:rFonts w:ascii="Calibri" w:hAnsi="Calibri" w:cs="Calibri"/>
          <w:lang w:val="ro-RO"/>
        </w:rPr>
        <w:t>rămânând</w:t>
      </w:r>
      <w:r w:rsidR="00C86E47" w:rsidRPr="00834B27">
        <w:rPr>
          <w:rFonts w:ascii="Calibri" w:hAnsi="Calibri" w:cs="Calibri"/>
          <w:lang w:val="ro-RO"/>
        </w:rPr>
        <w:t xml:space="preserve"> la 1%</w:t>
      </w:r>
      <w:r w:rsidR="001F00A5" w:rsidRPr="00834B27">
        <w:rPr>
          <w:rFonts w:ascii="Calibri" w:hAnsi="Calibri" w:cs="Calibri"/>
          <w:lang w:val="ro-RO"/>
        </w:rPr>
        <w:t xml:space="preserve">, </w:t>
      </w:r>
      <w:r w:rsidRPr="00834B27">
        <w:rPr>
          <w:rFonts w:ascii="Calibri" w:hAnsi="Calibri" w:cs="Calibri"/>
          <w:lang w:val="ro-RO"/>
        </w:rPr>
        <w:t>câștigurile</w:t>
      </w:r>
      <w:r w:rsidR="001F00A5" w:rsidRPr="00834B27">
        <w:rPr>
          <w:rFonts w:ascii="Calibri" w:hAnsi="Calibri" w:cs="Calibri"/>
          <w:lang w:val="ro-RO"/>
        </w:rPr>
        <w:t xml:space="preserve"> din </w:t>
      </w:r>
      <w:r w:rsidRPr="00834B27">
        <w:rPr>
          <w:rFonts w:ascii="Calibri" w:hAnsi="Calibri" w:cs="Calibri"/>
          <w:lang w:val="ro-RO"/>
        </w:rPr>
        <w:t>tranzac</w:t>
      </w:r>
      <w:r w:rsidR="00D77C4B" w:rsidRPr="00834B27">
        <w:rPr>
          <w:rFonts w:ascii="Calibri" w:hAnsi="Calibri" w:cs="Calibri"/>
          <w:lang w:val="ro-RO"/>
        </w:rPr>
        <w:t>ț</w:t>
      </w:r>
      <w:r w:rsidRPr="00834B27">
        <w:rPr>
          <w:rFonts w:ascii="Calibri" w:hAnsi="Calibri" w:cs="Calibri"/>
          <w:lang w:val="ro-RO"/>
        </w:rPr>
        <w:t>ii</w:t>
      </w:r>
      <w:r w:rsidR="001F00A5" w:rsidRPr="00834B27">
        <w:rPr>
          <w:rFonts w:ascii="Calibri" w:hAnsi="Calibri" w:cs="Calibri"/>
          <w:lang w:val="ro-RO"/>
        </w:rPr>
        <w:t xml:space="preserve"> imobiliare r</w:t>
      </w:r>
      <w:r w:rsidRPr="00834B27">
        <w:rPr>
          <w:rFonts w:ascii="Calibri" w:hAnsi="Calibri" w:cs="Calibri"/>
          <w:lang w:val="ro-RO"/>
        </w:rPr>
        <w:t>ă</w:t>
      </w:r>
      <w:r w:rsidR="001F00A5" w:rsidRPr="00834B27">
        <w:rPr>
          <w:rFonts w:ascii="Calibri" w:hAnsi="Calibri" w:cs="Calibri"/>
          <w:lang w:val="ro-RO"/>
        </w:rPr>
        <w:t>m</w:t>
      </w:r>
      <w:r w:rsidRPr="00834B27">
        <w:rPr>
          <w:rFonts w:ascii="Calibri" w:hAnsi="Calibri" w:cs="Calibri"/>
          <w:lang w:val="ro-RO"/>
        </w:rPr>
        <w:t>ânând</w:t>
      </w:r>
      <w:r w:rsidR="001F00A5" w:rsidRPr="00834B27">
        <w:rPr>
          <w:rFonts w:ascii="Calibri" w:hAnsi="Calibri" w:cs="Calibri"/>
          <w:lang w:val="ro-RO"/>
        </w:rPr>
        <w:t xml:space="preserve"> neimpozitate</w:t>
      </w:r>
      <w:r w:rsidR="00F94253" w:rsidRPr="00834B27">
        <w:rPr>
          <w:rFonts w:ascii="Calibri" w:hAnsi="Calibri" w:cs="Calibri"/>
          <w:lang w:val="ro-RO"/>
        </w:rPr>
        <w:t xml:space="preserve"> </w:t>
      </w:r>
      <w:r w:rsidRPr="00834B27">
        <w:rPr>
          <w:rFonts w:ascii="Calibri" w:hAnsi="Calibri" w:cs="Calibri"/>
          <w:lang w:val="ro-RO"/>
        </w:rPr>
        <w:t>ș</w:t>
      </w:r>
      <w:r w:rsidR="00F94253" w:rsidRPr="00834B27">
        <w:rPr>
          <w:rFonts w:ascii="Calibri" w:hAnsi="Calibri" w:cs="Calibri"/>
          <w:lang w:val="ro-RO"/>
        </w:rPr>
        <w:t>i nu au fost introduse niciun fel de m</w:t>
      </w:r>
      <w:r w:rsidRPr="00834B27">
        <w:rPr>
          <w:rFonts w:ascii="Calibri" w:hAnsi="Calibri" w:cs="Calibri"/>
          <w:lang w:val="ro-RO"/>
        </w:rPr>
        <w:t>ă</w:t>
      </w:r>
      <w:r w:rsidR="00F94253" w:rsidRPr="00834B27">
        <w:rPr>
          <w:rFonts w:ascii="Calibri" w:hAnsi="Calibri" w:cs="Calibri"/>
          <w:lang w:val="ro-RO"/>
        </w:rPr>
        <w:t xml:space="preserve">suri anti-abuz </w:t>
      </w:r>
      <w:r w:rsidRPr="00834B27">
        <w:rPr>
          <w:rFonts w:ascii="Calibri" w:hAnsi="Calibri" w:cs="Calibri"/>
          <w:lang w:val="ro-RO"/>
        </w:rPr>
        <w:t>î</w:t>
      </w:r>
      <w:r w:rsidR="00F94253" w:rsidRPr="00834B27">
        <w:rPr>
          <w:rFonts w:ascii="Calibri" w:hAnsi="Calibri" w:cs="Calibri"/>
          <w:lang w:val="ro-RO"/>
        </w:rPr>
        <w:t xml:space="preserve">n ceea ce </w:t>
      </w:r>
      <w:r w:rsidRPr="00834B27">
        <w:rPr>
          <w:rFonts w:ascii="Calibri" w:hAnsi="Calibri" w:cs="Calibri"/>
          <w:lang w:val="ro-RO"/>
        </w:rPr>
        <w:t>privește</w:t>
      </w:r>
      <w:r w:rsidR="00F94253" w:rsidRPr="00834B27">
        <w:rPr>
          <w:rFonts w:ascii="Calibri" w:hAnsi="Calibri" w:cs="Calibri"/>
          <w:lang w:val="ro-RO"/>
        </w:rPr>
        <w:t xml:space="preserve"> „mascarea” veniturilor din salarii sub alte forme de remunerare</w:t>
      </w:r>
      <w:r w:rsidR="00D3472B" w:rsidRPr="00834B27">
        <w:rPr>
          <w:rFonts w:ascii="Calibri" w:hAnsi="Calibri" w:cs="Calibri"/>
          <w:lang w:val="ro-RO"/>
        </w:rPr>
        <w:t xml:space="preserve"> a muncii (</w:t>
      </w:r>
      <w:r w:rsidRPr="00834B27">
        <w:rPr>
          <w:rFonts w:ascii="Calibri" w:hAnsi="Calibri" w:cs="Calibri"/>
          <w:lang w:val="ro-RO"/>
        </w:rPr>
        <w:t>î</w:t>
      </w:r>
      <w:r w:rsidR="00D3472B" w:rsidRPr="00834B27">
        <w:rPr>
          <w:rFonts w:ascii="Calibri" w:hAnsi="Calibri" w:cs="Calibri"/>
          <w:lang w:val="ro-RO"/>
        </w:rPr>
        <w:t>n special sub forma contractelor de consultan</w:t>
      </w:r>
      <w:r w:rsidR="00D77C4B" w:rsidRPr="00834B27">
        <w:rPr>
          <w:rFonts w:ascii="Calibri" w:hAnsi="Calibri" w:cs="Calibri"/>
          <w:lang w:val="ro-RO"/>
        </w:rPr>
        <w:t>ț</w:t>
      </w:r>
      <w:r w:rsidRPr="00834B27">
        <w:rPr>
          <w:rFonts w:ascii="Calibri" w:hAnsi="Calibri" w:cs="Calibri"/>
          <w:lang w:val="ro-RO"/>
        </w:rPr>
        <w:t>ă</w:t>
      </w:r>
      <w:r w:rsidR="00D3472B" w:rsidRPr="00834B27">
        <w:rPr>
          <w:rFonts w:ascii="Calibri" w:hAnsi="Calibri" w:cs="Calibri"/>
          <w:lang w:val="ro-RO"/>
        </w:rPr>
        <w:t xml:space="preserve">/management cu </w:t>
      </w:r>
      <w:r w:rsidRPr="00834B27">
        <w:rPr>
          <w:rFonts w:ascii="Calibri" w:hAnsi="Calibri" w:cs="Calibri"/>
          <w:lang w:val="ro-RO"/>
        </w:rPr>
        <w:t>microîntreprinderi</w:t>
      </w:r>
      <w:r w:rsidR="00D3472B" w:rsidRPr="00834B27">
        <w:rPr>
          <w:rFonts w:ascii="Calibri" w:hAnsi="Calibri" w:cs="Calibri"/>
          <w:lang w:val="ro-RO"/>
        </w:rPr>
        <w:t>)</w:t>
      </w:r>
      <w:r w:rsidR="00176D44" w:rsidRPr="00834B27">
        <w:rPr>
          <w:rFonts w:ascii="Calibri" w:hAnsi="Calibri" w:cs="Calibri"/>
          <w:lang w:val="ro-RO"/>
        </w:rPr>
        <w:t>.</w:t>
      </w:r>
    </w:p>
    <w:p w14:paraId="48AE9696" w14:textId="23A3E8BD" w:rsidR="009D0A18" w:rsidRPr="00834B27" w:rsidRDefault="00176D44" w:rsidP="00C75F3E">
      <w:pPr>
        <w:tabs>
          <w:tab w:val="left" w:pos="720"/>
        </w:tabs>
        <w:spacing w:line="276" w:lineRule="auto"/>
        <w:jc w:val="both"/>
        <w:rPr>
          <w:rFonts w:ascii="Calibri" w:hAnsi="Calibri" w:cs="Calibri"/>
          <w:lang w:val="ro-RO"/>
        </w:rPr>
      </w:pPr>
      <w:r w:rsidRPr="00834B27">
        <w:rPr>
          <w:rFonts w:ascii="Calibri" w:hAnsi="Calibri" w:cs="Calibri"/>
          <w:lang w:val="ro-RO"/>
        </w:rPr>
        <w:lastRenderedPageBreak/>
        <w:t>Creșterea</w:t>
      </w:r>
      <w:r w:rsidR="00D3472B" w:rsidRPr="00834B27">
        <w:rPr>
          <w:rFonts w:ascii="Calibri" w:hAnsi="Calibri" w:cs="Calibri"/>
          <w:lang w:val="ro-RO"/>
        </w:rPr>
        <w:t xml:space="preserve"> </w:t>
      </w:r>
      <w:r w:rsidR="0029130B" w:rsidRPr="00834B27">
        <w:rPr>
          <w:rFonts w:ascii="Calibri" w:hAnsi="Calibri" w:cs="Calibri"/>
          <w:lang w:val="ro-RO"/>
        </w:rPr>
        <w:t>ușoară</w:t>
      </w:r>
      <w:r w:rsidR="005E3B99" w:rsidRPr="00834B27">
        <w:rPr>
          <w:rFonts w:ascii="Calibri" w:hAnsi="Calibri" w:cs="Calibri"/>
          <w:lang w:val="ro-RO"/>
        </w:rPr>
        <w:t xml:space="preserve"> din 2006 este datorat</w:t>
      </w:r>
      <w:r w:rsidR="0029130B" w:rsidRPr="00834B27">
        <w:rPr>
          <w:rFonts w:ascii="Calibri" w:hAnsi="Calibri" w:cs="Calibri"/>
          <w:lang w:val="ro-RO"/>
        </w:rPr>
        <w:t>ă</w:t>
      </w:r>
      <w:r w:rsidR="005E3B99" w:rsidRPr="00834B27">
        <w:rPr>
          <w:rFonts w:ascii="Calibri" w:hAnsi="Calibri" w:cs="Calibri"/>
          <w:lang w:val="ro-RO"/>
        </w:rPr>
        <w:t xml:space="preserve"> </w:t>
      </w:r>
      <w:r w:rsidR="0029130B" w:rsidRPr="00834B27">
        <w:rPr>
          <w:rFonts w:ascii="Calibri" w:hAnsi="Calibri" w:cs="Calibri"/>
          <w:lang w:val="ro-RO"/>
        </w:rPr>
        <w:t>atât</w:t>
      </w:r>
      <w:r w:rsidR="005E3B99" w:rsidRPr="00834B27">
        <w:rPr>
          <w:rFonts w:ascii="Calibri" w:hAnsi="Calibri" w:cs="Calibri"/>
          <w:lang w:val="ro-RO"/>
        </w:rPr>
        <w:t xml:space="preserve"> </w:t>
      </w:r>
      <w:r w:rsidR="0029130B" w:rsidRPr="00834B27">
        <w:rPr>
          <w:rFonts w:ascii="Calibri" w:hAnsi="Calibri" w:cs="Calibri"/>
          <w:lang w:val="ro-RO"/>
        </w:rPr>
        <w:t>creșterii</w:t>
      </w:r>
      <w:r w:rsidR="005E3B99" w:rsidRPr="00834B27">
        <w:rPr>
          <w:rFonts w:ascii="Calibri" w:hAnsi="Calibri" w:cs="Calibri"/>
          <w:lang w:val="ro-RO"/>
        </w:rPr>
        <w:t xml:space="preserve"> </w:t>
      </w:r>
      <w:r w:rsidR="0029130B" w:rsidRPr="00834B27">
        <w:rPr>
          <w:rFonts w:ascii="Calibri" w:hAnsi="Calibri" w:cs="Calibri"/>
          <w:lang w:val="ro-RO"/>
        </w:rPr>
        <w:t>conformării</w:t>
      </w:r>
      <w:r w:rsidR="005E3B99" w:rsidRPr="00834B27">
        <w:rPr>
          <w:rFonts w:ascii="Calibri" w:hAnsi="Calibri" w:cs="Calibri"/>
          <w:lang w:val="ro-RO"/>
        </w:rPr>
        <w:t xml:space="preserve">, </w:t>
      </w:r>
      <w:r w:rsidR="00C75F3E" w:rsidRPr="00834B27">
        <w:rPr>
          <w:rFonts w:ascii="Calibri" w:hAnsi="Calibri" w:cs="Calibri"/>
          <w:lang w:val="ro-RO"/>
        </w:rPr>
        <w:t>cât</w:t>
      </w:r>
      <w:r w:rsidR="005E3B99" w:rsidRPr="00834B27">
        <w:rPr>
          <w:rFonts w:ascii="Calibri" w:hAnsi="Calibri" w:cs="Calibri"/>
          <w:lang w:val="ro-RO"/>
        </w:rPr>
        <w:t xml:space="preserve"> </w:t>
      </w:r>
      <w:r w:rsidR="0029130B" w:rsidRPr="00834B27">
        <w:rPr>
          <w:rFonts w:ascii="Calibri" w:hAnsi="Calibri" w:cs="Calibri"/>
          <w:lang w:val="ro-RO"/>
        </w:rPr>
        <w:t>ș</w:t>
      </w:r>
      <w:r w:rsidR="005E3B99" w:rsidRPr="00834B27">
        <w:rPr>
          <w:rFonts w:ascii="Calibri" w:hAnsi="Calibri" w:cs="Calibri"/>
          <w:lang w:val="ro-RO"/>
        </w:rPr>
        <w:t xml:space="preserve">i introducerii </w:t>
      </w:r>
      <w:r w:rsidR="00212B4D" w:rsidRPr="00834B27">
        <w:rPr>
          <w:rFonts w:ascii="Calibri" w:hAnsi="Calibri" w:cs="Calibri"/>
          <w:lang w:val="ro-RO"/>
        </w:rPr>
        <w:t xml:space="preserve">impozitului pe </w:t>
      </w:r>
      <w:r w:rsidR="0029130B" w:rsidRPr="00834B27">
        <w:rPr>
          <w:rFonts w:ascii="Calibri" w:hAnsi="Calibri" w:cs="Calibri"/>
          <w:lang w:val="ro-RO"/>
        </w:rPr>
        <w:t>câștigul</w:t>
      </w:r>
      <w:r w:rsidR="00212B4D" w:rsidRPr="00834B27">
        <w:rPr>
          <w:rFonts w:ascii="Calibri" w:hAnsi="Calibri" w:cs="Calibri"/>
          <w:lang w:val="ro-RO"/>
        </w:rPr>
        <w:t xml:space="preserve"> din </w:t>
      </w:r>
      <w:r w:rsidR="0029130B" w:rsidRPr="00834B27">
        <w:rPr>
          <w:rFonts w:ascii="Calibri" w:hAnsi="Calibri" w:cs="Calibri"/>
          <w:lang w:val="ro-RO"/>
        </w:rPr>
        <w:t>tranzac</w:t>
      </w:r>
      <w:r w:rsidR="00D77C4B" w:rsidRPr="00834B27">
        <w:rPr>
          <w:rFonts w:ascii="Calibri" w:hAnsi="Calibri" w:cs="Calibri"/>
          <w:lang w:val="ro-RO"/>
        </w:rPr>
        <w:t>ț</w:t>
      </w:r>
      <w:r w:rsidR="0029130B" w:rsidRPr="00834B27">
        <w:rPr>
          <w:rFonts w:ascii="Calibri" w:hAnsi="Calibri" w:cs="Calibri"/>
          <w:lang w:val="ro-RO"/>
        </w:rPr>
        <w:t>ii</w:t>
      </w:r>
      <w:r w:rsidR="00212B4D" w:rsidRPr="00834B27">
        <w:rPr>
          <w:rFonts w:ascii="Calibri" w:hAnsi="Calibri" w:cs="Calibri"/>
          <w:lang w:val="ro-RO"/>
        </w:rPr>
        <w:t xml:space="preserve"> imobiliare </w:t>
      </w:r>
      <w:r w:rsidR="00DD03BF" w:rsidRPr="00834B27">
        <w:rPr>
          <w:rFonts w:ascii="Calibri" w:hAnsi="Calibri" w:cs="Calibri"/>
          <w:lang w:val="ro-RO"/>
        </w:rPr>
        <w:t xml:space="preserve">(10%), a </w:t>
      </w:r>
      <w:r w:rsidR="0029130B" w:rsidRPr="00834B27">
        <w:rPr>
          <w:rFonts w:ascii="Calibri" w:hAnsi="Calibri" w:cs="Calibri"/>
          <w:lang w:val="ro-RO"/>
        </w:rPr>
        <w:t>creșterii</w:t>
      </w:r>
      <w:r w:rsidR="00DD03BF" w:rsidRPr="00834B27">
        <w:rPr>
          <w:rFonts w:ascii="Calibri" w:hAnsi="Calibri" w:cs="Calibri"/>
          <w:lang w:val="ro-RO"/>
        </w:rPr>
        <w:t xml:space="preserve"> la 1</w:t>
      </w:r>
      <w:r w:rsidR="00CC2B31" w:rsidRPr="00834B27">
        <w:rPr>
          <w:rFonts w:ascii="Calibri" w:hAnsi="Calibri" w:cs="Calibri"/>
          <w:lang w:val="ro-RO"/>
        </w:rPr>
        <w:t>6</w:t>
      </w:r>
      <w:r w:rsidR="00DD03BF" w:rsidRPr="00834B27">
        <w:rPr>
          <w:rFonts w:ascii="Calibri" w:hAnsi="Calibri" w:cs="Calibri"/>
          <w:lang w:val="ro-RO"/>
        </w:rPr>
        <w:t xml:space="preserve">% a impozitului pe dividende </w:t>
      </w:r>
      <w:r w:rsidR="0029130B" w:rsidRPr="00834B27">
        <w:rPr>
          <w:rFonts w:ascii="Calibri" w:hAnsi="Calibri" w:cs="Calibri"/>
          <w:lang w:val="ro-RO"/>
        </w:rPr>
        <w:t>ș</w:t>
      </w:r>
      <w:r w:rsidR="00DD03BF" w:rsidRPr="00834B27">
        <w:rPr>
          <w:rFonts w:ascii="Calibri" w:hAnsi="Calibri" w:cs="Calibri"/>
          <w:lang w:val="ro-RO"/>
        </w:rPr>
        <w:t xml:space="preserve">i introducerii cotei de impozit de 16% pentru </w:t>
      </w:r>
      <w:r w:rsidR="0029130B" w:rsidRPr="00834B27">
        <w:rPr>
          <w:rFonts w:ascii="Calibri" w:hAnsi="Calibri" w:cs="Calibri"/>
          <w:lang w:val="ro-RO"/>
        </w:rPr>
        <w:t>câștigul</w:t>
      </w:r>
      <w:r w:rsidR="002A220C" w:rsidRPr="00834B27">
        <w:rPr>
          <w:rFonts w:ascii="Calibri" w:hAnsi="Calibri" w:cs="Calibri"/>
          <w:lang w:val="ro-RO"/>
        </w:rPr>
        <w:t xml:space="preserve"> din </w:t>
      </w:r>
      <w:r w:rsidR="0029130B" w:rsidRPr="00834B27">
        <w:rPr>
          <w:rFonts w:ascii="Calibri" w:hAnsi="Calibri" w:cs="Calibri"/>
          <w:lang w:val="ro-RO"/>
        </w:rPr>
        <w:t>vânzarea</w:t>
      </w:r>
      <w:r w:rsidR="002A220C" w:rsidRPr="00834B27">
        <w:rPr>
          <w:rFonts w:ascii="Calibri" w:hAnsi="Calibri" w:cs="Calibri"/>
          <w:lang w:val="ro-RO"/>
        </w:rPr>
        <w:t xml:space="preserve"> titlurilor de participare </w:t>
      </w:r>
      <w:r w:rsidR="0029130B" w:rsidRPr="00834B27">
        <w:rPr>
          <w:rFonts w:ascii="Calibri" w:hAnsi="Calibri" w:cs="Calibri"/>
          <w:lang w:val="ro-RO"/>
        </w:rPr>
        <w:t>de</w:t>
      </w:r>
      <w:r w:rsidR="00D77C4B" w:rsidRPr="00834B27">
        <w:rPr>
          <w:rFonts w:ascii="Calibri" w:hAnsi="Calibri" w:cs="Calibri"/>
          <w:lang w:val="ro-RO"/>
        </w:rPr>
        <w:t>ț</w:t>
      </w:r>
      <w:r w:rsidR="0029130B" w:rsidRPr="00834B27">
        <w:rPr>
          <w:rFonts w:ascii="Calibri" w:hAnsi="Calibri" w:cs="Calibri"/>
          <w:lang w:val="ro-RO"/>
        </w:rPr>
        <w:t>inute</w:t>
      </w:r>
      <w:r w:rsidR="002A220C" w:rsidRPr="00834B27">
        <w:rPr>
          <w:rFonts w:ascii="Calibri" w:hAnsi="Calibri" w:cs="Calibri"/>
          <w:lang w:val="ro-RO"/>
        </w:rPr>
        <w:t xml:space="preserve"> de mai </w:t>
      </w:r>
      <w:r w:rsidR="0029130B" w:rsidRPr="00834B27">
        <w:rPr>
          <w:rFonts w:ascii="Calibri" w:hAnsi="Calibri" w:cs="Calibri"/>
          <w:lang w:val="ro-RO"/>
        </w:rPr>
        <w:t>pu</w:t>
      </w:r>
      <w:r w:rsidR="00D77C4B" w:rsidRPr="00834B27">
        <w:rPr>
          <w:rFonts w:ascii="Calibri" w:hAnsi="Calibri" w:cs="Calibri"/>
          <w:lang w:val="ro-RO"/>
        </w:rPr>
        <w:t>ț</w:t>
      </w:r>
      <w:r w:rsidR="0029130B" w:rsidRPr="00834B27">
        <w:rPr>
          <w:rFonts w:ascii="Calibri" w:hAnsi="Calibri" w:cs="Calibri"/>
          <w:lang w:val="ro-RO"/>
        </w:rPr>
        <w:t>in</w:t>
      </w:r>
      <w:r w:rsidR="002A220C" w:rsidRPr="00834B27">
        <w:rPr>
          <w:rFonts w:ascii="Calibri" w:hAnsi="Calibri" w:cs="Calibri"/>
          <w:lang w:val="ro-RO"/>
        </w:rPr>
        <w:t xml:space="preserve"> de 1 an</w:t>
      </w:r>
      <w:r w:rsidRPr="00834B27">
        <w:rPr>
          <w:rFonts w:ascii="Calibri" w:hAnsi="Calibri" w:cs="Calibri"/>
          <w:lang w:val="ro-RO"/>
        </w:rPr>
        <w:t>.</w:t>
      </w:r>
    </w:p>
    <w:p w14:paraId="6D36AAC1" w14:textId="3A101912" w:rsidR="009D0A18" w:rsidRPr="00834B27" w:rsidRDefault="00176D44" w:rsidP="00C75F3E">
      <w:pPr>
        <w:tabs>
          <w:tab w:val="left" w:pos="720"/>
        </w:tabs>
        <w:spacing w:line="276" w:lineRule="auto"/>
        <w:jc w:val="both"/>
        <w:rPr>
          <w:rFonts w:ascii="Calibri" w:hAnsi="Calibri" w:cs="Calibri"/>
          <w:lang w:val="ro-RO"/>
        </w:rPr>
      </w:pPr>
      <w:r w:rsidRPr="00834B27">
        <w:rPr>
          <w:rFonts w:ascii="Calibri" w:hAnsi="Calibri" w:cs="Calibri"/>
          <w:lang w:val="ro-RO"/>
        </w:rPr>
        <w:t>Creșterea</w:t>
      </w:r>
      <w:r w:rsidR="002A220C" w:rsidRPr="00834B27">
        <w:rPr>
          <w:rFonts w:ascii="Calibri" w:hAnsi="Calibri" w:cs="Calibri"/>
          <w:lang w:val="ro-RO"/>
        </w:rPr>
        <w:t xml:space="preserve"> masiv</w:t>
      </w:r>
      <w:r w:rsidR="0029130B" w:rsidRPr="00834B27">
        <w:rPr>
          <w:rFonts w:ascii="Calibri" w:hAnsi="Calibri" w:cs="Calibri"/>
          <w:lang w:val="ro-RO"/>
        </w:rPr>
        <w:t>ă</w:t>
      </w:r>
      <w:r w:rsidR="002A220C" w:rsidRPr="00834B27">
        <w:rPr>
          <w:rFonts w:ascii="Calibri" w:hAnsi="Calibri" w:cs="Calibri"/>
          <w:lang w:val="ro-RO"/>
        </w:rPr>
        <w:t xml:space="preserve"> din 2007 este datorat</w:t>
      </w:r>
      <w:r w:rsidR="0029130B" w:rsidRPr="00834B27">
        <w:rPr>
          <w:rFonts w:ascii="Calibri" w:hAnsi="Calibri" w:cs="Calibri"/>
          <w:lang w:val="ro-RO"/>
        </w:rPr>
        <w:t>ă,</w:t>
      </w:r>
      <w:r w:rsidR="002A220C" w:rsidRPr="00834B27">
        <w:rPr>
          <w:rFonts w:ascii="Calibri" w:hAnsi="Calibri" w:cs="Calibri"/>
          <w:lang w:val="ro-RO"/>
        </w:rPr>
        <w:t xml:space="preserve"> </w:t>
      </w:r>
      <w:r w:rsidR="0029130B" w:rsidRPr="00834B27">
        <w:rPr>
          <w:rFonts w:ascii="Calibri" w:hAnsi="Calibri" w:cs="Calibri"/>
          <w:lang w:val="ro-RO"/>
        </w:rPr>
        <w:t>î</w:t>
      </w:r>
      <w:r w:rsidR="002A220C" w:rsidRPr="00834B27">
        <w:rPr>
          <w:rFonts w:ascii="Calibri" w:hAnsi="Calibri" w:cs="Calibri"/>
          <w:lang w:val="ro-RO"/>
        </w:rPr>
        <w:t>n special</w:t>
      </w:r>
      <w:r w:rsidR="0029130B" w:rsidRPr="00834B27">
        <w:rPr>
          <w:rFonts w:ascii="Calibri" w:hAnsi="Calibri" w:cs="Calibri"/>
          <w:lang w:val="ro-RO"/>
        </w:rPr>
        <w:t>,</w:t>
      </w:r>
      <w:r w:rsidR="002A220C" w:rsidRPr="00834B27">
        <w:rPr>
          <w:rFonts w:ascii="Calibri" w:hAnsi="Calibri" w:cs="Calibri"/>
          <w:lang w:val="ro-RO"/>
        </w:rPr>
        <w:t xml:space="preserve"> </w:t>
      </w:r>
      <w:r w:rsidR="0029130B" w:rsidRPr="00834B27">
        <w:rPr>
          <w:rFonts w:ascii="Calibri" w:hAnsi="Calibri" w:cs="Calibri"/>
          <w:lang w:val="ro-RO"/>
        </w:rPr>
        <w:t>eliminării</w:t>
      </w:r>
      <w:r w:rsidR="002A220C" w:rsidRPr="00834B27">
        <w:rPr>
          <w:rFonts w:ascii="Calibri" w:hAnsi="Calibri" w:cs="Calibri"/>
          <w:lang w:val="ro-RO"/>
        </w:rPr>
        <w:t xml:space="preserve"> regimului </w:t>
      </w:r>
      <w:r w:rsidR="0029130B" w:rsidRPr="00834B27">
        <w:rPr>
          <w:rFonts w:ascii="Calibri" w:hAnsi="Calibri" w:cs="Calibri"/>
          <w:lang w:val="ro-RO"/>
        </w:rPr>
        <w:t>microîntreprinderilor</w:t>
      </w:r>
      <w:r w:rsidR="002A220C" w:rsidRPr="00834B27">
        <w:rPr>
          <w:rFonts w:ascii="Calibri" w:hAnsi="Calibri" w:cs="Calibri"/>
          <w:lang w:val="ro-RO"/>
        </w:rPr>
        <w:t xml:space="preserve"> </w:t>
      </w:r>
      <w:r w:rsidR="0029130B" w:rsidRPr="00834B27">
        <w:rPr>
          <w:rFonts w:ascii="Calibri" w:hAnsi="Calibri" w:cs="Calibri"/>
          <w:lang w:val="ro-RO"/>
        </w:rPr>
        <w:t>ș</w:t>
      </w:r>
      <w:r w:rsidR="002A220C" w:rsidRPr="00834B27">
        <w:rPr>
          <w:rFonts w:ascii="Calibri" w:hAnsi="Calibri" w:cs="Calibri"/>
          <w:lang w:val="ro-RO"/>
        </w:rPr>
        <w:t xml:space="preserve">i </w:t>
      </w:r>
      <w:r w:rsidR="0029130B" w:rsidRPr="00834B27">
        <w:rPr>
          <w:rFonts w:ascii="Calibri" w:hAnsi="Calibri" w:cs="Calibri"/>
          <w:lang w:val="ro-RO"/>
        </w:rPr>
        <w:t>migrării</w:t>
      </w:r>
      <w:r w:rsidR="002A220C" w:rsidRPr="00834B27">
        <w:rPr>
          <w:rFonts w:ascii="Calibri" w:hAnsi="Calibri" w:cs="Calibri"/>
          <w:lang w:val="ro-RO"/>
        </w:rPr>
        <w:t xml:space="preserve"> unei mase impozabile semnificative </w:t>
      </w:r>
      <w:r w:rsidR="0029130B" w:rsidRPr="00834B27">
        <w:rPr>
          <w:rFonts w:ascii="Calibri" w:hAnsi="Calibri" w:cs="Calibri"/>
          <w:lang w:val="ro-RO"/>
        </w:rPr>
        <w:t>înspre</w:t>
      </w:r>
      <w:r w:rsidR="002A220C" w:rsidRPr="00834B27">
        <w:rPr>
          <w:rFonts w:ascii="Calibri" w:hAnsi="Calibri" w:cs="Calibri"/>
          <w:lang w:val="ro-RO"/>
        </w:rPr>
        <w:t xml:space="preserve"> venituri din </w:t>
      </w:r>
      <w:r w:rsidR="0029130B" w:rsidRPr="00834B27">
        <w:rPr>
          <w:rFonts w:ascii="Calibri" w:hAnsi="Calibri" w:cs="Calibri"/>
          <w:lang w:val="ro-RO"/>
        </w:rPr>
        <w:t>activită</w:t>
      </w:r>
      <w:r w:rsidR="00D77C4B" w:rsidRPr="00834B27">
        <w:rPr>
          <w:rFonts w:ascii="Calibri" w:hAnsi="Calibri" w:cs="Calibri"/>
          <w:lang w:val="ro-RO"/>
        </w:rPr>
        <w:t>ț</w:t>
      </w:r>
      <w:r w:rsidR="0029130B" w:rsidRPr="00834B27">
        <w:rPr>
          <w:rFonts w:ascii="Calibri" w:hAnsi="Calibri" w:cs="Calibri"/>
          <w:lang w:val="ro-RO"/>
        </w:rPr>
        <w:t>i</w:t>
      </w:r>
      <w:r w:rsidR="002A220C" w:rsidRPr="00834B27">
        <w:rPr>
          <w:rFonts w:ascii="Calibri" w:hAnsi="Calibri" w:cs="Calibri"/>
          <w:lang w:val="ro-RO"/>
        </w:rPr>
        <w:t xml:space="preserve"> </w:t>
      </w:r>
      <w:r w:rsidR="0029130B" w:rsidRPr="00834B27">
        <w:rPr>
          <w:rFonts w:ascii="Calibri" w:hAnsi="Calibri" w:cs="Calibri"/>
          <w:lang w:val="ro-RO"/>
        </w:rPr>
        <w:t>independente</w:t>
      </w:r>
      <w:r w:rsidR="00C81716" w:rsidRPr="00834B27">
        <w:rPr>
          <w:rFonts w:ascii="Calibri" w:hAnsi="Calibri" w:cs="Calibri"/>
          <w:lang w:val="ro-RO"/>
        </w:rPr>
        <w:t xml:space="preserve"> (unde CAS, CASS erau semnificativ mai mici </w:t>
      </w:r>
      <w:r w:rsidR="005B111B" w:rsidRPr="00834B27">
        <w:rPr>
          <w:rFonts w:ascii="Calibri" w:hAnsi="Calibri" w:cs="Calibri"/>
          <w:lang w:val="ro-RO"/>
        </w:rPr>
        <w:t>decât</w:t>
      </w:r>
      <w:r w:rsidR="00C81716" w:rsidRPr="00834B27">
        <w:rPr>
          <w:rFonts w:ascii="Calibri" w:hAnsi="Calibri" w:cs="Calibri"/>
          <w:lang w:val="ro-RO"/>
        </w:rPr>
        <w:t xml:space="preserve"> </w:t>
      </w:r>
      <w:r w:rsidR="005B111B" w:rsidRPr="00834B27">
        <w:rPr>
          <w:rFonts w:ascii="Calibri" w:hAnsi="Calibri" w:cs="Calibri"/>
          <w:lang w:val="ro-RO"/>
        </w:rPr>
        <w:t>î</w:t>
      </w:r>
      <w:r w:rsidR="00C81716" w:rsidRPr="00834B27">
        <w:rPr>
          <w:rFonts w:ascii="Calibri" w:hAnsi="Calibri" w:cs="Calibri"/>
          <w:lang w:val="ro-RO"/>
        </w:rPr>
        <w:t>n cazul salariilor).</w:t>
      </w:r>
      <w:r w:rsidR="00145D68" w:rsidRPr="00834B27">
        <w:rPr>
          <w:rFonts w:ascii="Calibri" w:hAnsi="Calibri" w:cs="Calibri"/>
          <w:lang w:val="ro-RO"/>
        </w:rPr>
        <w:t xml:space="preserve"> Reintroducerea regimului </w:t>
      </w:r>
      <w:r w:rsidR="005B111B" w:rsidRPr="00834B27">
        <w:rPr>
          <w:rFonts w:ascii="Calibri" w:hAnsi="Calibri" w:cs="Calibri"/>
          <w:lang w:val="ro-RO"/>
        </w:rPr>
        <w:t>î</w:t>
      </w:r>
      <w:r w:rsidR="00145D68" w:rsidRPr="00834B27">
        <w:rPr>
          <w:rFonts w:ascii="Calibri" w:hAnsi="Calibri" w:cs="Calibri"/>
          <w:lang w:val="ro-RO"/>
        </w:rPr>
        <w:t>n 2008</w:t>
      </w:r>
      <w:r w:rsidR="00451590" w:rsidRPr="00834B27">
        <w:rPr>
          <w:rFonts w:ascii="Calibri" w:hAnsi="Calibri" w:cs="Calibri"/>
          <w:lang w:val="ro-RO"/>
        </w:rPr>
        <w:t xml:space="preserve"> </w:t>
      </w:r>
      <w:r w:rsidRPr="00834B27">
        <w:rPr>
          <w:rFonts w:ascii="Calibri" w:hAnsi="Calibri" w:cs="Calibri"/>
          <w:lang w:val="ro-RO"/>
        </w:rPr>
        <w:t>(</w:t>
      </w:r>
      <w:r w:rsidR="00451590" w:rsidRPr="00834B27">
        <w:rPr>
          <w:rFonts w:ascii="Calibri" w:hAnsi="Calibri" w:cs="Calibri"/>
          <w:lang w:val="ro-RO"/>
        </w:rPr>
        <w:t xml:space="preserve">de data aceasta cu </w:t>
      </w:r>
      <w:r w:rsidR="005B111B" w:rsidRPr="00834B27">
        <w:rPr>
          <w:rFonts w:ascii="Calibri" w:hAnsi="Calibri" w:cs="Calibri"/>
          <w:lang w:val="ro-RO"/>
        </w:rPr>
        <w:t>limitări</w:t>
      </w:r>
      <w:r w:rsidR="00451590" w:rsidRPr="00834B27">
        <w:rPr>
          <w:rFonts w:ascii="Calibri" w:hAnsi="Calibri" w:cs="Calibri"/>
          <w:lang w:val="ro-RO"/>
        </w:rPr>
        <w:t xml:space="preserve"> </w:t>
      </w:r>
      <w:r w:rsidR="005B111B" w:rsidRPr="00834B27">
        <w:rPr>
          <w:rFonts w:ascii="Calibri" w:hAnsi="Calibri" w:cs="Calibri"/>
          <w:lang w:val="ro-RO"/>
        </w:rPr>
        <w:t>î</w:t>
      </w:r>
      <w:r w:rsidR="00451590" w:rsidRPr="00834B27">
        <w:rPr>
          <w:rFonts w:ascii="Calibri" w:hAnsi="Calibri" w:cs="Calibri"/>
          <w:lang w:val="ro-RO"/>
        </w:rPr>
        <w:t xml:space="preserve">n ceea ce </w:t>
      </w:r>
      <w:r w:rsidR="005B111B" w:rsidRPr="00834B27">
        <w:rPr>
          <w:rFonts w:ascii="Calibri" w:hAnsi="Calibri" w:cs="Calibri"/>
          <w:lang w:val="ro-RO"/>
        </w:rPr>
        <w:t>privește</w:t>
      </w:r>
      <w:r w:rsidR="00451590" w:rsidRPr="00834B27">
        <w:rPr>
          <w:rFonts w:ascii="Calibri" w:hAnsi="Calibri" w:cs="Calibri"/>
          <w:lang w:val="ro-RO"/>
        </w:rPr>
        <w:t xml:space="preserve"> consultan</w:t>
      </w:r>
      <w:r w:rsidR="00D77C4B" w:rsidRPr="00834B27">
        <w:rPr>
          <w:rFonts w:ascii="Calibri" w:hAnsi="Calibri" w:cs="Calibri"/>
          <w:lang w:val="ro-RO"/>
        </w:rPr>
        <w:t>ț</w:t>
      </w:r>
      <w:r w:rsidR="00451590" w:rsidRPr="00834B27">
        <w:rPr>
          <w:rFonts w:ascii="Calibri" w:hAnsi="Calibri" w:cs="Calibri"/>
          <w:lang w:val="ro-RO"/>
        </w:rPr>
        <w:t xml:space="preserve">a </w:t>
      </w:r>
      <w:r w:rsidR="005B111B" w:rsidRPr="00834B27">
        <w:rPr>
          <w:rFonts w:ascii="Calibri" w:hAnsi="Calibri" w:cs="Calibri"/>
          <w:lang w:val="ro-RO"/>
        </w:rPr>
        <w:t>ș</w:t>
      </w:r>
      <w:r w:rsidR="00451590" w:rsidRPr="00834B27">
        <w:rPr>
          <w:rFonts w:ascii="Calibri" w:hAnsi="Calibri" w:cs="Calibri"/>
          <w:lang w:val="ro-RO"/>
        </w:rPr>
        <w:t>i managementul</w:t>
      </w:r>
      <w:r w:rsidRPr="00834B27">
        <w:rPr>
          <w:rFonts w:ascii="Calibri" w:hAnsi="Calibri" w:cs="Calibri"/>
          <w:lang w:val="ro-RO"/>
        </w:rPr>
        <w:t>)</w:t>
      </w:r>
      <w:r w:rsidR="00451590" w:rsidRPr="00834B27">
        <w:rPr>
          <w:rFonts w:ascii="Calibri" w:hAnsi="Calibri" w:cs="Calibri"/>
          <w:lang w:val="ro-RO"/>
        </w:rPr>
        <w:t xml:space="preserve"> nu a mai produs niciun efect negativ, ceea ce </w:t>
      </w:r>
      <w:r w:rsidR="00025E57" w:rsidRPr="00834B27">
        <w:rPr>
          <w:rFonts w:ascii="Calibri" w:hAnsi="Calibri" w:cs="Calibri"/>
          <w:lang w:val="ro-RO"/>
        </w:rPr>
        <w:t>arat</w:t>
      </w:r>
      <w:r w:rsidR="005B111B" w:rsidRPr="00834B27">
        <w:rPr>
          <w:rFonts w:ascii="Calibri" w:hAnsi="Calibri" w:cs="Calibri"/>
          <w:lang w:val="ro-RO"/>
        </w:rPr>
        <w:t>ă</w:t>
      </w:r>
      <w:r w:rsidR="00025E57" w:rsidRPr="00834B27">
        <w:rPr>
          <w:rFonts w:ascii="Calibri" w:hAnsi="Calibri" w:cs="Calibri"/>
          <w:lang w:val="ro-RO"/>
        </w:rPr>
        <w:t xml:space="preserve"> ce se poate </w:t>
      </w:r>
      <w:r w:rsidR="005B111B" w:rsidRPr="00834B27">
        <w:rPr>
          <w:rFonts w:ascii="Calibri" w:hAnsi="Calibri" w:cs="Calibri"/>
          <w:lang w:val="ro-RO"/>
        </w:rPr>
        <w:t>întâmpla</w:t>
      </w:r>
      <w:r w:rsidR="00025E57" w:rsidRPr="00834B27">
        <w:rPr>
          <w:rFonts w:ascii="Calibri" w:hAnsi="Calibri" w:cs="Calibri"/>
          <w:lang w:val="ro-RO"/>
        </w:rPr>
        <w:t xml:space="preserve"> </w:t>
      </w:r>
      <w:r w:rsidR="005B111B" w:rsidRPr="00834B27">
        <w:rPr>
          <w:rFonts w:ascii="Calibri" w:hAnsi="Calibri" w:cs="Calibri"/>
          <w:lang w:val="ro-RO"/>
        </w:rPr>
        <w:t>când</w:t>
      </w:r>
      <w:r w:rsidR="00025E57" w:rsidRPr="00834B27">
        <w:rPr>
          <w:rFonts w:ascii="Calibri" w:hAnsi="Calibri" w:cs="Calibri"/>
          <w:lang w:val="ro-RO"/>
        </w:rPr>
        <w:t xml:space="preserve"> o </w:t>
      </w:r>
      <w:r w:rsidR="005B111B" w:rsidRPr="00834B27">
        <w:rPr>
          <w:rFonts w:ascii="Calibri" w:hAnsi="Calibri" w:cs="Calibri"/>
          <w:lang w:val="ro-RO"/>
        </w:rPr>
        <w:t>măsură</w:t>
      </w:r>
      <w:r w:rsidR="00025E57" w:rsidRPr="00834B27">
        <w:rPr>
          <w:rFonts w:ascii="Calibri" w:hAnsi="Calibri" w:cs="Calibri"/>
          <w:lang w:val="ro-RO"/>
        </w:rPr>
        <w:t xml:space="preserve"> (</w:t>
      </w:r>
      <w:r w:rsidR="0058041D" w:rsidRPr="00834B27">
        <w:rPr>
          <w:rFonts w:ascii="Calibri" w:hAnsi="Calibri" w:cs="Calibri"/>
          <w:lang w:val="ro-RO"/>
        </w:rPr>
        <w:t xml:space="preserve">cea din 2001) </w:t>
      </w:r>
      <w:r w:rsidR="00025E57" w:rsidRPr="00834B27">
        <w:rPr>
          <w:rFonts w:ascii="Calibri" w:hAnsi="Calibri" w:cs="Calibri"/>
          <w:lang w:val="ro-RO"/>
        </w:rPr>
        <w:t xml:space="preserve">nu este </w:t>
      </w:r>
      <w:r w:rsidR="005B111B" w:rsidRPr="00834B27">
        <w:rPr>
          <w:rFonts w:ascii="Calibri" w:hAnsi="Calibri" w:cs="Calibri"/>
          <w:lang w:val="ro-RO"/>
        </w:rPr>
        <w:t>gândită</w:t>
      </w:r>
      <w:r w:rsidR="00025E57" w:rsidRPr="00834B27">
        <w:rPr>
          <w:rFonts w:ascii="Calibri" w:hAnsi="Calibri" w:cs="Calibri"/>
          <w:lang w:val="ro-RO"/>
        </w:rPr>
        <w:t xml:space="preserve"> suficient</w:t>
      </w:r>
      <w:r w:rsidRPr="00834B27">
        <w:rPr>
          <w:rFonts w:ascii="Calibri" w:hAnsi="Calibri" w:cs="Calibri"/>
          <w:lang w:val="ro-RO"/>
        </w:rPr>
        <w:t>.</w:t>
      </w:r>
    </w:p>
    <w:p w14:paraId="63A4E919" w14:textId="062BA8A9" w:rsidR="008E4491" w:rsidRPr="00834B27" w:rsidRDefault="008E4491" w:rsidP="00C75F3E">
      <w:pPr>
        <w:tabs>
          <w:tab w:val="left" w:pos="720"/>
        </w:tabs>
        <w:spacing w:line="276" w:lineRule="auto"/>
        <w:jc w:val="both"/>
        <w:rPr>
          <w:rFonts w:ascii="Calibri" w:hAnsi="Calibri" w:cs="Calibri"/>
          <w:lang w:val="ro-RO"/>
        </w:rPr>
      </w:pPr>
      <w:r w:rsidRPr="00834B27">
        <w:rPr>
          <w:rFonts w:ascii="Calibri" w:hAnsi="Calibri" w:cs="Calibri"/>
          <w:lang w:val="ro-RO"/>
        </w:rPr>
        <w:t>Eliminarea regimului microîntreprinderilor în 2007 a generat o creștere masivă a IV/PIB (de la 2,8% la peste 3,3%), iar reintroducerea regimului în 2008 — de data aceasta cu restricții privind consultanța și managementul — nu a mai produs un efect negativ. Aceasta demonstrează că designul regimului, nu existența lui, este factorul determinant al impactului bugetar.</w:t>
      </w:r>
    </w:p>
    <w:p w14:paraId="3D31287F" w14:textId="5F0F12FF" w:rsidR="009D0A18" w:rsidRPr="00834B27" w:rsidRDefault="005B111B" w:rsidP="00C75F3E">
      <w:pPr>
        <w:tabs>
          <w:tab w:val="left" w:pos="720"/>
        </w:tabs>
        <w:spacing w:line="276" w:lineRule="auto"/>
        <w:jc w:val="both"/>
        <w:rPr>
          <w:rFonts w:ascii="Calibri" w:hAnsi="Calibri" w:cs="Calibri"/>
          <w:lang w:val="ro-RO"/>
        </w:rPr>
      </w:pPr>
      <w:r w:rsidRPr="00834B27">
        <w:rPr>
          <w:rFonts w:ascii="Calibri" w:hAnsi="Calibri" w:cs="Calibri"/>
          <w:lang w:val="ro-RO"/>
        </w:rPr>
        <w:t>Î</w:t>
      </w:r>
      <w:r w:rsidR="005A77DF" w:rsidRPr="00834B27">
        <w:rPr>
          <w:rFonts w:ascii="Calibri" w:hAnsi="Calibri" w:cs="Calibri"/>
          <w:lang w:val="ro-RO"/>
        </w:rPr>
        <w:t>n perioada 2007 – 2017, cota unic</w:t>
      </w:r>
      <w:r w:rsidRPr="00834B27">
        <w:rPr>
          <w:rFonts w:ascii="Calibri" w:hAnsi="Calibri" w:cs="Calibri"/>
          <w:lang w:val="ro-RO"/>
        </w:rPr>
        <w:t>ă</w:t>
      </w:r>
      <w:r w:rsidR="005A77DF" w:rsidRPr="00834B27">
        <w:rPr>
          <w:rFonts w:ascii="Calibri" w:hAnsi="Calibri" w:cs="Calibri"/>
          <w:lang w:val="ro-RO"/>
        </w:rPr>
        <w:t xml:space="preserve"> de 16% a generat venituri de peste 3,3% PIB, cu o medie de </w:t>
      </w:r>
      <w:r w:rsidR="0047481D" w:rsidRPr="00834B27">
        <w:rPr>
          <w:rFonts w:ascii="Calibri" w:hAnsi="Calibri" w:cs="Calibri"/>
          <w:lang w:val="ro-RO"/>
        </w:rPr>
        <w:t xml:space="preserve">3,34% PIB, </w:t>
      </w:r>
      <w:r w:rsidRPr="00834B27">
        <w:rPr>
          <w:rFonts w:ascii="Calibri" w:hAnsi="Calibri" w:cs="Calibri"/>
          <w:lang w:val="ro-RO"/>
        </w:rPr>
        <w:t>adică</w:t>
      </w:r>
      <w:r w:rsidR="0047481D" w:rsidRPr="00834B27">
        <w:rPr>
          <w:rFonts w:ascii="Calibri" w:hAnsi="Calibri" w:cs="Calibri"/>
          <w:lang w:val="ro-RO"/>
        </w:rPr>
        <w:t xml:space="preserve"> </w:t>
      </w:r>
      <w:r w:rsidR="003C7253" w:rsidRPr="00834B27">
        <w:rPr>
          <w:rFonts w:ascii="Calibri" w:hAnsi="Calibri" w:cs="Calibri"/>
          <w:lang w:val="ro-RO"/>
        </w:rPr>
        <w:t xml:space="preserve">un plus de </w:t>
      </w:r>
      <w:r w:rsidR="00561810" w:rsidRPr="00834B27">
        <w:rPr>
          <w:rFonts w:ascii="Calibri" w:hAnsi="Calibri" w:cs="Calibri"/>
          <w:lang w:val="ro-RO"/>
        </w:rPr>
        <w:t>aproape 20% (19,3%) fa</w:t>
      </w:r>
      <w:r w:rsidR="00D77C4B" w:rsidRPr="00834B27">
        <w:rPr>
          <w:rFonts w:ascii="Calibri" w:hAnsi="Calibri" w:cs="Calibri"/>
          <w:lang w:val="ro-RO"/>
        </w:rPr>
        <w:t>ț</w:t>
      </w:r>
      <w:r w:rsidRPr="00834B27">
        <w:rPr>
          <w:rFonts w:ascii="Calibri" w:hAnsi="Calibri" w:cs="Calibri"/>
          <w:lang w:val="ro-RO"/>
        </w:rPr>
        <w:t>ă</w:t>
      </w:r>
      <w:r w:rsidR="00561810" w:rsidRPr="00834B27">
        <w:rPr>
          <w:rFonts w:ascii="Calibri" w:hAnsi="Calibri" w:cs="Calibri"/>
          <w:lang w:val="ro-RO"/>
        </w:rPr>
        <w:t xml:space="preserve"> de media ultimilor 5 ani de cote progresive. Chiar </w:t>
      </w:r>
      <w:r w:rsidRPr="00834B27">
        <w:rPr>
          <w:rFonts w:ascii="Calibri" w:hAnsi="Calibri" w:cs="Calibri"/>
          <w:lang w:val="ro-RO"/>
        </w:rPr>
        <w:t>ș</w:t>
      </w:r>
      <w:r w:rsidR="00561810" w:rsidRPr="00834B27">
        <w:rPr>
          <w:rFonts w:ascii="Calibri" w:hAnsi="Calibri" w:cs="Calibri"/>
          <w:lang w:val="ro-RO"/>
        </w:rPr>
        <w:t>i dac</w:t>
      </w:r>
      <w:r w:rsidRPr="00834B27">
        <w:rPr>
          <w:rFonts w:ascii="Calibri" w:hAnsi="Calibri" w:cs="Calibri"/>
          <w:lang w:val="ro-RO"/>
        </w:rPr>
        <w:t>ă</w:t>
      </w:r>
      <w:r w:rsidR="00561810" w:rsidRPr="00834B27">
        <w:rPr>
          <w:rFonts w:ascii="Calibri" w:hAnsi="Calibri" w:cs="Calibri"/>
          <w:lang w:val="ro-RO"/>
        </w:rPr>
        <w:t xml:space="preserve"> </w:t>
      </w:r>
      <w:r w:rsidRPr="00834B27">
        <w:rPr>
          <w:rFonts w:ascii="Calibri" w:hAnsi="Calibri" w:cs="Calibri"/>
          <w:lang w:val="ro-RO"/>
        </w:rPr>
        <w:t>vom compara</w:t>
      </w:r>
      <w:r w:rsidR="00561810" w:rsidRPr="00834B27">
        <w:rPr>
          <w:rFonts w:ascii="Calibri" w:hAnsi="Calibri" w:cs="Calibri"/>
          <w:lang w:val="ro-RO"/>
        </w:rPr>
        <w:t xml:space="preserve"> </w:t>
      </w:r>
      <w:r w:rsidR="001C1D5D" w:rsidRPr="00834B27">
        <w:rPr>
          <w:rFonts w:ascii="Calibri" w:hAnsi="Calibri" w:cs="Calibri"/>
          <w:lang w:val="ro-RO"/>
        </w:rPr>
        <w:t xml:space="preserve">cele mai bune rezultate </w:t>
      </w:r>
      <w:r w:rsidR="003E14B2" w:rsidRPr="00834B27">
        <w:rPr>
          <w:rFonts w:ascii="Calibri" w:hAnsi="Calibri" w:cs="Calibri"/>
          <w:lang w:val="ro-RO"/>
        </w:rPr>
        <w:t xml:space="preserve">(2000 – 3% PIB, </w:t>
      </w:r>
      <w:r w:rsidR="00E124B4" w:rsidRPr="00834B27">
        <w:rPr>
          <w:rFonts w:ascii="Calibri" w:hAnsi="Calibri" w:cs="Calibri"/>
          <w:lang w:val="ro-RO"/>
        </w:rPr>
        <w:t>2015 – 3,51% PIB), cota unic</w:t>
      </w:r>
      <w:r w:rsidRPr="00834B27">
        <w:rPr>
          <w:rFonts w:ascii="Calibri" w:hAnsi="Calibri" w:cs="Calibri"/>
          <w:lang w:val="ro-RO"/>
        </w:rPr>
        <w:t>ă</w:t>
      </w:r>
      <w:r w:rsidR="00E124B4" w:rsidRPr="00834B27">
        <w:rPr>
          <w:rFonts w:ascii="Calibri" w:hAnsi="Calibri" w:cs="Calibri"/>
          <w:lang w:val="ro-RO"/>
        </w:rPr>
        <w:t xml:space="preserve"> are un avantaj de </w:t>
      </w:r>
      <w:r w:rsidR="005F6C4A" w:rsidRPr="00834B27">
        <w:rPr>
          <w:rFonts w:ascii="Calibri" w:hAnsi="Calibri" w:cs="Calibri"/>
          <w:lang w:val="ro-RO"/>
        </w:rPr>
        <w:t>17%</w:t>
      </w:r>
      <w:r w:rsidR="00145D68" w:rsidRPr="00834B27">
        <w:rPr>
          <w:rFonts w:ascii="Calibri" w:hAnsi="Calibri" w:cs="Calibri"/>
          <w:lang w:val="ro-RO"/>
        </w:rPr>
        <w:t xml:space="preserve"> </w:t>
      </w:r>
      <w:r w:rsidRPr="00834B27">
        <w:rPr>
          <w:rFonts w:ascii="Calibri" w:hAnsi="Calibri" w:cs="Calibri"/>
          <w:lang w:val="ro-RO"/>
        </w:rPr>
        <w:t>î</w:t>
      </w:r>
      <w:r w:rsidR="00145D68" w:rsidRPr="00834B27">
        <w:rPr>
          <w:rFonts w:ascii="Calibri" w:hAnsi="Calibri" w:cs="Calibri"/>
          <w:lang w:val="ro-RO"/>
        </w:rPr>
        <w:t>n fa</w:t>
      </w:r>
      <w:r w:rsidR="00D77C4B" w:rsidRPr="00834B27">
        <w:rPr>
          <w:rFonts w:ascii="Calibri" w:hAnsi="Calibri" w:cs="Calibri"/>
          <w:lang w:val="ro-RO"/>
        </w:rPr>
        <w:t>ț</w:t>
      </w:r>
      <w:r w:rsidR="00145D68" w:rsidRPr="00834B27">
        <w:rPr>
          <w:rFonts w:ascii="Calibri" w:hAnsi="Calibri" w:cs="Calibri"/>
          <w:lang w:val="ro-RO"/>
        </w:rPr>
        <w:t>a cotelor progresive</w:t>
      </w:r>
      <w:r w:rsidR="00176D44" w:rsidRPr="00834B27">
        <w:rPr>
          <w:rFonts w:ascii="Calibri" w:hAnsi="Calibri" w:cs="Calibri"/>
          <w:lang w:val="ro-RO"/>
        </w:rPr>
        <w:t>.</w:t>
      </w:r>
    </w:p>
    <w:p w14:paraId="1E8DEF7E" w14:textId="41A11233" w:rsidR="00CB694B" w:rsidRPr="00834B27" w:rsidRDefault="00C75F3E" w:rsidP="00C75F3E">
      <w:pPr>
        <w:tabs>
          <w:tab w:val="left" w:pos="720"/>
        </w:tabs>
        <w:spacing w:line="276" w:lineRule="auto"/>
        <w:jc w:val="both"/>
        <w:rPr>
          <w:rFonts w:ascii="Calibri" w:hAnsi="Calibri" w:cs="Calibri"/>
          <w:lang w:val="ro-RO"/>
        </w:rPr>
      </w:pPr>
      <w:r w:rsidRPr="00834B27">
        <w:rPr>
          <w:rFonts w:ascii="Calibri" w:hAnsi="Calibri" w:cs="Calibri"/>
          <w:lang w:val="ro-RO"/>
        </w:rPr>
        <w:t xml:space="preserve">Să mai adăugăm și că, între </w:t>
      </w:r>
      <w:r w:rsidR="00145D68" w:rsidRPr="00834B27">
        <w:rPr>
          <w:rFonts w:ascii="Calibri" w:hAnsi="Calibri" w:cs="Calibri"/>
          <w:lang w:val="ro-RO"/>
        </w:rPr>
        <w:t xml:space="preserve">2007 – 2017, </w:t>
      </w:r>
      <w:r w:rsidR="005B111B" w:rsidRPr="00834B27">
        <w:rPr>
          <w:rFonts w:ascii="Calibri" w:hAnsi="Calibri" w:cs="Calibri"/>
          <w:lang w:val="ro-RO"/>
        </w:rPr>
        <w:t>poten</w:t>
      </w:r>
      <w:r w:rsidR="00D77C4B" w:rsidRPr="00834B27">
        <w:rPr>
          <w:rFonts w:ascii="Calibri" w:hAnsi="Calibri" w:cs="Calibri"/>
          <w:lang w:val="ro-RO"/>
        </w:rPr>
        <w:t>ț</w:t>
      </w:r>
      <w:r w:rsidR="005B111B" w:rsidRPr="00834B27">
        <w:rPr>
          <w:rFonts w:ascii="Calibri" w:hAnsi="Calibri" w:cs="Calibri"/>
          <w:lang w:val="ro-RO"/>
        </w:rPr>
        <w:t>ialul</w:t>
      </w:r>
      <w:r w:rsidR="00145D68" w:rsidRPr="00834B27">
        <w:rPr>
          <w:rFonts w:ascii="Calibri" w:hAnsi="Calibri" w:cs="Calibri"/>
          <w:lang w:val="ro-RO"/>
        </w:rPr>
        <w:t xml:space="preserve"> cotei unice nu a fost atins,</w:t>
      </w:r>
      <w:r w:rsidRPr="00834B27">
        <w:rPr>
          <w:rFonts w:ascii="Calibri" w:hAnsi="Calibri" w:cs="Calibri"/>
          <w:lang w:val="ro-RO"/>
        </w:rPr>
        <w:t xml:space="preserve"> în toată această perioadă</w:t>
      </w:r>
      <w:r w:rsidR="00145D68" w:rsidRPr="00834B27">
        <w:rPr>
          <w:rFonts w:ascii="Calibri" w:hAnsi="Calibri" w:cs="Calibri"/>
          <w:lang w:val="ro-RO"/>
        </w:rPr>
        <w:t xml:space="preserve"> </w:t>
      </w:r>
      <w:r w:rsidR="0058041D" w:rsidRPr="00834B27">
        <w:rPr>
          <w:rFonts w:ascii="Calibri" w:hAnsi="Calibri" w:cs="Calibri"/>
          <w:lang w:val="ro-RO"/>
        </w:rPr>
        <w:t xml:space="preserve"> </w:t>
      </w:r>
      <w:r w:rsidR="005B111B" w:rsidRPr="00834B27">
        <w:rPr>
          <w:rFonts w:ascii="Calibri" w:hAnsi="Calibri" w:cs="Calibri"/>
          <w:lang w:val="ro-RO"/>
        </w:rPr>
        <w:t>câștigurile</w:t>
      </w:r>
      <w:r w:rsidR="0039116A" w:rsidRPr="00834B27">
        <w:rPr>
          <w:rFonts w:ascii="Calibri" w:hAnsi="Calibri" w:cs="Calibri"/>
          <w:lang w:val="ro-RO"/>
        </w:rPr>
        <w:t xml:space="preserve"> din </w:t>
      </w:r>
      <w:r w:rsidR="005B111B" w:rsidRPr="00834B27">
        <w:rPr>
          <w:rFonts w:ascii="Calibri" w:hAnsi="Calibri" w:cs="Calibri"/>
          <w:lang w:val="ro-RO"/>
        </w:rPr>
        <w:t>tranzac</w:t>
      </w:r>
      <w:r w:rsidR="00D77C4B" w:rsidRPr="00834B27">
        <w:rPr>
          <w:rFonts w:ascii="Calibri" w:hAnsi="Calibri" w:cs="Calibri"/>
          <w:lang w:val="ro-RO"/>
        </w:rPr>
        <w:t>ț</w:t>
      </w:r>
      <w:r w:rsidR="005B111B" w:rsidRPr="00834B27">
        <w:rPr>
          <w:rFonts w:ascii="Calibri" w:hAnsi="Calibri" w:cs="Calibri"/>
          <w:lang w:val="ro-RO"/>
        </w:rPr>
        <w:t>ii</w:t>
      </w:r>
      <w:r w:rsidR="0039116A" w:rsidRPr="00834B27">
        <w:rPr>
          <w:rFonts w:ascii="Calibri" w:hAnsi="Calibri" w:cs="Calibri"/>
          <w:lang w:val="ro-RO"/>
        </w:rPr>
        <w:t xml:space="preserve"> imobiliare nefiind supuse impozitului </w:t>
      </w:r>
      <w:r w:rsidR="005B111B" w:rsidRPr="00834B27">
        <w:rPr>
          <w:rFonts w:ascii="Calibri" w:hAnsi="Calibri" w:cs="Calibri"/>
          <w:lang w:val="ro-RO"/>
        </w:rPr>
        <w:t>î</w:t>
      </w:r>
      <w:r w:rsidR="0039116A" w:rsidRPr="00834B27">
        <w:rPr>
          <w:rFonts w:ascii="Calibri" w:hAnsi="Calibri" w:cs="Calibri"/>
          <w:lang w:val="ro-RO"/>
        </w:rPr>
        <w:t>n cot</w:t>
      </w:r>
      <w:r w:rsidRPr="00834B27">
        <w:rPr>
          <w:rFonts w:ascii="Calibri" w:hAnsi="Calibri" w:cs="Calibri"/>
          <w:lang w:val="ro-RO"/>
        </w:rPr>
        <w:t>ă</w:t>
      </w:r>
      <w:r w:rsidR="0039116A" w:rsidRPr="00834B27">
        <w:rPr>
          <w:rFonts w:ascii="Calibri" w:hAnsi="Calibri" w:cs="Calibri"/>
          <w:lang w:val="ro-RO"/>
        </w:rPr>
        <w:t xml:space="preserve"> unic</w:t>
      </w:r>
      <w:r w:rsidR="005B111B" w:rsidRPr="00834B27">
        <w:rPr>
          <w:rFonts w:ascii="Calibri" w:hAnsi="Calibri" w:cs="Calibri"/>
          <w:lang w:val="ro-RO"/>
        </w:rPr>
        <w:t>ă</w:t>
      </w:r>
      <w:r w:rsidR="0039116A" w:rsidRPr="00834B27">
        <w:rPr>
          <w:rFonts w:ascii="Calibri" w:hAnsi="Calibri" w:cs="Calibri"/>
          <w:lang w:val="ro-RO"/>
        </w:rPr>
        <w:t xml:space="preserve"> (ci doar unui impozit pe </w:t>
      </w:r>
      <w:r w:rsidR="005A376E" w:rsidRPr="00834B27">
        <w:rPr>
          <w:rFonts w:ascii="Calibri" w:hAnsi="Calibri" w:cs="Calibri"/>
          <w:lang w:val="ro-RO"/>
        </w:rPr>
        <w:t xml:space="preserve">venitul din transfer, de 1%, </w:t>
      </w:r>
      <w:r w:rsidR="005B111B" w:rsidRPr="00834B27">
        <w:rPr>
          <w:rFonts w:ascii="Calibri" w:hAnsi="Calibri" w:cs="Calibri"/>
          <w:lang w:val="ro-RO"/>
        </w:rPr>
        <w:t>re</w:t>
      </w:r>
      <w:r w:rsidR="00D77C4B" w:rsidRPr="00834B27">
        <w:rPr>
          <w:rFonts w:ascii="Calibri" w:hAnsi="Calibri" w:cs="Calibri"/>
          <w:lang w:val="ro-RO"/>
        </w:rPr>
        <w:t>ț</w:t>
      </w:r>
      <w:r w:rsidR="005B111B" w:rsidRPr="00834B27">
        <w:rPr>
          <w:rFonts w:ascii="Calibri" w:hAnsi="Calibri" w:cs="Calibri"/>
          <w:lang w:val="ro-RO"/>
        </w:rPr>
        <w:t>inut</w:t>
      </w:r>
      <w:r w:rsidR="005A376E" w:rsidRPr="00834B27">
        <w:rPr>
          <w:rFonts w:ascii="Calibri" w:hAnsi="Calibri" w:cs="Calibri"/>
          <w:lang w:val="ro-RO"/>
        </w:rPr>
        <w:t xml:space="preserve"> de notari)</w:t>
      </w:r>
      <w:r w:rsidR="00B86A05" w:rsidRPr="00834B27">
        <w:rPr>
          <w:rFonts w:ascii="Calibri" w:hAnsi="Calibri" w:cs="Calibri"/>
          <w:lang w:val="ro-RO"/>
        </w:rPr>
        <w:t>,</w:t>
      </w:r>
      <w:r w:rsidR="005A376E" w:rsidRPr="00834B27">
        <w:rPr>
          <w:rFonts w:ascii="Calibri" w:hAnsi="Calibri" w:cs="Calibri"/>
          <w:lang w:val="ro-RO"/>
        </w:rPr>
        <w:t xml:space="preserve"> iar veniturile din </w:t>
      </w:r>
      <w:r w:rsidR="005B111B" w:rsidRPr="00834B27">
        <w:rPr>
          <w:rFonts w:ascii="Calibri" w:hAnsi="Calibri" w:cs="Calibri"/>
          <w:lang w:val="ro-RO"/>
        </w:rPr>
        <w:t>activită</w:t>
      </w:r>
      <w:r w:rsidR="00D77C4B" w:rsidRPr="00834B27">
        <w:rPr>
          <w:rFonts w:ascii="Calibri" w:hAnsi="Calibri" w:cs="Calibri"/>
          <w:lang w:val="ro-RO"/>
        </w:rPr>
        <w:t>ț</w:t>
      </w:r>
      <w:r w:rsidR="005B111B" w:rsidRPr="00834B27">
        <w:rPr>
          <w:rFonts w:ascii="Calibri" w:hAnsi="Calibri" w:cs="Calibri"/>
          <w:lang w:val="ro-RO"/>
        </w:rPr>
        <w:t>i</w:t>
      </w:r>
      <w:r w:rsidR="005A376E" w:rsidRPr="00834B27">
        <w:rPr>
          <w:rFonts w:ascii="Calibri" w:hAnsi="Calibri" w:cs="Calibri"/>
          <w:lang w:val="ro-RO"/>
        </w:rPr>
        <w:t xml:space="preserve"> independente </w:t>
      </w:r>
      <w:r w:rsidR="002C7A66" w:rsidRPr="00834B27">
        <w:rPr>
          <w:rFonts w:ascii="Calibri" w:hAnsi="Calibri" w:cs="Calibri"/>
          <w:lang w:val="ro-RO"/>
        </w:rPr>
        <w:t>fiind impuse pe baz</w:t>
      </w:r>
      <w:r w:rsidR="005B111B" w:rsidRPr="00834B27">
        <w:rPr>
          <w:rFonts w:ascii="Calibri" w:hAnsi="Calibri" w:cs="Calibri"/>
          <w:lang w:val="ro-RO"/>
        </w:rPr>
        <w:t>ă</w:t>
      </w:r>
      <w:r w:rsidR="002C7A66" w:rsidRPr="00834B27">
        <w:rPr>
          <w:rFonts w:ascii="Calibri" w:hAnsi="Calibri" w:cs="Calibri"/>
          <w:lang w:val="ro-RO"/>
        </w:rPr>
        <w:t xml:space="preserve"> de norme de venit, dac</w:t>
      </w:r>
      <w:r w:rsidR="005B111B" w:rsidRPr="00834B27">
        <w:rPr>
          <w:rFonts w:ascii="Calibri" w:hAnsi="Calibri" w:cs="Calibri"/>
          <w:lang w:val="ro-RO"/>
        </w:rPr>
        <w:t>ă</w:t>
      </w:r>
      <w:r w:rsidR="002C7A66" w:rsidRPr="00834B27">
        <w:rPr>
          <w:rFonts w:ascii="Calibri" w:hAnsi="Calibri" w:cs="Calibri"/>
          <w:lang w:val="ro-RO"/>
        </w:rPr>
        <w:t xml:space="preserve"> nu </w:t>
      </w:r>
      <w:r w:rsidR="005B111B" w:rsidRPr="00834B27">
        <w:rPr>
          <w:rFonts w:ascii="Calibri" w:hAnsi="Calibri" w:cs="Calibri"/>
          <w:lang w:val="ro-RO"/>
        </w:rPr>
        <w:t>depășeau</w:t>
      </w:r>
      <w:r w:rsidR="002C7A66" w:rsidRPr="00834B27">
        <w:rPr>
          <w:rFonts w:ascii="Calibri" w:hAnsi="Calibri" w:cs="Calibri"/>
          <w:lang w:val="ro-RO"/>
        </w:rPr>
        <w:t xml:space="preserve"> 100.000 euro/an</w:t>
      </w:r>
      <w:r w:rsidR="005E4DA7" w:rsidRPr="00834B27">
        <w:rPr>
          <w:rFonts w:ascii="Calibri" w:hAnsi="Calibri" w:cs="Calibri"/>
          <w:lang w:val="ro-RO"/>
        </w:rPr>
        <w:t xml:space="preserve"> (cu </w:t>
      </w:r>
      <w:r w:rsidR="005B111B" w:rsidRPr="00834B27">
        <w:rPr>
          <w:rFonts w:ascii="Calibri" w:hAnsi="Calibri" w:cs="Calibri"/>
          <w:lang w:val="ro-RO"/>
        </w:rPr>
        <w:t>excep</w:t>
      </w:r>
      <w:r w:rsidR="00D77C4B" w:rsidRPr="00834B27">
        <w:rPr>
          <w:rFonts w:ascii="Calibri" w:hAnsi="Calibri" w:cs="Calibri"/>
          <w:lang w:val="ro-RO"/>
        </w:rPr>
        <w:t>ț</w:t>
      </w:r>
      <w:r w:rsidR="005B111B" w:rsidRPr="00834B27">
        <w:rPr>
          <w:rFonts w:ascii="Calibri" w:hAnsi="Calibri" w:cs="Calibri"/>
          <w:lang w:val="ro-RO"/>
        </w:rPr>
        <w:t>ia</w:t>
      </w:r>
      <w:r w:rsidR="005E4DA7" w:rsidRPr="00834B27">
        <w:rPr>
          <w:rFonts w:ascii="Calibri" w:hAnsi="Calibri" w:cs="Calibri"/>
          <w:lang w:val="ro-RO"/>
        </w:rPr>
        <w:t xml:space="preserve"> veniturilor din profesii liberale</w:t>
      </w:r>
      <w:r w:rsidR="00064424" w:rsidRPr="00834B27">
        <w:rPr>
          <w:rFonts w:ascii="Calibri" w:hAnsi="Calibri" w:cs="Calibri"/>
          <w:lang w:val="ro-RO"/>
        </w:rPr>
        <w:t>)</w:t>
      </w:r>
      <w:r w:rsidR="005E4DA7" w:rsidRPr="00834B27">
        <w:rPr>
          <w:rFonts w:ascii="Calibri" w:hAnsi="Calibri" w:cs="Calibri"/>
          <w:lang w:val="ro-RO"/>
        </w:rPr>
        <w:t xml:space="preserve">. Practic, </w:t>
      </w:r>
      <w:r w:rsidR="004366F5" w:rsidRPr="00834B27">
        <w:rPr>
          <w:rFonts w:ascii="Calibri" w:hAnsi="Calibri" w:cs="Calibri"/>
          <w:lang w:val="ro-RO"/>
        </w:rPr>
        <w:t xml:space="preserve">pentru </w:t>
      </w:r>
      <w:r w:rsidR="005E4DA7" w:rsidRPr="00834B27">
        <w:rPr>
          <w:rFonts w:ascii="Calibri" w:hAnsi="Calibri" w:cs="Calibri"/>
          <w:lang w:val="ro-RO"/>
        </w:rPr>
        <w:t xml:space="preserve">un contribuabil care </w:t>
      </w:r>
      <w:r w:rsidR="005B111B" w:rsidRPr="00834B27">
        <w:rPr>
          <w:rFonts w:ascii="Calibri" w:hAnsi="Calibri" w:cs="Calibri"/>
          <w:lang w:val="ro-RO"/>
        </w:rPr>
        <w:t>ob</w:t>
      </w:r>
      <w:r w:rsidR="00D77C4B" w:rsidRPr="00834B27">
        <w:rPr>
          <w:rFonts w:ascii="Calibri" w:hAnsi="Calibri" w:cs="Calibri"/>
          <w:lang w:val="ro-RO"/>
        </w:rPr>
        <w:t>ț</w:t>
      </w:r>
      <w:r w:rsidR="005B111B" w:rsidRPr="00834B27">
        <w:rPr>
          <w:rFonts w:ascii="Calibri" w:hAnsi="Calibri" w:cs="Calibri"/>
          <w:lang w:val="ro-RO"/>
        </w:rPr>
        <w:t>inea</w:t>
      </w:r>
      <w:r w:rsidR="005E4DA7" w:rsidRPr="00834B27">
        <w:rPr>
          <w:rFonts w:ascii="Calibri" w:hAnsi="Calibri" w:cs="Calibri"/>
          <w:lang w:val="ro-RO"/>
        </w:rPr>
        <w:t xml:space="preserve"> venituri </w:t>
      </w:r>
      <w:r w:rsidR="00A734E0" w:rsidRPr="00834B27">
        <w:rPr>
          <w:rFonts w:ascii="Calibri" w:hAnsi="Calibri" w:cs="Calibri"/>
          <w:lang w:val="ro-RO"/>
        </w:rPr>
        <w:t>din consultan</w:t>
      </w:r>
      <w:r w:rsidR="00D77C4B" w:rsidRPr="00834B27">
        <w:rPr>
          <w:rFonts w:ascii="Calibri" w:hAnsi="Calibri" w:cs="Calibri"/>
          <w:lang w:val="ro-RO"/>
        </w:rPr>
        <w:t>ț</w:t>
      </w:r>
      <w:r w:rsidR="005B111B" w:rsidRPr="00834B27">
        <w:rPr>
          <w:rFonts w:ascii="Calibri" w:hAnsi="Calibri" w:cs="Calibri"/>
          <w:lang w:val="ro-RO"/>
        </w:rPr>
        <w:t>ă</w:t>
      </w:r>
      <w:r w:rsidR="00A734E0" w:rsidRPr="00834B27">
        <w:rPr>
          <w:rFonts w:ascii="Calibri" w:hAnsi="Calibri" w:cs="Calibri"/>
          <w:lang w:val="ro-RO"/>
        </w:rPr>
        <w:t xml:space="preserve">/management/IT, </w:t>
      </w:r>
      <w:r w:rsidRPr="00834B27">
        <w:rPr>
          <w:rFonts w:ascii="Calibri" w:hAnsi="Calibri" w:cs="Calibri"/>
          <w:lang w:val="ro-RO"/>
        </w:rPr>
        <w:t>ș</w:t>
      </w:r>
      <w:r w:rsidR="00B43347" w:rsidRPr="00834B27">
        <w:rPr>
          <w:rFonts w:ascii="Calibri" w:hAnsi="Calibri" w:cs="Calibri"/>
          <w:lang w:val="ro-RO"/>
        </w:rPr>
        <w:t>.</w:t>
      </w:r>
      <w:r w:rsidRPr="00834B27">
        <w:rPr>
          <w:rFonts w:ascii="Calibri" w:hAnsi="Calibri" w:cs="Calibri"/>
          <w:lang w:val="ro-RO"/>
        </w:rPr>
        <w:t>a</w:t>
      </w:r>
      <w:r w:rsidR="00B43347" w:rsidRPr="00834B27">
        <w:rPr>
          <w:rFonts w:ascii="Calibri" w:hAnsi="Calibri" w:cs="Calibri"/>
          <w:lang w:val="ro-RO"/>
        </w:rPr>
        <w:t>.</w:t>
      </w:r>
      <w:r w:rsidRPr="00834B27">
        <w:rPr>
          <w:rFonts w:ascii="Calibri" w:hAnsi="Calibri" w:cs="Calibri"/>
          <w:lang w:val="ro-RO"/>
        </w:rPr>
        <w:t>m</w:t>
      </w:r>
      <w:r w:rsidR="00B43347" w:rsidRPr="00834B27">
        <w:rPr>
          <w:rFonts w:ascii="Calibri" w:hAnsi="Calibri" w:cs="Calibri"/>
          <w:lang w:val="ro-RO"/>
        </w:rPr>
        <w:t>.</w:t>
      </w:r>
      <w:r w:rsidRPr="00834B27">
        <w:rPr>
          <w:rFonts w:ascii="Calibri" w:hAnsi="Calibri" w:cs="Calibri"/>
          <w:lang w:val="ro-RO"/>
        </w:rPr>
        <w:t>d</w:t>
      </w:r>
      <w:r w:rsidR="005B111B" w:rsidRPr="00834B27">
        <w:rPr>
          <w:rFonts w:ascii="Calibri" w:hAnsi="Calibri" w:cs="Calibri"/>
          <w:lang w:val="ro-RO"/>
        </w:rPr>
        <w:t>.</w:t>
      </w:r>
      <w:r w:rsidR="00B43347" w:rsidRPr="00834B27">
        <w:rPr>
          <w:rFonts w:ascii="Calibri" w:hAnsi="Calibri" w:cs="Calibri"/>
          <w:lang w:val="ro-RO"/>
        </w:rPr>
        <w:t>,</w:t>
      </w:r>
      <w:r w:rsidR="00A734E0" w:rsidRPr="00834B27">
        <w:rPr>
          <w:rFonts w:ascii="Calibri" w:hAnsi="Calibri" w:cs="Calibri"/>
          <w:lang w:val="ro-RO"/>
        </w:rPr>
        <w:t xml:space="preserve"> </w:t>
      </w:r>
      <w:r w:rsidR="005B111B" w:rsidRPr="00834B27">
        <w:rPr>
          <w:rFonts w:ascii="Calibri" w:hAnsi="Calibri" w:cs="Calibri"/>
          <w:lang w:val="ro-RO"/>
        </w:rPr>
        <w:t>pu</w:t>
      </w:r>
      <w:r w:rsidR="00D77C4B" w:rsidRPr="00834B27">
        <w:rPr>
          <w:rFonts w:ascii="Calibri" w:hAnsi="Calibri" w:cs="Calibri"/>
          <w:lang w:val="ro-RO"/>
        </w:rPr>
        <w:t>ț</w:t>
      </w:r>
      <w:r w:rsidR="005B111B" w:rsidRPr="00834B27">
        <w:rPr>
          <w:rFonts w:ascii="Calibri" w:hAnsi="Calibri" w:cs="Calibri"/>
          <w:lang w:val="ro-RO"/>
        </w:rPr>
        <w:t>in</w:t>
      </w:r>
      <w:r w:rsidR="00F6423A" w:rsidRPr="00834B27">
        <w:rPr>
          <w:rFonts w:ascii="Calibri" w:hAnsi="Calibri" w:cs="Calibri"/>
          <w:lang w:val="ro-RO"/>
        </w:rPr>
        <w:t xml:space="preserve"> sub acest plafon (8.300 euro/</w:t>
      </w:r>
      <w:r w:rsidR="004366F5" w:rsidRPr="00834B27">
        <w:rPr>
          <w:rFonts w:ascii="Calibri" w:hAnsi="Calibri" w:cs="Calibri"/>
          <w:lang w:val="ro-RO"/>
        </w:rPr>
        <w:t>37.000 lei</w:t>
      </w:r>
      <w:r w:rsidR="00173448" w:rsidRPr="00834B27">
        <w:rPr>
          <w:rFonts w:ascii="Calibri" w:hAnsi="Calibri" w:cs="Calibri"/>
          <w:lang w:val="ro-RO"/>
        </w:rPr>
        <w:t>/lun</w:t>
      </w:r>
      <w:r w:rsidR="005B111B" w:rsidRPr="00834B27">
        <w:rPr>
          <w:rFonts w:ascii="Calibri" w:hAnsi="Calibri" w:cs="Calibri"/>
          <w:lang w:val="ro-RO"/>
        </w:rPr>
        <w:t>ă</w:t>
      </w:r>
      <w:r w:rsidR="00173448" w:rsidRPr="00834B27">
        <w:rPr>
          <w:rFonts w:ascii="Calibri" w:hAnsi="Calibri" w:cs="Calibri"/>
          <w:lang w:val="ro-RO"/>
        </w:rPr>
        <w:t>), norma de venit de aprox. 3.000 lei/lun</w:t>
      </w:r>
      <w:r w:rsidR="005B111B" w:rsidRPr="00834B27">
        <w:rPr>
          <w:rFonts w:ascii="Calibri" w:hAnsi="Calibri" w:cs="Calibri"/>
          <w:lang w:val="ro-RO"/>
        </w:rPr>
        <w:t>ă</w:t>
      </w:r>
      <w:r w:rsidR="00173448" w:rsidRPr="00834B27">
        <w:rPr>
          <w:rFonts w:ascii="Calibri" w:hAnsi="Calibri" w:cs="Calibri"/>
          <w:lang w:val="ro-RO"/>
        </w:rPr>
        <w:t xml:space="preserve"> </w:t>
      </w:r>
      <w:r w:rsidR="005B111B" w:rsidRPr="00834B27">
        <w:rPr>
          <w:rFonts w:ascii="Calibri" w:hAnsi="Calibri" w:cs="Calibri"/>
          <w:lang w:val="ro-RO"/>
        </w:rPr>
        <w:t>făcea</w:t>
      </w:r>
      <w:r w:rsidR="00173448" w:rsidRPr="00834B27">
        <w:rPr>
          <w:rFonts w:ascii="Calibri" w:hAnsi="Calibri" w:cs="Calibri"/>
          <w:lang w:val="ro-RO"/>
        </w:rPr>
        <w:t xml:space="preserve"> ca venitul impozabil s</w:t>
      </w:r>
      <w:r w:rsidR="005B111B" w:rsidRPr="00834B27">
        <w:rPr>
          <w:rFonts w:ascii="Calibri" w:hAnsi="Calibri" w:cs="Calibri"/>
          <w:lang w:val="ro-RO"/>
        </w:rPr>
        <w:t>ă</w:t>
      </w:r>
      <w:r w:rsidR="00173448" w:rsidRPr="00834B27">
        <w:rPr>
          <w:rFonts w:ascii="Calibri" w:hAnsi="Calibri" w:cs="Calibri"/>
          <w:lang w:val="ro-RO"/>
        </w:rPr>
        <w:t xml:space="preserve"> fie sub o zecime din venitul real</w:t>
      </w:r>
      <w:r w:rsidR="00176D44" w:rsidRPr="00834B27">
        <w:rPr>
          <w:rFonts w:ascii="Calibri" w:hAnsi="Calibri" w:cs="Calibri"/>
          <w:lang w:val="ro-RO"/>
        </w:rPr>
        <w:t>.</w:t>
      </w:r>
    </w:p>
    <w:p w14:paraId="73B88EBC" w14:textId="62245AA6" w:rsidR="00C75F3E" w:rsidRPr="00834B27" w:rsidRDefault="005B111B" w:rsidP="00C75F3E">
      <w:pPr>
        <w:tabs>
          <w:tab w:val="left" w:pos="720"/>
        </w:tabs>
        <w:spacing w:line="276" w:lineRule="auto"/>
        <w:jc w:val="both"/>
        <w:rPr>
          <w:rFonts w:ascii="Calibri" w:hAnsi="Calibri" w:cs="Calibri"/>
          <w:lang w:val="ro-RO"/>
        </w:rPr>
      </w:pPr>
      <w:r w:rsidRPr="00834B27">
        <w:rPr>
          <w:rFonts w:ascii="Calibri" w:hAnsi="Calibri" w:cs="Calibri"/>
          <w:lang w:val="ro-RO"/>
        </w:rPr>
        <w:t>Scăderea</w:t>
      </w:r>
      <w:r w:rsidR="00270165" w:rsidRPr="00834B27">
        <w:rPr>
          <w:rFonts w:ascii="Calibri" w:hAnsi="Calibri" w:cs="Calibri"/>
          <w:lang w:val="ro-RO"/>
        </w:rPr>
        <w:t xml:space="preserve"> masiv</w:t>
      </w:r>
      <w:r w:rsidRPr="00834B27">
        <w:rPr>
          <w:rFonts w:ascii="Calibri" w:hAnsi="Calibri" w:cs="Calibri"/>
          <w:lang w:val="ro-RO"/>
        </w:rPr>
        <w:t>ă</w:t>
      </w:r>
      <w:r w:rsidR="00270165" w:rsidRPr="00834B27">
        <w:rPr>
          <w:rFonts w:ascii="Calibri" w:hAnsi="Calibri" w:cs="Calibri"/>
          <w:lang w:val="ro-RO"/>
        </w:rPr>
        <w:t xml:space="preserve"> din 2018 este evident </w:t>
      </w:r>
      <w:r w:rsidR="009863D5" w:rsidRPr="00834B27">
        <w:rPr>
          <w:rFonts w:ascii="Calibri" w:hAnsi="Calibri" w:cs="Calibri"/>
          <w:lang w:val="ro-RO"/>
        </w:rPr>
        <w:t>generat</w:t>
      </w:r>
      <w:r w:rsidRPr="00834B27">
        <w:rPr>
          <w:rFonts w:ascii="Calibri" w:hAnsi="Calibri" w:cs="Calibri"/>
          <w:lang w:val="ro-RO"/>
        </w:rPr>
        <w:t>ă</w:t>
      </w:r>
      <w:r w:rsidR="009863D5" w:rsidRPr="00834B27">
        <w:rPr>
          <w:rFonts w:ascii="Calibri" w:hAnsi="Calibri" w:cs="Calibri"/>
          <w:lang w:val="ro-RO"/>
        </w:rPr>
        <w:t xml:space="preserve"> de </w:t>
      </w:r>
      <w:r w:rsidRPr="00834B27">
        <w:rPr>
          <w:rFonts w:ascii="Calibri" w:hAnsi="Calibri" w:cs="Calibri"/>
          <w:lang w:val="ro-RO"/>
        </w:rPr>
        <w:t>scăderea</w:t>
      </w:r>
      <w:r w:rsidR="009863D5" w:rsidRPr="00834B27">
        <w:rPr>
          <w:rFonts w:ascii="Calibri" w:hAnsi="Calibri" w:cs="Calibri"/>
          <w:lang w:val="ro-RO"/>
        </w:rPr>
        <w:t xml:space="preserve"> de la 16% la 10% (</w:t>
      </w:r>
      <w:r w:rsidRPr="00834B27">
        <w:rPr>
          <w:rFonts w:ascii="Calibri" w:hAnsi="Calibri" w:cs="Calibri"/>
          <w:lang w:val="ro-RO"/>
        </w:rPr>
        <w:t>î</w:t>
      </w:r>
      <w:r w:rsidR="009863D5" w:rsidRPr="00834B27">
        <w:rPr>
          <w:rFonts w:ascii="Calibri" w:hAnsi="Calibri" w:cs="Calibri"/>
          <w:lang w:val="ro-RO"/>
        </w:rPr>
        <w:t xml:space="preserve">n </w:t>
      </w:r>
      <w:r w:rsidRPr="00834B27">
        <w:rPr>
          <w:rFonts w:ascii="Calibri" w:hAnsi="Calibri" w:cs="Calibri"/>
          <w:lang w:val="ro-RO"/>
        </w:rPr>
        <w:t>compensa</w:t>
      </w:r>
      <w:r w:rsidR="00D77C4B" w:rsidRPr="00834B27">
        <w:rPr>
          <w:rFonts w:ascii="Calibri" w:hAnsi="Calibri" w:cs="Calibri"/>
          <w:lang w:val="ro-RO"/>
        </w:rPr>
        <w:t>ț</w:t>
      </w:r>
      <w:r w:rsidRPr="00834B27">
        <w:rPr>
          <w:rFonts w:ascii="Calibri" w:hAnsi="Calibri" w:cs="Calibri"/>
          <w:lang w:val="ro-RO"/>
        </w:rPr>
        <w:t>ie</w:t>
      </w:r>
      <w:r w:rsidR="009863D5" w:rsidRPr="00834B27">
        <w:rPr>
          <w:rFonts w:ascii="Calibri" w:hAnsi="Calibri" w:cs="Calibri"/>
          <w:lang w:val="ro-RO"/>
        </w:rPr>
        <w:t xml:space="preserve"> pentru </w:t>
      </w:r>
      <w:r w:rsidRPr="00834B27">
        <w:rPr>
          <w:rFonts w:ascii="Calibri" w:hAnsi="Calibri" w:cs="Calibri"/>
          <w:lang w:val="ro-RO"/>
        </w:rPr>
        <w:t>creșterea</w:t>
      </w:r>
      <w:r w:rsidR="009863D5" w:rsidRPr="00834B27">
        <w:rPr>
          <w:rFonts w:ascii="Calibri" w:hAnsi="Calibri" w:cs="Calibri"/>
          <w:lang w:val="ro-RO"/>
        </w:rPr>
        <w:t xml:space="preserve"> CAS de la 21</w:t>
      </w:r>
      <w:r w:rsidR="00F02879" w:rsidRPr="00834B27">
        <w:rPr>
          <w:rFonts w:ascii="Calibri" w:hAnsi="Calibri" w:cs="Calibri"/>
          <w:lang w:val="ro-RO"/>
        </w:rPr>
        <w:t>,</w:t>
      </w:r>
      <w:r w:rsidR="00EF487E" w:rsidRPr="00834B27">
        <w:rPr>
          <w:rFonts w:ascii="Calibri" w:hAnsi="Calibri" w:cs="Calibri"/>
          <w:lang w:val="ro-RO"/>
        </w:rPr>
        <w:t>7</w:t>
      </w:r>
      <w:r w:rsidR="009863D5" w:rsidRPr="00834B27">
        <w:rPr>
          <w:rFonts w:ascii="Calibri" w:hAnsi="Calibri" w:cs="Calibri"/>
          <w:lang w:val="ro-RO"/>
        </w:rPr>
        <w:t xml:space="preserve">% la 25% </w:t>
      </w:r>
      <w:r w:rsidRPr="00834B27">
        <w:rPr>
          <w:rFonts w:ascii="Calibri" w:hAnsi="Calibri" w:cs="Calibri"/>
          <w:lang w:val="ro-RO"/>
        </w:rPr>
        <w:t>ș</w:t>
      </w:r>
      <w:r w:rsidR="009863D5" w:rsidRPr="00834B27">
        <w:rPr>
          <w:rFonts w:ascii="Calibri" w:hAnsi="Calibri" w:cs="Calibri"/>
          <w:lang w:val="ro-RO"/>
        </w:rPr>
        <w:t xml:space="preserve">i a CASS de la </w:t>
      </w:r>
      <w:r w:rsidR="00F02879" w:rsidRPr="00834B27">
        <w:rPr>
          <w:rFonts w:ascii="Calibri" w:hAnsi="Calibri" w:cs="Calibri"/>
          <w:lang w:val="ro-RO"/>
        </w:rPr>
        <w:t xml:space="preserve">8,8% la 10%) </w:t>
      </w:r>
      <w:r w:rsidRPr="00834B27">
        <w:rPr>
          <w:rFonts w:ascii="Calibri" w:hAnsi="Calibri" w:cs="Calibri"/>
          <w:lang w:val="ro-RO"/>
        </w:rPr>
        <w:t>ș</w:t>
      </w:r>
      <w:r w:rsidR="00F02879" w:rsidRPr="00834B27">
        <w:rPr>
          <w:rFonts w:ascii="Calibri" w:hAnsi="Calibri" w:cs="Calibri"/>
          <w:lang w:val="ro-RO"/>
        </w:rPr>
        <w:t xml:space="preserve">i </w:t>
      </w:r>
      <w:r w:rsidR="00C75F3E" w:rsidRPr="00834B27">
        <w:rPr>
          <w:rFonts w:ascii="Calibri" w:hAnsi="Calibri" w:cs="Calibri"/>
          <w:lang w:val="ro-RO"/>
        </w:rPr>
        <w:t>de scutirea</w:t>
      </w:r>
      <w:r w:rsidR="00F02879" w:rsidRPr="00834B27">
        <w:rPr>
          <w:rFonts w:ascii="Calibri" w:hAnsi="Calibri" w:cs="Calibri"/>
          <w:lang w:val="ro-RO"/>
        </w:rPr>
        <w:t xml:space="preserve"> de impozit pe salarii </w:t>
      </w:r>
      <w:r w:rsidR="00C75F3E" w:rsidRPr="00834B27">
        <w:rPr>
          <w:rFonts w:ascii="Calibri" w:hAnsi="Calibri" w:cs="Calibri"/>
          <w:lang w:val="ro-RO"/>
        </w:rPr>
        <w:t>la</w:t>
      </w:r>
      <w:r w:rsidR="00F02879" w:rsidRPr="00834B27">
        <w:rPr>
          <w:rFonts w:ascii="Calibri" w:hAnsi="Calibri" w:cs="Calibri"/>
          <w:lang w:val="ro-RO"/>
        </w:rPr>
        <w:t xml:space="preserve"> </w:t>
      </w:r>
      <w:r w:rsidRPr="00834B27">
        <w:rPr>
          <w:rFonts w:ascii="Calibri" w:hAnsi="Calibri" w:cs="Calibri"/>
          <w:lang w:val="ro-RO"/>
        </w:rPr>
        <w:t>angaja</w:t>
      </w:r>
      <w:r w:rsidR="00D77C4B" w:rsidRPr="00834B27">
        <w:rPr>
          <w:rFonts w:ascii="Calibri" w:hAnsi="Calibri" w:cs="Calibri"/>
          <w:lang w:val="ro-RO"/>
        </w:rPr>
        <w:t>ț</w:t>
      </w:r>
      <w:r w:rsidRPr="00834B27">
        <w:rPr>
          <w:rFonts w:ascii="Calibri" w:hAnsi="Calibri" w:cs="Calibri"/>
          <w:lang w:val="ro-RO"/>
        </w:rPr>
        <w:t>i</w:t>
      </w:r>
      <w:r w:rsidR="00551B4E" w:rsidRPr="00834B27">
        <w:rPr>
          <w:rFonts w:ascii="Calibri" w:hAnsi="Calibri" w:cs="Calibri"/>
          <w:lang w:val="ro-RO"/>
        </w:rPr>
        <w:t>i</w:t>
      </w:r>
      <w:r w:rsidR="00F02879" w:rsidRPr="00834B27">
        <w:rPr>
          <w:rFonts w:ascii="Calibri" w:hAnsi="Calibri" w:cs="Calibri"/>
          <w:lang w:val="ro-RO"/>
        </w:rPr>
        <w:t xml:space="preserve"> din </w:t>
      </w:r>
      <w:r w:rsidRPr="00834B27">
        <w:rPr>
          <w:rFonts w:ascii="Calibri" w:hAnsi="Calibri" w:cs="Calibri"/>
          <w:lang w:val="ro-RO"/>
        </w:rPr>
        <w:t>construc</w:t>
      </w:r>
      <w:r w:rsidR="00D77C4B" w:rsidRPr="00834B27">
        <w:rPr>
          <w:rFonts w:ascii="Calibri" w:hAnsi="Calibri" w:cs="Calibri"/>
          <w:lang w:val="ro-RO"/>
        </w:rPr>
        <w:t>ț</w:t>
      </w:r>
      <w:r w:rsidRPr="00834B27">
        <w:rPr>
          <w:rFonts w:ascii="Calibri" w:hAnsi="Calibri" w:cs="Calibri"/>
          <w:lang w:val="ro-RO"/>
        </w:rPr>
        <w:t>ii</w:t>
      </w:r>
      <w:r w:rsidR="00F02879" w:rsidRPr="00834B27">
        <w:rPr>
          <w:rFonts w:ascii="Calibri" w:hAnsi="Calibri" w:cs="Calibri"/>
          <w:lang w:val="ro-RO"/>
        </w:rPr>
        <w:t>.</w:t>
      </w:r>
      <w:r w:rsidR="00D8324E" w:rsidRPr="00834B27">
        <w:rPr>
          <w:rFonts w:ascii="Calibri" w:hAnsi="Calibri" w:cs="Calibri"/>
          <w:lang w:val="ro-RO"/>
        </w:rPr>
        <w:t xml:space="preserve"> Cotele de 21,</w:t>
      </w:r>
      <w:r w:rsidR="00EF487E" w:rsidRPr="00834B27">
        <w:rPr>
          <w:rFonts w:ascii="Calibri" w:hAnsi="Calibri" w:cs="Calibri"/>
          <w:lang w:val="ro-RO"/>
        </w:rPr>
        <w:t>7</w:t>
      </w:r>
      <w:r w:rsidR="00D8324E" w:rsidRPr="00834B27">
        <w:rPr>
          <w:rFonts w:ascii="Calibri" w:hAnsi="Calibri" w:cs="Calibri"/>
          <w:lang w:val="ro-RO"/>
        </w:rPr>
        <w:t>% la CAS si de 8,8% la CASS ar fi asigurat</w:t>
      </w:r>
      <w:r w:rsidR="005B7443" w:rsidRPr="00834B27">
        <w:rPr>
          <w:rFonts w:ascii="Calibri" w:hAnsi="Calibri" w:cs="Calibri"/>
          <w:lang w:val="ro-RO"/>
        </w:rPr>
        <w:t xml:space="preserve"> un transfer neutru al CAS și CASS de la angajator la angajat.</w:t>
      </w:r>
    </w:p>
    <w:p w14:paraId="182F060E" w14:textId="217D8C58" w:rsidR="00C82234" w:rsidRPr="00834B27" w:rsidRDefault="00C82234" w:rsidP="00C75F3E">
      <w:pPr>
        <w:tabs>
          <w:tab w:val="left" w:pos="720"/>
        </w:tabs>
        <w:spacing w:line="276" w:lineRule="auto"/>
        <w:jc w:val="both"/>
        <w:rPr>
          <w:rFonts w:ascii="Calibri" w:hAnsi="Calibri" w:cs="Calibri"/>
          <w:lang w:val="ro-RO"/>
        </w:rPr>
      </w:pPr>
      <w:r w:rsidRPr="00834B27">
        <w:rPr>
          <w:rFonts w:ascii="Calibri" w:hAnsi="Calibri" w:cs="Calibri"/>
          <w:lang w:val="ro-RO"/>
        </w:rPr>
        <w:t xml:space="preserve">Acest artificiu a generat </w:t>
      </w:r>
      <w:r w:rsidR="005B111B" w:rsidRPr="00834B27">
        <w:rPr>
          <w:rFonts w:ascii="Calibri" w:hAnsi="Calibri" w:cs="Calibri"/>
          <w:lang w:val="ro-RO"/>
        </w:rPr>
        <w:t>ș</w:t>
      </w:r>
      <w:r w:rsidRPr="00834B27">
        <w:rPr>
          <w:rFonts w:ascii="Calibri" w:hAnsi="Calibri" w:cs="Calibri"/>
          <w:lang w:val="ro-RO"/>
        </w:rPr>
        <w:t>i curentul de opinie actual</w:t>
      </w:r>
      <w:r w:rsidR="00851D5C" w:rsidRPr="00834B27">
        <w:rPr>
          <w:rFonts w:ascii="Calibri" w:hAnsi="Calibri" w:cs="Calibri"/>
          <w:lang w:val="ro-RO"/>
        </w:rPr>
        <w:t xml:space="preserve">, conform </w:t>
      </w:r>
      <w:r w:rsidR="005B111B" w:rsidRPr="00834B27">
        <w:rPr>
          <w:rFonts w:ascii="Calibri" w:hAnsi="Calibri" w:cs="Calibri"/>
          <w:lang w:val="ro-RO"/>
        </w:rPr>
        <w:t>căruia</w:t>
      </w:r>
      <w:r w:rsidR="00851D5C" w:rsidRPr="00834B27">
        <w:rPr>
          <w:rFonts w:ascii="Calibri" w:hAnsi="Calibri" w:cs="Calibri"/>
          <w:lang w:val="ro-RO"/>
        </w:rPr>
        <w:t xml:space="preserve"> cota unic</w:t>
      </w:r>
      <w:r w:rsidR="005B111B" w:rsidRPr="00834B27">
        <w:rPr>
          <w:rFonts w:ascii="Calibri" w:hAnsi="Calibri" w:cs="Calibri"/>
          <w:lang w:val="ro-RO"/>
        </w:rPr>
        <w:t>ă</w:t>
      </w:r>
      <w:r w:rsidR="00851D5C" w:rsidRPr="00834B27">
        <w:rPr>
          <w:rFonts w:ascii="Calibri" w:hAnsi="Calibri" w:cs="Calibri"/>
          <w:lang w:val="ro-RO"/>
        </w:rPr>
        <w:t xml:space="preserve"> „aduce prea pu</w:t>
      </w:r>
      <w:r w:rsidR="00D77C4B" w:rsidRPr="00834B27">
        <w:rPr>
          <w:rFonts w:ascii="Calibri" w:hAnsi="Calibri" w:cs="Calibri"/>
          <w:lang w:val="ro-RO"/>
        </w:rPr>
        <w:t>ț</w:t>
      </w:r>
      <w:r w:rsidR="00851D5C" w:rsidRPr="00834B27">
        <w:rPr>
          <w:rFonts w:ascii="Calibri" w:hAnsi="Calibri" w:cs="Calibri"/>
          <w:lang w:val="ro-RO"/>
        </w:rPr>
        <w:t>ini bani la buget”.</w:t>
      </w:r>
    </w:p>
    <w:p w14:paraId="3B5BEB59" w14:textId="4ECF48E2" w:rsidR="00851D5C" w:rsidRPr="00834B27" w:rsidRDefault="005B111B" w:rsidP="009F51C2">
      <w:pPr>
        <w:tabs>
          <w:tab w:val="left" w:pos="720"/>
        </w:tabs>
        <w:spacing w:line="276" w:lineRule="auto"/>
        <w:jc w:val="both"/>
        <w:rPr>
          <w:rFonts w:ascii="Calibri" w:hAnsi="Calibri" w:cs="Calibri"/>
          <w:lang w:val="ro-RO"/>
        </w:rPr>
      </w:pPr>
      <w:r w:rsidRPr="00834B27">
        <w:rPr>
          <w:rFonts w:ascii="Calibri" w:hAnsi="Calibri" w:cs="Calibri"/>
          <w:b/>
          <w:bCs/>
          <w:lang w:val="ro-RO"/>
        </w:rPr>
        <w:t>Î</w:t>
      </w:r>
      <w:r w:rsidR="00851D5C" w:rsidRPr="00834B27">
        <w:rPr>
          <w:rFonts w:ascii="Calibri" w:hAnsi="Calibri" w:cs="Calibri"/>
          <w:b/>
          <w:bCs/>
          <w:lang w:val="ro-RO"/>
        </w:rPr>
        <w:t xml:space="preserve">n al doilea </w:t>
      </w:r>
      <w:r w:rsidRPr="00834B27">
        <w:rPr>
          <w:rFonts w:ascii="Calibri" w:hAnsi="Calibri" w:cs="Calibri"/>
          <w:b/>
          <w:bCs/>
          <w:lang w:val="ro-RO"/>
        </w:rPr>
        <w:t>rând</w:t>
      </w:r>
      <w:r w:rsidR="00851D5C" w:rsidRPr="00834B27">
        <w:rPr>
          <w:rFonts w:ascii="Calibri" w:hAnsi="Calibri" w:cs="Calibri"/>
          <w:lang w:val="ro-RO"/>
        </w:rPr>
        <w:t>, cota unic</w:t>
      </w:r>
      <w:r w:rsidRPr="00834B27">
        <w:rPr>
          <w:rFonts w:ascii="Calibri" w:hAnsi="Calibri" w:cs="Calibri"/>
          <w:lang w:val="ro-RO"/>
        </w:rPr>
        <w:t>ă</w:t>
      </w:r>
      <w:r w:rsidR="00851D5C" w:rsidRPr="00834B27">
        <w:rPr>
          <w:rFonts w:ascii="Calibri" w:hAnsi="Calibri" w:cs="Calibri"/>
          <w:lang w:val="ro-RO"/>
        </w:rPr>
        <w:t xml:space="preserve"> a redus semnificativ </w:t>
      </w:r>
      <w:r w:rsidRPr="00834B27">
        <w:rPr>
          <w:rFonts w:ascii="Calibri" w:hAnsi="Calibri" w:cs="Calibri"/>
          <w:lang w:val="ro-RO"/>
        </w:rPr>
        <w:t>numărul</w:t>
      </w:r>
      <w:r w:rsidR="00851D5C" w:rsidRPr="00834B27">
        <w:rPr>
          <w:rFonts w:ascii="Calibri" w:hAnsi="Calibri" w:cs="Calibri"/>
          <w:lang w:val="ro-RO"/>
        </w:rPr>
        <w:t xml:space="preserve"> de contribuabili ce trebuie s</w:t>
      </w:r>
      <w:r w:rsidRPr="00834B27">
        <w:rPr>
          <w:rFonts w:ascii="Calibri" w:hAnsi="Calibri" w:cs="Calibri"/>
          <w:lang w:val="ro-RO"/>
        </w:rPr>
        <w:t>ă</w:t>
      </w:r>
      <w:r w:rsidR="00851D5C" w:rsidRPr="00834B27">
        <w:rPr>
          <w:rFonts w:ascii="Calibri" w:hAnsi="Calibri" w:cs="Calibri"/>
          <w:lang w:val="ro-RO"/>
        </w:rPr>
        <w:t xml:space="preserve"> </w:t>
      </w:r>
      <w:r w:rsidRPr="00834B27">
        <w:rPr>
          <w:rFonts w:ascii="Calibri" w:hAnsi="Calibri" w:cs="Calibri"/>
          <w:lang w:val="ro-RO"/>
        </w:rPr>
        <w:t>depună</w:t>
      </w:r>
      <w:r w:rsidR="00851D5C" w:rsidRPr="00834B27">
        <w:rPr>
          <w:rFonts w:ascii="Calibri" w:hAnsi="Calibri" w:cs="Calibri"/>
          <w:lang w:val="ro-RO"/>
        </w:rPr>
        <w:t xml:space="preserve"> </w:t>
      </w:r>
      <w:r w:rsidRPr="00834B27">
        <w:rPr>
          <w:rFonts w:ascii="Calibri" w:hAnsi="Calibri" w:cs="Calibri"/>
          <w:lang w:val="ro-RO"/>
        </w:rPr>
        <w:t>declara</w:t>
      </w:r>
      <w:r w:rsidR="00D77C4B" w:rsidRPr="00834B27">
        <w:rPr>
          <w:rFonts w:ascii="Calibri" w:hAnsi="Calibri" w:cs="Calibri"/>
          <w:lang w:val="ro-RO"/>
        </w:rPr>
        <w:t>ț</w:t>
      </w:r>
      <w:r w:rsidRPr="00834B27">
        <w:rPr>
          <w:rFonts w:ascii="Calibri" w:hAnsi="Calibri" w:cs="Calibri"/>
          <w:lang w:val="ro-RO"/>
        </w:rPr>
        <w:t>ia</w:t>
      </w:r>
      <w:r w:rsidR="00851D5C" w:rsidRPr="00834B27">
        <w:rPr>
          <w:rFonts w:ascii="Calibri" w:hAnsi="Calibri" w:cs="Calibri"/>
          <w:lang w:val="ro-RO"/>
        </w:rPr>
        <w:t xml:space="preserve"> anual</w:t>
      </w:r>
      <w:r w:rsidRPr="00834B27">
        <w:rPr>
          <w:rFonts w:ascii="Calibri" w:hAnsi="Calibri" w:cs="Calibri"/>
          <w:lang w:val="ro-RO"/>
        </w:rPr>
        <w:t>ă</w:t>
      </w:r>
      <w:r w:rsidR="00851D5C" w:rsidRPr="00834B27">
        <w:rPr>
          <w:rFonts w:ascii="Calibri" w:hAnsi="Calibri" w:cs="Calibri"/>
          <w:lang w:val="ro-RO"/>
        </w:rPr>
        <w:t xml:space="preserve"> de venit/</w:t>
      </w:r>
      <w:r w:rsidRPr="00834B27">
        <w:rPr>
          <w:rFonts w:ascii="Calibri" w:hAnsi="Calibri" w:cs="Calibri"/>
          <w:lang w:val="ro-RO"/>
        </w:rPr>
        <w:t>declara</w:t>
      </w:r>
      <w:r w:rsidR="00D77C4B" w:rsidRPr="00834B27">
        <w:rPr>
          <w:rFonts w:ascii="Calibri" w:hAnsi="Calibri" w:cs="Calibri"/>
          <w:lang w:val="ro-RO"/>
        </w:rPr>
        <w:t>ț</w:t>
      </w:r>
      <w:r w:rsidRPr="00834B27">
        <w:rPr>
          <w:rFonts w:ascii="Calibri" w:hAnsi="Calibri" w:cs="Calibri"/>
          <w:lang w:val="ro-RO"/>
        </w:rPr>
        <w:t>ia</w:t>
      </w:r>
      <w:r w:rsidR="00851D5C" w:rsidRPr="00834B27">
        <w:rPr>
          <w:rFonts w:ascii="Calibri" w:hAnsi="Calibri" w:cs="Calibri"/>
          <w:lang w:val="ro-RO"/>
        </w:rPr>
        <w:t xml:space="preserve"> unic</w:t>
      </w:r>
      <w:r w:rsidRPr="00834B27">
        <w:rPr>
          <w:rFonts w:ascii="Calibri" w:hAnsi="Calibri" w:cs="Calibri"/>
          <w:lang w:val="ro-RO"/>
        </w:rPr>
        <w:t>ă</w:t>
      </w:r>
      <w:r w:rsidR="00851D5C" w:rsidRPr="00834B27">
        <w:rPr>
          <w:rFonts w:ascii="Calibri" w:hAnsi="Calibri" w:cs="Calibri"/>
          <w:lang w:val="ro-RO"/>
        </w:rPr>
        <w:t xml:space="preserve">, </w:t>
      </w:r>
      <w:r w:rsidRPr="00834B27">
        <w:rPr>
          <w:rFonts w:ascii="Calibri" w:hAnsi="Calibri" w:cs="Calibri"/>
          <w:lang w:val="ro-RO"/>
        </w:rPr>
        <w:t>reducând</w:t>
      </w:r>
      <w:r w:rsidR="00851D5C" w:rsidRPr="00834B27">
        <w:rPr>
          <w:rFonts w:ascii="Calibri" w:hAnsi="Calibri" w:cs="Calibri"/>
          <w:lang w:val="ro-RO"/>
        </w:rPr>
        <w:t xml:space="preserve"> semnificativ costurile de conformare</w:t>
      </w:r>
      <w:r w:rsidR="0052445A" w:rsidRPr="00834B27">
        <w:rPr>
          <w:rFonts w:ascii="Calibri" w:hAnsi="Calibri" w:cs="Calibri"/>
          <w:lang w:val="ro-RO"/>
        </w:rPr>
        <w:t>/administrare.</w:t>
      </w:r>
    </w:p>
    <w:p w14:paraId="2F23013D" w14:textId="28117C6F" w:rsidR="0052445A" w:rsidRPr="00834B27" w:rsidRDefault="005B111B" w:rsidP="009F51C2">
      <w:pPr>
        <w:tabs>
          <w:tab w:val="left" w:pos="720"/>
        </w:tabs>
        <w:spacing w:line="276" w:lineRule="auto"/>
        <w:jc w:val="both"/>
        <w:rPr>
          <w:rFonts w:ascii="Calibri" w:hAnsi="Calibri" w:cs="Calibri"/>
          <w:lang w:val="ro-RO"/>
        </w:rPr>
      </w:pPr>
      <w:r w:rsidRPr="00834B27">
        <w:rPr>
          <w:rFonts w:ascii="Calibri" w:hAnsi="Calibri" w:cs="Calibri"/>
          <w:b/>
          <w:bCs/>
          <w:lang w:val="ro-RO"/>
        </w:rPr>
        <w:lastRenderedPageBreak/>
        <w:t>Î</w:t>
      </w:r>
      <w:r w:rsidR="0052445A" w:rsidRPr="00834B27">
        <w:rPr>
          <w:rFonts w:ascii="Calibri" w:hAnsi="Calibri" w:cs="Calibri"/>
          <w:b/>
          <w:bCs/>
          <w:lang w:val="ro-RO"/>
        </w:rPr>
        <w:t xml:space="preserve">n al treilea </w:t>
      </w:r>
      <w:r w:rsidRPr="00834B27">
        <w:rPr>
          <w:rFonts w:ascii="Calibri" w:hAnsi="Calibri" w:cs="Calibri"/>
          <w:b/>
          <w:bCs/>
          <w:lang w:val="ro-RO"/>
        </w:rPr>
        <w:t>rând</w:t>
      </w:r>
      <w:r w:rsidR="0052445A" w:rsidRPr="00834B27">
        <w:rPr>
          <w:rFonts w:ascii="Calibri" w:hAnsi="Calibri" w:cs="Calibri"/>
          <w:lang w:val="ro-RO"/>
        </w:rPr>
        <w:t xml:space="preserve">, prin impozitarea </w:t>
      </w:r>
      <w:r w:rsidRPr="00834B27">
        <w:rPr>
          <w:rFonts w:ascii="Calibri" w:hAnsi="Calibri" w:cs="Calibri"/>
          <w:lang w:val="ro-RO"/>
        </w:rPr>
        <w:t>propor</w:t>
      </w:r>
      <w:r w:rsidR="00D77C4B" w:rsidRPr="00834B27">
        <w:rPr>
          <w:rFonts w:ascii="Calibri" w:hAnsi="Calibri" w:cs="Calibri"/>
          <w:lang w:val="ro-RO"/>
        </w:rPr>
        <w:t>ț</w:t>
      </w:r>
      <w:r w:rsidRPr="00834B27">
        <w:rPr>
          <w:rFonts w:ascii="Calibri" w:hAnsi="Calibri" w:cs="Calibri"/>
          <w:lang w:val="ro-RO"/>
        </w:rPr>
        <w:t>ională</w:t>
      </w:r>
      <w:r w:rsidR="0052445A" w:rsidRPr="00834B27">
        <w:rPr>
          <w:rFonts w:ascii="Calibri" w:hAnsi="Calibri" w:cs="Calibri"/>
          <w:lang w:val="ro-RO"/>
        </w:rPr>
        <w:t xml:space="preserve"> a veniturilor/</w:t>
      </w:r>
      <w:r w:rsidRPr="00834B27">
        <w:rPr>
          <w:rFonts w:ascii="Calibri" w:hAnsi="Calibri" w:cs="Calibri"/>
          <w:lang w:val="ro-RO"/>
        </w:rPr>
        <w:t>câștigurilor</w:t>
      </w:r>
      <w:r w:rsidR="007D1237" w:rsidRPr="00834B27">
        <w:rPr>
          <w:rFonts w:ascii="Calibri" w:hAnsi="Calibri" w:cs="Calibri"/>
          <w:lang w:val="ro-RO"/>
        </w:rPr>
        <w:t>, cota unic</w:t>
      </w:r>
      <w:r w:rsidRPr="00834B27">
        <w:rPr>
          <w:rFonts w:ascii="Calibri" w:hAnsi="Calibri" w:cs="Calibri"/>
          <w:lang w:val="ro-RO"/>
        </w:rPr>
        <w:t>ă</w:t>
      </w:r>
      <w:r w:rsidR="007D1237" w:rsidRPr="00834B27">
        <w:rPr>
          <w:rFonts w:ascii="Calibri" w:hAnsi="Calibri" w:cs="Calibri"/>
          <w:lang w:val="ro-RO"/>
        </w:rPr>
        <w:t xml:space="preserve">  </w:t>
      </w:r>
      <w:r w:rsidR="00087DCB" w:rsidRPr="00834B27">
        <w:rPr>
          <w:rFonts w:ascii="Calibri" w:hAnsi="Calibri" w:cs="Calibri"/>
          <w:lang w:val="ro-RO"/>
        </w:rPr>
        <w:t>în</w:t>
      </w:r>
      <w:r w:rsidRPr="00834B27">
        <w:rPr>
          <w:rFonts w:ascii="Calibri" w:hAnsi="Calibri" w:cs="Calibri"/>
          <w:lang w:val="ro-RO"/>
        </w:rPr>
        <w:t>curajează</w:t>
      </w:r>
      <w:r w:rsidR="007D1237" w:rsidRPr="00834B27">
        <w:rPr>
          <w:rFonts w:ascii="Calibri" w:hAnsi="Calibri" w:cs="Calibri"/>
          <w:lang w:val="ro-RO"/>
        </w:rPr>
        <w:t xml:space="preserve"> conformarea voluntar</w:t>
      </w:r>
      <w:r w:rsidRPr="00834B27">
        <w:rPr>
          <w:rFonts w:ascii="Calibri" w:hAnsi="Calibri" w:cs="Calibri"/>
          <w:lang w:val="ro-RO"/>
        </w:rPr>
        <w:t>ă</w:t>
      </w:r>
      <w:r w:rsidR="007D1237" w:rsidRPr="00834B27">
        <w:rPr>
          <w:rFonts w:ascii="Calibri" w:hAnsi="Calibri" w:cs="Calibri"/>
          <w:lang w:val="ro-RO"/>
        </w:rPr>
        <w:t xml:space="preserve"> </w:t>
      </w:r>
      <w:r w:rsidRPr="00834B27">
        <w:rPr>
          <w:rFonts w:ascii="Calibri" w:hAnsi="Calibri" w:cs="Calibri"/>
          <w:lang w:val="ro-RO"/>
        </w:rPr>
        <w:t>ș</w:t>
      </w:r>
      <w:r w:rsidR="007D1237" w:rsidRPr="00834B27">
        <w:rPr>
          <w:rFonts w:ascii="Calibri" w:hAnsi="Calibri" w:cs="Calibri"/>
          <w:lang w:val="ro-RO"/>
        </w:rPr>
        <w:t xml:space="preserve">i munca </w:t>
      </w:r>
      <w:r w:rsidR="00D760D7" w:rsidRPr="00834B27">
        <w:rPr>
          <w:rFonts w:ascii="Calibri" w:hAnsi="Calibri" w:cs="Calibri"/>
          <w:lang w:val="ro-RO"/>
        </w:rPr>
        <w:t>eficient</w:t>
      </w:r>
      <w:r w:rsidRPr="00834B27">
        <w:rPr>
          <w:rFonts w:ascii="Calibri" w:hAnsi="Calibri" w:cs="Calibri"/>
          <w:lang w:val="ro-RO"/>
        </w:rPr>
        <w:t>ă</w:t>
      </w:r>
      <w:r w:rsidR="00D760D7" w:rsidRPr="00834B27">
        <w:rPr>
          <w:rFonts w:ascii="Calibri" w:hAnsi="Calibri" w:cs="Calibri"/>
          <w:lang w:val="ro-RO"/>
        </w:rPr>
        <w:t>.</w:t>
      </w:r>
    </w:p>
    <w:p w14:paraId="0FA48F69" w14:textId="4CF0131B" w:rsidR="005B111B" w:rsidRPr="00834B27" w:rsidRDefault="00D760D7" w:rsidP="00B43347">
      <w:pPr>
        <w:tabs>
          <w:tab w:val="left" w:pos="720"/>
        </w:tabs>
        <w:spacing w:line="276" w:lineRule="auto"/>
        <w:jc w:val="both"/>
        <w:rPr>
          <w:rFonts w:ascii="Calibri" w:hAnsi="Calibri" w:cs="Calibri"/>
          <w:lang w:val="ro-RO"/>
        </w:rPr>
      </w:pPr>
      <w:r w:rsidRPr="00834B27">
        <w:rPr>
          <w:rFonts w:ascii="Calibri" w:hAnsi="Calibri" w:cs="Calibri"/>
          <w:lang w:val="ro-RO"/>
        </w:rPr>
        <w:t>Avem deci dou</w:t>
      </w:r>
      <w:r w:rsidR="005B111B" w:rsidRPr="00834B27">
        <w:rPr>
          <w:rFonts w:ascii="Calibri" w:hAnsi="Calibri" w:cs="Calibri"/>
          <w:lang w:val="ro-RO"/>
        </w:rPr>
        <w:t>ă</w:t>
      </w:r>
      <w:r w:rsidRPr="00834B27">
        <w:rPr>
          <w:rFonts w:ascii="Calibri" w:hAnsi="Calibri" w:cs="Calibri"/>
          <w:lang w:val="ro-RO"/>
        </w:rPr>
        <w:t xml:space="preserve"> motive obiect</w:t>
      </w:r>
      <w:r w:rsidR="00A02362" w:rsidRPr="00834B27">
        <w:rPr>
          <w:rFonts w:ascii="Calibri" w:hAnsi="Calibri" w:cs="Calibri"/>
          <w:lang w:val="ro-RO"/>
        </w:rPr>
        <w:t xml:space="preserve">ive </w:t>
      </w:r>
      <w:r w:rsidR="005B111B" w:rsidRPr="00834B27">
        <w:rPr>
          <w:rFonts w:ascii="Calibri" w:hAnsi="Calibri" w:cs="Calibri"/>
          <w:lang w:val="ro-RO"/>
        </w:rPr>
        <w:t>î</w:t>
      </w:r>
      <w:r w:rsidR="00A02362" w:rsidRPr="00834B27">
        <w:rPr>
          <w:rFonts w:ascii="Calibri" w:hAnsi="Calibri" w:cs="Calibri"/>
          <w:lang w:val="ro-RO"/>
        </w:rPr>
        <w:t>n favoarea cotei unice</w:t>
      </w:r>
      <w:r w:rsidRPr="00834B27">
        <w:rPr>
          <w:rFonts w:ascii="Calibri" w:hAnsi="Calibri" w:cs="Calibri"/>
          <w:lang w:val="ro-RO"/>
        </w:rPr>
        <w:t xml:space="preserve"> </w:t>
      </w:r>
      <w:r w:rsidR="00824AD3" w:rsidRPr="00834B27">
        <w:rPr>
          <w:rFonts w:ascii="Calibri" w:hAnsi="Calibri" w:cs="Calibri"/>
          <w:lang w:val="ro-RO"/>
        </w:rPr>
        <w:t xml:space="preserve">(venituri mai mari, costuri mai mici) </w:t>
      </w:r>
      <w:r w:rsidR="005B111B" w:rsidRPr="00834B27">
        <w:rPr>
          <w:rFonts w:ascii="Calibri" w:hAnsi="Calibri" w:cs="Calibri"/>
          <w:lang w:val="ro-RO"/>
        </w:rPr>
        <w:t>ș</w:t>
      </w:r>
      <w:r w:rsidR="00824AD3" w:rsidRPr="00834B27">
        <w:rPr>
          <w:rFonts w:ascii="Calibri" w:hAnsi="Calibri" w:cs="Calibri"/>
          <w:lang w:val="ro-RO"/>
        </w:rPr>
        <w:t>i unul aparent subiect</w:t>
      </w:r>
      <w:r w:rsidR="0042634F" w:rsidRPr="00834B27">
        <w:rPr>
          <w:rFonts w:ascii="Calibri" w:hAnsi="Calibri" w:cs="Calibri"/>
          <w:lang w:val="ro-RO"/>
        </w:rPr>
        <w:t>iv (</w:t>
      </w:r>
      <w:r w:rsidR="005B111B" w:rsidRPr="00834B27">
        <w:rPr>
          <w:rFonts w:ascii="Calibri" w:hAnsi="Calibri" w:cs="Calibri"/>
          <w:lang w:val="ro-RO"/>
        </w:rPr>
        <w:t>creștere</w:t>
      </w:r>
      <w:r w:rsidR="00176D44" w:rsidRPr="00834B27">
        <w:rPr>
          <w:rFonts w:ascii="Calibri" w:hAnsi="Calibri" w:cs="Calibri"/>
          <w:lang w:val="ro-RO"/>
        </w:rPr>
        <w:t>a</w:t>
      </w:r>
      <w:r w:rsidR="0042634F" w:rsidRPr="00834B27">
        <w:rPr>
          <w:rFonts w:ascii="Calibri" w:hAnsi="Calibri" w:cs="Calibri"/>
          <w:lang w:val="ro-RO"/>
        </w:rPr>
        <w:t xml:space="preserve"> conform</w:t>
      </w:r>
      <w:r w:rsidR="00176D44" w:rsidRPr="00834B27">
        <w:rPr>
          <w:rFonts w:ascii="Calibri" w:hAnsi="Calibri" w:cs="Calibri"/>
          <w:lang w:val="ro-RO"/>
        </w:rPr>
        <w:t>ă</w:t>
      </w:r>
      <w:r w:rsidR="0042634F" w:rsidRPr="00834B27">
        <w:rPr>
          <w:rFonts w:ascii="Calibri" w:hAnsi="Calibri" w:cs="Calibri"/>
          <w:lang w:val="ro-RO"/>
        </w:rPr>
        <w:t>r</w:t>
      </w:r>
      <w:r w:rsidR="00176D44" w:rsidRPr="00834B27">
        <w:rPr>
          <w:rFonts w:ascii="Calibri" w:hAnsi="Calibri" w:cs="Calibri"/>
          <w:lang w:val="ro-RO"/>
        </w:rPr>
        <w:t>ii</w:t>
      </w:r>
      <w:r w:rsidR="0042634F" w:rsidRPr="00834B27">
        <w:rPr>
          <w:rFonts w:ascii="Calibri" w:hAnsi="Calibri" w:cs="Calibri"/>
          <w:lang w:val="ro-RO"/>
        </w:rPr>
        <w:t xml:space="preserve">), dar </w:t>
      </w:r>
      <w:r w:rsidR="005B111B" w:rsidRPr="00834B27">
        <w:rPr>
          <w:rFonts w:ascii="Calibri" w:hAnsi="Calibri" w:cs="Calibri"/>
          <w:lang w:val="ro-RO"/>
        </w:rPr>
        <w:t>ș</w:t>
      </w:r>
      <w:r w:rsidR="0042634F" w:rsidRPr="00834B27">
        <w:rPr>
          <w:rFonts w:ascii="Calibri" w:hAnsi="Calibri" w:cs="Calibri"/>
          <w:lang w:val="ro-RO"/>
        </w:rPr>
        <w:t xml:space="preserve">i acesta poate </w:t>
      </w:r>
      <w:r w:rsidR="005B111B" w:rsidRPr="00834B27">
        <w:rPr>
          <w:rFonts w:ascii="Calibri" w:hAnsi="Calibri" w:cs="Calibri"/>
          <w:lang w:val="ro-RO"/>
        </w:rPr>
        <w:t>ușor fi</w:t>
      </w:r>
      <w:r w:rsidR="0042634F" w:rsidRPr="00834B27">
        <w:rPr>
          <w:rFonts w:ascii="Calibri" w:hAnsi="Calibri" w:cs="Calibri"/>
          <w:lang w:val="ro-RO"/>
        </w:rPr>
        <w:t xml:space="preserve"> considerat unul obiectiv dac</w:t>
      </w:r>
      <w:r w:rsidR="005B111B" w:rsidRPr="00834B27">
        <w:rPr>
          <w:rFonts w:ascii="Calibri" w:hAnsi="Calibri" w:cs="Calibri"/>
          <w:lang w:val="ro-RO"/>
        </w:rPr>
        <w:t>ă</w:t>
      </w:r>
      <w:r w:rsidR="0042634F" w:rsidRPr="00834B27">
        <w:rPr>
          <w:rFonts w:ascii="Calibri" w:hAnsi="Calibri" w:cs="Calibri"/>
          <w:lang w:val="ro-RO"/>
        </w:rPr>
        <w:t xml:space="preserve"> avem </w:t>
      </w:r>
      <w:r w:rsidR="005B111B" w:rsidRPr="00834B27">
        <w:rPr>
          <w:rFonts w:ascii="Calibri" w:hAnsi="Calibri" w:cs="Calibri"/>
          <w:lang w:val="ro-RO"/>
        </w:rPr>
        <w:t>î</w:t>
      </w:r>
      <w:r w:rsidR="0042634F" w:rsidRPr="00834B27">
        <w:rPr>
          <w:rFonts w:ascii="Calibri" w:hAnsi="Calibri" w:cs="Calibri"/>
          <w:lang w:val="ro-RO"/>
        </w:rPr>
        <w:t xml:space="preserve">n vedere </w:t>
      </w:r>
      <w:r w:rsidR="005B111B" w:rsidRPr="00834B27">
        <w:rPr>
          <w:rFonts w:ascii="Calibri" w:hAnsi="Calibri" w:cs="Calibri"/>
          <w:lang w:val="ro-RO"/>
        </w:rPr>
        <w:t>evolu</w:t>
      </w:r>
      <w:r w:rsidR="00D77C4B" w:rsidRPr="00834B27">
        <w:rPr>
          <w:rFonts w:ascii="Calibri" w:hAnsi="Calibri" w:cs="Calibri"/>
          <w:lang w:val="ro-RO"/>
        </w:rPr>
        <w:t>ț</w:t>
      </w:r>
      <w:r w:rsidR="005B111B" w:rsidRPr="00834B27">
        <w:rPr>
          <w:rFonts w:ascii="Calibri" w:hAnsi="Calibri" w:cs="Calibri"/>
          <w:lang w:val="ro-RO"/>
        </w:rPr>
        <w:t>ia</w:t>
      </w:r>
      <w:r w:rsidR="0042634F" w:rsidRPr="00834B27">
        <w:rPr>
          <w:rFonts w:ascii="Calibri" w:hAnsi="Calibri" w:cs="Calibri"/>
          <w:lang w:val="ro-RO"/>
        </w:rPr>
        <w:t xml:space="preserve"> </w:t>
      </w:r>
      <w:r w:rsidR="00D107B7" w:rsidRPr="00834B27">
        <w:rPr>
          <w:rFonts w:ascii="Calibri" w:hAnsi="Calibri" w:cs="Calibri"/>
          <w:lang w:val="ro-RO"/>
        </w:rPr>
        <w:t xml:space="preserve">veniturilor bugetare </w:t>
      </w:r>
      <w:r w:rsidR="005B111B" w:rsidRPr="00834B27">
        <w:rPr>
          <w:rFonts w:ascii="Calibri" w:hAnsi="Calibri" w:cs="Calibri"/>
          <w:lang w:val="ro-RO"/>
        </w:rPr>
        <w:t>î</w:t>
      </w:r>
      <w:r w:rsidR="00D107B7" w:rsidRPr="00834B27">
        <w:rPr>
          <w:rFonts w:ascii="Calibri" w:hAnsi="Calibri" w:cs="Calibri"/>
          <w:lang w:val="ro-RO"/>
        </w:rPr>
        <w:t>n perioadele 2000 – 2005 fa</w:t>
      </w:r>
      <w:r w:rsidR="00D77C4B" w:rsidRPr="00834B27">
        <w:rPr>
          <w:rFonts w:ascii="Calibri" w:hAnsi="Calibri" w:cs="Calibri"/>
          <w:lang w:val="ro-RO"/>
        </w:rPr>
        <w:t>ț</w:t>
      </w:r>
      <w:r w:rsidR="005B111B" w:rsidRPr="00834B27">
        <w:rPr>
          <w:rFonts w:ascii="Calibri" w:hAnsi="Calibri" w:cs="Calibri"/>
          <w:lang w:val="ro-RO"/>
        </w:rPr>
        <w:t>ă</w:t>
      </w:r>
      <w:r w:rsidR="00D107B7" w:rsidRPr="00834B27">
        <w:rPr>
          <w:rFonts w:ascii="Calibri" w:hAnsi="Calibri" w:cs="Calibri"/>
          <w:lang w:val="ro-RO"/>
        </w:rPr>
        <w:t xml:space="preserve"> de 2007 – 2017.</w:t>
      </w:r>
    </w:p>
    <w:p w14:paraId="367E4ACE" w14:textId="7D3B762F" w:rsidR="00D01D28" w:rsidRPr="00834B27" w:rsidRDefault="005B111B" w:rsidP="009F51C2">
      <w:pPr>
        <w:tabs>
          <w:tab w:val="left" w:pos="720"/>
        </w:tabs>
        <w:spacing w:line="276" w:lineRule="auto"/>
        <w:jc w:val="both"/>
        <w:rPr>
          <w:rFonts w:ascii="Calibri" w:hAnsi="Calibri" w:cs="Calibri"/>
          <w:lang w:val="ro-RO"/>
        </w:rPr>
      </w:pPr>
      <w:r w:rsidRPr="00834B27">
        <w:rPr>
          <w:rFonts w:ascii="Calibri" w:hAnsi="Calibri" w:cs="Calibri"/>
          <w:lang w:val="ro-RO"/>
        </w:rPr>
        <w:t>Î</w:t>
      </w:r>
      <w:r w:rsidR="00D01D28" w:rsidRPr="00834B27">
        <w:rPr>
          <w:rFonts w:ascii="Calibri" w:hAnsi="Calibri" w:cs="Calibri"/>
          <w:lang w:val="ro-RO"/>
        </w:rPr>
        <w:t xml:space="preserve">n concluzie, </w:t>
      </w:r>
      <w:r w:rsidR="00D61452" w:rsidRPr="00834B27">
        <w:rPr>
          <w:rFonts w:ascii="Calibri" w:hAnsi="Calibri" w:cs="Calibri"/>
          <w:lang w:val="ro-RO"/>
        </w:rPr>
        <w:t>consider</w:t>
      </w:r>
      <w:r w:rsidRPr="00834B27">
        <w:rPr>
          <w:rFonts w:ascii="Calibri" w:hAnsi="Calibri" w:cs="Calibri"/>
          <w:lang w:val="ro-RO"/>
        </w:rPr>
        <w:t>ă</w:t>
      </w:r>
      <w:r w:rsidR="00D61452" w:rsidRPr="00834B27">
        <w:rPr>
          <w:rFonts w:ascii="Calibri" w:hAnsi="Calibri" w:cs="Calibri"/>
          <w:lang w:val="ro-RO"/>
        </w:rPr>
        <w:t>m c</w:t>
      </w:r>
      <w:r w:rsidRPr="00834B27">
        <w:rPr>
          <w:rFonts w:ascii="Calibri" w:hAnsi="Calibri" w:cs="Calibri"/>
          <w:lang w:val="ro-RO"/>
        </w:rPr>
        <w:t>ă</w:t>
      </w:r>
      <w:r w:rsidR="00D61452" w:rsidRPr="00834B27">
        <w:rPr>
          <w:rFonts w:ascii="Calibri" w:hAnsi="Calibri" w:cs="Calibri"/>
          <w:lang w:val="ro-RO"/>
        </w:rPr>
        <w:t xml:space="preserve"> </w:t>
      </w:r>
      <w:r w:rsidRPr="00834B27">
        <w:rPr>
          <w:rFonts w:ascii="Calibri" w:hAnsi="Calibri" w:cs="Calibri"/>
          <w:lang w:val="ro-RO"/>
        </w:rPr>
        <w:t>răspunsul</w:t>
      </w:r>
      <w:r w:rsidR="00D61452" w:rsidRPr="00834B27">
        <w:rPr>
          <w:rFonts w:ascii="Calibri" w:hAnsi="Calibri" w:cs="Calibri"/>
          <w:lang w:val="ro-RO"/>
        </w:rPr>
        <w:t xml:space="preserve"> la „dilema” </w:t>
      </w:r>
      <w:r w:rsidR="007B33BA" w:rsidRPr="00834B27">
        <w:rPr>
          <w:rFonts w:ascii="Calibri" w:hAnsi="Calibri" w:cs="Calibri"/>
          <w:lang w:val="ro-RO"/>
        </w:rPr>
        <w:t>cotei unice vs</w:t>
      </w:r>
      <w:r w:rsidRPr="00834B27">
        <w:rPr>
          <w:rFonts w:ascii="Calibri" w:hAnsi="Calibri" w:cs="Calibri"/>
          <w:lang w:val="ro-RO"/>
        </w:rPr>
        <w:t>.</w:t>
      </w:r>
      <w:r w:rsidR="007B33BA" w:rsidRPr="00834B27">
        <w:rPr>
          <w:rFonts w:ascii="Calibri" w:hAnsi="Calibri" w:cs="Calibri"/>
          <w:lang w:val="ro-RO"/>
        </w:rPr>
        <w:t xml:space="preserve"> cote progresive este </w:t>
      </w:r>
      <w:r w:rsidRPr="00834B27">
        <w:rPr>
          <w:rFonts w:ascii="Calibri" w:hAnsi="Calibri" w:cs="Calibri"/>
          <w:lang w:val="ro-RO"/>
        </w:rPr>
        <w:t>evident</w:t>
      </w:r>
      <w:r w:rsidR="007B33BA" w:rsidRPr="00834B27">
        <w:rPr>
          <w:rFonts w:ascii="Calibri" w:hAnsi="Calibri" w:cs="Calibri"/>
          <w:lang w:val="ro-RO"/>
        </w:rPr>
        <w:t xml:space="preserve"> unul </w:t>
      </w:r>
      <w:r w:rsidRPr="00834B27">
        <w:rPr>
          <w:rFonts w:ascii="Calibri" w:hAnsi="Calibri" w:cs="Calibri"/>
          <w:lang w:val="ro-RO"/>
        </w:rPr>
        <w:t>î</w:t>
      </w:r>
      <w:r w:rsidR="007B33BA" w:rsidRPr="00834B27">
        <w:rPr>
          <w:rFonts w:ascii="Calibri" w:hAnsi="Calibri" w:cs="Calibri"/>
          <w:lang w:val="ro-RO"/>
        </w:rPr>
        <w:t>n favoarea cote</w:t>
      </w:r>
      <w:r w:rsidR="00822BCB" w:rsidRPr="00834B27">
        <w:rPr>
          <w:rFonts w:ascii="Calibri" w:hAnsi="Calibri" w:cs="Calibri"/>
          <w:lang w:val="ro-RO"/>
        </w:rPr>
        <w:t>i unice</w:t>
      </w:r>
      <w:r w:rsidR="00176D44" w:rsidRPr="00834B27">
        <w:rPr>
          <w:rStyle w:val="Referinnotdesubsol"/>
          <w:rFonts w:ascii="Calibri" w:hAnsi="Calibri" w:cs="Calibri"/>
          <w:lang w:val="ro-RO"/>
        </w:rPr>
        <w:footnoteReference w:id="22"/>
      </w:r>
      <w:r w:rsidR="00822BCB" w:rsidRPr="00834B27">
        <w:rPr>
          <w:rFonts w:ascii="Calibri" w:hAnsi="Calibri" w:cs="Calibri"/>
          <w:lang w:val="ro-RO"/>
        </w:rPr>
        <w:t xml:space="preserve">. Pe </w:t>
      </w:r>
      <w:r w:rsidRPr="00834B27">
        <w:rPr>
          <w:rFonts w:ascii="Calibri" w:hAnsi="Calibri" w:cs="Calibri"/>
          <w:lang w:val="ro-RO"/>
        </w:rPr>
        <w:t>lângă</w:t>
      </w:r>
      <w:r w:rsidR="00822BCB" w:rsidRPr="00834B27">
        <w:rPr>
          <w:rFonts w:ascii="Calibri" w:hAnsi="Calibri" w:cs="Calibri"/>
          <w:lang w:val="ro-RO"/>
        </w:rPr>
        <w:t xml:space="preserve"> faptul c</w:t>
      </w:r>
      <w:r w:rsidRPr="00834B27">
        <w:rPr>
          <w:rFonts w:ascii="Calibri" w:hAnsi="Calibri" w:cs="Calibri"/>
          <w:lang w:val="ro-RO"/>
        </w:rPr>
        <w:t>ă</w:t>
      </w:r>
      <w:r w:rsidR="00822BCB" w:rsidRPr="00834B27">
        <w:rPr>
          <w:rFonts w:ascii="Calibri" w:hAnsi="Calibri" w:cs="Calibri"/>
          <w:lang w:val="ro-RO"/>
        </w:rPr>
        <w:t xml:space="preserve"> asigur</w:t>
      </w:r>
      <w:r w:rsidRPr="00834B27">
        <w:rPr>
          <w:rFonts w:ascii="Calibri" w:hAnsi="Calibri" w:cs="Calibri"/>
          <w:lang w:val="ro-RO"/>
        </w:rPr>
        <w:t>ă</w:t>
      </w:r>
      <w:r w:rsidR="00822BCB" w:rsidRPr="00834B27">
        <w:rPr>
          <w:rFonts w:ascii="Calibri" w:hAnsi="Calibri" w:cs="Calibri"/>
          <w:lang w:val="ro-RO"/>
        </w:rPr>
        <w:t xml:space="preserve"> venituri </w:t>
      </w:r>
      <w:r w:rsidR="007A7D5D" w:rsidRPr="00834B27">
        <w:rPr>
          <w:rFonts w:ascii="Calibri" w:hAnsi="Calibri" w:cs="Calibri"/>
          <w:lang w:val="ro-RO"/>
        </w:rPr>
        <w:t xml:space="preserve">mai </w:t>
      </w:r>
      <w:r w:rsidR="009F5B0C" w:rsidRPr="00834B27">
        <w:rPr>
          <w:rFonts w:ascii="Calibri" w:hAnsi="Calibri" w:cs="Calibri"/>
          <w:lang w:val="ro-RO"/>
        </w:rPr>
        <w:t xml:space="preserve">mari </w:t>
      </w:r>
      <w:r w:rsidRPr="00834B27">
        <w:rPr>
          <w:rFonts w:ascii="Calibri" w:hAnsi="Calibri" w:cs="Calibri"/>
          <w:lang w:val="ro-RO"/>
        </w:rPr>
        <w:t>decât</w:t>
      </w:r>
      <w:r w:rsidR="009F5B0C" w:rsidRPr="00834B27">
        <w:rPr>
          <w:rFonts w:ascii="Calibri" w:hAnsi="Calibri" w:cs="Calibri"/>
          <w:lang w:val="ro-RO"/>
        </w:rPr>
        <w:t xml:space="preserve"> cotele progresive - argument ce poate deveni unul subsidiar</w:t>
      </w:r>
      <w:r w:rsidR="000E7305" w:rsidRPr="00834B27">
        <w:rPr>
          <w:rFonts w:ascii="Calibri" w:hAnsi="Calibri" w:cs="Calibri"/>
          <w:lang w:val="ro-RO"/>
        </w:rPr>
        <w:t xml:space="preserve">, argumentele principale </w:t>
      </w:r>
      <w:r w:rsidRPr="00834B27">
        <w:rPr>
          <w:rFonts w:ascii="Calibri" w:hAnsi="Calibri" w:cs="Calibri"/>
          <w:lang w:val="ro-RO"/>
        </w:rPr>
        <w:t>î</w:t>
      </w:r>
      <w:r w:rsidR="000E7305" w:rsidRPr="00834B27">
        <w:rPr>
          <w:rFonts w:ascii="Calibri" w:hAnsi="Calibri" w:cs="Calibri"/>
          <w:lang w:val="ro-RO"/>
        </w:rPr>
        <w:t xml:space="preserve">n favoarea cotei unice </w:t>
      </w:r>
      <w:r w:rsidRPr="00834B27">
        <w:rPr>
          <w:rFonts w:ascii="Calibri" w:hAnsi="Calibri" w:cs="Calibri"/>
          <w:lang w:val="ro-RO"/>
        </w:rPr>
        <w:t>rămân</w:t>
      </w:r>
      <w:r w:rsidR="000E7305" w:rsidRPr="00834B27">
        <w:rPr>
          <w:rFonts w:ascii="Calibri" w:hAnsi="Calibri" w:cs="Calibri"/>
          <w:lang w:val="ro-RO"/>
        </w:rPr>
        <w:t>:</w:t>
      </w:r>
    </w:p>
    <w:p w14:paraId="1E9FBFD8" w14:textId="66CF0219" w:rsidR="000E7305" w:rsidRPr="00834B27" w:rsidRDefault="00912182" w:rsidP="00912182">
      <w:pPr>
        <w:pStyle w:val="Listparagraf"/>
        <w:numPr>
          <w:ilvl w:val="0"/>
          <w:numId w:val="1"/>
        </w:numPr>
        <w:tabs>
          <w:tab w:val="left" w:pos="720"/>
        </w:tabs>
        <w:spacing w:line="276" w:lineRule="auto"/>
        <w:jc w:val="both"/>
        <w:rPr>
          <w:rFonts w:ascii="Calibri" w:hAnsi="Calibri" w:cs="Calibri"/>
          <w:lang w:val="ro-RO"/>
        </w:rPr>
      </w:pPr>
      <w:r w:rsidRPr="00834B27">
        <w:rPr>
          <w:rFonts w:ascii="Calibri" w:hAnsi="Calibri" w:cs="Calibri"/>
          <w:lang w:val="ro-RO"/>
        </w:rPr>
        <w:t>Simplitatea, ce determin</w:t>
      </w:r>
      <w:r w:rsidR="005B111B" w:rsidRPr="00834B27">
        <w:rPr>
          <w:rFonts w:ascii="Calibri" w:hAnsi="Calibri" w:cs="Calibri"/>
          <w:lang w:val="ro-RO"/>
        </w:rPr>
        <w:t>ă</w:t>
      </w:r>
      <w:r w:rsidRPr="00834B27">
        <w:rPr>
          <w:rFonts w:ascii="Calibri" w:hAnsi="Calibri" w:cs="Calibri"/>
          <w:lang w:val="ro-RO"/>
        </w:rPr>
        <w:t xml:space="preserve"> costuri reduse de conformare/administrare;</w:t>
      </w:r>
    </w:p>
    <w:p w14:paraId="5B1157B8" w14:textId="5060A843" w:rsidR="00912182" w:rsidRPr="00834B27" w:rsidRDefault="00912182" w:rsidP="00912182">
      <w:pPr>
        <w:pStyle w:val="Listparagraf"/>
        <w:numPr>
          <w:ilvl w:val="0"/>
          <w:numId w:val="1"/>
        </w:numPr>
        <w:tabs>
          <w:tab w:val="left" w:pos="720"/>
        </w:tabs>
        <w:spacing w:line="276" w:lineRule="auto"/>
        <w:jc w:val="both"/>
        <w:rPr>
          <w:rFonts w:ascii="Calibri" w:hAnsi="Calibri" w:cs="Calibri"/>
          <w:lang w:val="ro-RO"/>
        </w:rPr>
      </w:pPr>
      <w:r w:rsidRPr="00834B27">
        <w:rPr>
          <w:rFonts w:ascii="Calibri" w:hAnsi="Calibri" w:cs="Calibri"/>
          <w:lang w:val="ro-RO"/>
        </w:rPr>
        <w:t>Elimi</w:t>
      </w:r>
      <w:r w:rsidR="002110CB" w:rsidRPr="00834B27">
        <w:rPr>
          <w:rFonts w:ascii="Calibri" w:hAnsi="Calibri" w:cs="Calibri"/>
          <w:lang w:val="ro-RO"/>
        </w:rPr>
        <w:t xml:space="preserve">narea </w:t>
      </w:r>
      <w:r w:rsidR="005B111B" w:rsidRPr="00834B27">
        <w:rPr>
          <w:rFonts w:ascii="Calibri" w:hAnsi="Calibri" w:cs="Calibri"/>
          <w:lang w:val="ro-RO"/>
        </w:rPr>
        <w:t>posibilită</w:t>
      </w:r>
      <w:r w:rsidR="00D77C4B" w:rsidRPr="00834B27">
        <w:rPr>
          <w:rFonts w:ascii="Calibri" w:hAnsi="Calibri" w:cs="Calibri"/>
          <w:lang w:val="ro-RO"/>
        </w:rPr>
        <w:t>ț</w:t>
      </w:r>
      <w:r w:rsidR="005B111B" w:rsidRPr="00834B27">
        <w:rPr>
          <w:rFonts w:ascii="Calibri" w:hAnsi="Calibri" w:cs="Calibri"/>
          <w:lang w:val="ro-RO"/>
        </w:rPr>
        <w:t>ilor</w:t>
      </w:r>
      <w:r w:rsidR="002110CB" w:rsidRPr="00834B27">
        <w:rPr>
          <w:rFonts w:ascii="Calibri" w:hAnsi="Calibri" w:cs="Calibri"/>
          <w:lang w:val="ro-RO"/>
        </w:rPr>
        <w:t xml:space="preserve"> de arbitraj, </w:t>
      </w:r>
      <w:r w:rsidR="005B111B" w:rsidRPr="00834B27">
        <w:rPr>
          <w:rFonts w:ascii="Calibri" w:hAnsi="Calibri" w:cs="Calibri"/>
          <w:lang w:val="ro-RO"/>
        </w:rPr>
        <w:t>î</w:t>
      </w:r>
      <w:r w:rsidR="002110CB" w:rsidRPr="00834B27">
        <w:rPr>
          <w:rFonts w:ascii="Calibri" w:hAnsi="Calibri" w:cs="Calibri"/>
          <w:lang w:val="ro-RO"/>
        </w:rPr>
        <w:t>ntre diverse tipuri de venituri.</w:t>
      </w:r>
    </w:p>
    <w:p w14:paraId="34577734" w14:textId="67B11FAF" w:rsidR="00551B4E" w:rsidRPr="00834B27" w:rsidRDefault="00551B4E" w:rsidP="00551B4E">
      <w:pPr>
        <w:tabs>
          <w:tab w:val="left" w:pos="720"/>
        </w:tabs>
        <w:spacing w:line="276" w:lineRule="auto"/>
        <w:jc w:val="both"/>
        <w:rPr>
          <w:rFonts w:ascii="Calibri" w:hAnsi="Calibri" w:cs="Calibri"/>
          <w:lang w:val="ro-RO"/>
        </w:rPr>
      </w:pPr>
      <w:r w:rsidRPr="00834B27">
        <w:rPr>
          <w:rFonts w:ascii="Calibri" w:hAnsi="Calibri" w:cs="Calibri"/>
          <w:lang w:val="ro-RO"/>
        </w:rPr>
        <w:t>Astfel, susținem menținerea cotei unice, cu condiția esențială a extinderii efective a bazei de impunere și a eliminării excepțiilor care au erodat sistematic randamentul cotei. O cotă unică aplicată pe o bază fragmentată și plină de excepții — cum este cea actuală de 10% — nu poate performa la potențialul ei.</w:t>
      </w:r>
    </w:p>
    <w:p w14:paraId="148DACC0" w14:textId="77777777" w:rsidR="00551B4E" w:rsidRPr="00834B27" w:rsidRDefault="00551B4E" w:rsidP="00551B4E">
      <w:pPr>
        <w:tabs>
          <w:tab w:val="left" w:pos="720"/>
        </w:tabs>
        <w:spacing w:line="276" w:lineRule="auto"/>
        <w:jc w:val="both"/>
        <w:rPr>
          <w:rFonts w:ascii="Calibri" w:hAnsi="Calibri" w:cs="Calibri"/>
          <w:lang w:val="ro-RO"/>
        </w:rPr>
      </w:pPr>
    </w:p>
    <w:p w14:paraId="613C5640" w14:textId="32B7360E" w:rsidR="00890C64" w:rsidRPr="00834B27" w:rsidRDefault="005B111B" w:rsidP="00A1202C">
      <w:pPr>
        <w:pStyle w:val="Listparagraf"/>
        <w:keepNext/>
        <w:numPr>
          <w:ilvl w:val="0"/>
          <w:numId w:val="46"/>
        </w:numPr>
        <w:tabs>
          <w:tab w:val="left" w:pos="720"/>
        </w:tabs>
        <w:spacing w:line="276" w:lineRule="auto"/>
        <w:ind w:hanging="720"/>
        <w:jc w:val="both"/>
        <w:rPr>
          <w:rFonts w:ascii="Calibri" w:hAnsi="Calibri" w:cs="Calibri"/>
          <w:b/>
          <w:bCs/>
          <w:lang w:val="ro-RO"/>
        </w:rPr>
      </w:pPr>
      <w:r w:rsidRPr="00834B27">
        <w:rPr>
          <w:rFonts w:ascii="Calibri" w:hAnsi="Calibri" w:cs="Calibri"/>
          <w:b/>
          <w:bCs/>
          <w:lang w:val="ro-RO"/>
        </w:rPr>
        <w:t>Câteva</w:t>
      </w:r>
      <w:r w:rsidR="00876618" w:rsidRPr="00834B27">
        <w:rPr>
          <w:rFonts w:ascii="Calibri" w:hAnsi="Calibri" w:cs="Calibri"/>
          <w:b/>
          <w:bCs/>
          <w:lang w:val="ro-RO"/>
        </w:rPr>
        <w:t xml:space="preserve"> </w:t>
      </w:r>
      <w:r w:rsidRPr="00834B27">
        <w:rPr>
          <w:rFonts w:ascii="Calibri" w:hAnsi="Calibri" w:cs="Calibri"/>
          <w:b/>
          <w:bCs/>
          <w:lang w:val="ro-RO"/>
        </w:rPr>
        <w:t>observa</w:t>
      </w:r>
      <w:r w:rsidR="00D77C4B" w:rsidRPr="00834B27">
        <w:rPr>
          <w:rFonts w:ascii="Calibri" w:hAnsi="Calibri" w:cs="Calibri"/>
          <w:b/>
          <w:bCs/>
          <w:lang w:val="ro-RO"/>
        </w:rPr>
        <w:t>ț</w:t>
      </w:r>
      <w:r w:rsidRPr="00834B27">
        <w:rPr>
          <w:rFonts w:ascii="Calibri" w:hAnsi="Calibri" w:cs="Calibri"/>
          <w:b/>
          <w:bCs/>
          <w:lang w:val="ro-RO"/>
        </w:rPr>
        <w:t>ii</w:t>
      </w:r>
      <w:r w:rsidR="00876618" w:rsidRPr="00834B27">
        <w:rPr>
          <w:rFonts w:ascii="Calibri" w:hAnsi="Calibri" w:cs="Calibri"/>
          <w:b/>
          <w:bCs/>
          <w:lang w:val="ro-RO"/>
        </w:rPr>
        <w:t xml:space="preserve"> </w:t>
      </w:r>
      <w:r w:rsidR="00176D44" w:rsidRPr="00834B27">
        <w:rPr>
          <w:rFonts w:ascii="Calibri" w:hAnsi="Calibri" w:cs="Calibri"/>
          <w:b/>
          <w:bCs/>
          <w:lang w:val="ro-RO"/>
        </w:rPr>
        <w:t>cu privire la</w:t>
      </w:r>
      <w:r w:rsidR="00764973" w:rsidRPr="00834B27">
        <w:rPr>
          <w:rFonts w:ascii="Calibri" w:hAnsi="Calibri" w:cs="Calibri"/>
          <w:b/>
          <w:bCs/>
          <w:lang w:val="ro-RO"/>
        </w:rPr>
        <w:t xml:space="preserve"> datele analizate</w:t>
      </w:r>
    </w:p>
    <w:p w14:paraId="173A6F85" w14:textId="77777777" w:rsidR="009769ED" w:rsidRPr="00834B27" w:rsidRDefault="009769ED" w:rsidP="009769ED">
      <w:pPr>
        <w:pStyle w:val="Listparagraf"/>
        <w:tabs>
          <w:tab w:val="left" w:pos="720"/>
        </w:tabs>
        <w:spacing w:line="276" w:lineRule="auto"/>
        <w:jc w:val="both"/>
        <w:rPr>
          <w:rFonts w:ascii="Calibri" w:hAnsi="Calibri" w:cs="Calibri"/>
          <w:b/>
          <w:bCs/>
          <w:lang w:val="ro-RO"/>
        </w:rPr>
      </w:pPr>
    </w:p>
    <w:p w14:paraId="73112D30" w14:textId="140531D4" w:rsidR="00764973" w:rsidRPr="00834B27" w:rsidRDefault="005B111B" w:rsidP="005B111B">
      <w:pPr>
        <w:pStyle w:val="Listparagraf"/>
        <w:numPr>
          <w:ilvl w:val="6"/>
          <w:numId w:val="23"/>
        </w:numPr>
        <w:spacing w:line="276" w:lineRule="auto"/>
        <w:ind w:left="1260" w:hanging="540"/>
        <w:jc w:val="both"/>
        <w:rPr>
          <w:rFonts w:ascii="Calibri" w:hAnsi="Calibri" w:cs="Calibri"/>
          <w:b/>
          <w:bCs/>
          <w:lang w:val="ro-RO"/>
        </w:rPr>
      </w:pPr>
      <w:r w:rsidRPr="00834B27">
        <w:rPr>
          <w:rFonts w:ascii="Calibri" w:hAnsi="Calibri" w:cs="Calibri"/>
          <w:b/>
          <w:bCs/>
          <w:lang w:val="ro-RO"/>
        </w:rPr>
        <w:t>Î</w:t>
      </w:r>
      <w:r w:rsidR="009769ED" w:rsidRPr="00834B27">
        <w:rPr>
          <w:rFonts w:ascii="Calibri" w:hAnsi="Calibri" w:cs="Calibri"/>
          <w:b/>
          <w:bCs/>
          <w:lang w:val="ro-RO"/>
        </w:rPr>
        <w:t xml:space="preserve">n ceea ce </w:t>
      </w:r>
      <w:r w:rsidRPr="00834B27">
        <w:rPr>
          <w:rFonts w:ascii="Calibri" w:hAnsi="Calibri" w:cs="Calibri"/>
          <w:b/>
          <w:bCs/>
          <w:lang w:val="ro-RO"/>
        </w:rPr>
        <w:t>privește</w:t>
      </w:r>
      <w:r w:rsidR="009769ED" w:rsidRPr="00834B27">
        <w:rPr>
          <w:rFonts w:ascii="Calibri" w:hAnsi="Calibri" w:cs="Calibri"/>
          <w:b/>
          <w:bCs/>
          <w:lang w:val="ro-RO"/>
        </w:rPr>
        <w:t xml:space="preserve"> veniturile din </w:t>
      </w:r>
      <w:r w:rsidRPr="00834B27">
        <w:rPr>
          <w:rFonts w:ascii="Calibri" w:hAnsi="Calibri" w:cs="Calibri"/>
          <w:b/>
          <w:bCs/>
          <w:lang w:val="ro-RO"/>
        </w:rPr>
        <w:t>activită</w:t>
      </w:r>
      <w:r w:rsidR="00D77C4B" w:rsidRPr="00834B27">
        <w:rPr>
          <w:rFonts w:ascii="Calibri" w:hAnsi="Calibri" w:cs="Calibri"/>
          <w:b/>
          <w:bCs/>
          <w:lang w:val="ro-RO"/>
        </w:rPr>
        <w:t>ț</w:t>
      </w:r>
      <w:r w:rsidRPr="00834B27">
        <w:rPr>
          <w:rFonts w:ascii="Calibri" w:hAnsi="Calibri" w:cs="Calibri"/>
          <w:b/>
          <w:bCs/>
          <w:lang w:val="ro-RO"/>
        </w:rPr>
        <w:t>i</w:t>
      </w:r>
      <w:r w:rsidR="009769ED" w:rsidRPr="00834B27">
        <w:rPr>
          <w:rFonts w:ascii="Calibri" w:hAnsi="Calibri" w:cs="Calibri"/>
          <w:b/>
          <w:bCs/>
          <w:lang w:val="ro-RO"/>
        </w:rPr>
        <w:t xml:space="preserve"> independente</w:t>
      </w:r>
    </w:p>
    <w:p w14:paraId="4B7291C7" w14:textId="344939CC" w:rsidR="009769ED" w:rsidRPr="00834B27" w:rsidRDefault="009A4B71" w:rsidP="009769ED">
      <w:pPr>
        <w:tabs>
          <w:tab w:val="left" w:pos="720"/>
        </w:tabs>
        <w:spacing w:line="276" w:lineRule="auto"/>
        <w:jc w:val="both"/>
        <w:rPr>
          <w:rFonts w:ascii="Calibri" w:hAnsi="Calibri" w:cs="Calibri"/>
          <w:lang w:val="ro-RO"/>
        </w:rPr>
      </w:pPr>
      <w:r w:rsidRPr="00834B27">
        <w:rPr>
          <w:rFonts w:ascii="Calibri" w:hAnsi="Calibri" w:cs="Calibri"/>
          <w:lang w:val="ro-RO"/>
        </w:rPr>
        <w:t xml:space="preserve">Din </w:t>
      </w:r>
      <w:r w:rsidR="005B111B" w:rsidRPr="00834B27">
        <w:rPr>
          <w:rFonts w:ascii="Calibri" w:hAnsi="Calibri" w:cs="Calibri"/>
          <w:lang w:val="ro-RO"/>
        </w:rPr>
        <w:t>informa</w:t>
      </w:r>
      <w:r w:rsidR="00D77C4B" w:rsidRPr="00834B27">
        <w:rPr>
          <w:rFonts w:ascii="Calibri" w:hAnsi="Calibri" w:cs="Calibri"/>
          <w:lang w:val="ro-RO"/>
        </w:rPr>
        <w:t>ț</w:t>
      </w:r>
      <w:r w:rsidR="005B111B" w:rsidRPr="00834B27">
        <w:rPr>
          <w:rFonts w:ascii="Calibri" w:hAnsi="Calibri" w:cs="Calibri"/>
          <w:lang w:val="ro-RO"/>
        </w:rPr>
        <w:t>iile</w:t>
      </w:r>
      <w:r w:rsidRPr="00834B27">
        <w:rPr>
          <w:rFonts w:ascii="Calibri" w:hAnsi="Calibri" w:cs="Calibri"/>
          <w:lang w:val="ro-RO"/>
        </w:rPr>
        <w:t xml:space="preserve"> primit</w:t>
      </w:r>
      <w:r w:rsidR="002110CB" w:rsidRPr="00834B27">
        <w:rPr>
          <w:rFonts w:ascii="Calibri" w:hAnsi="Calibri" w:cs="Calibri"/>
          <w:lang w:val="ro-RO"/>
        </w:rPr>
        <w:t>e</w:t>
      </w:r>
      <w:r w:rsidRPr="00834B27">
        <w:rPr>
          <w:rFonts w:ascii="Calibri" w:hAnsi="Calibri" w:cs="Calibri"/>
          <w:lang w:val="ro-RO"/>
        </w:rPr>
        <w:t xml:space="preserve"> de la ANAF, </w:t>
      </w:r>
      <w:r w:rsidR="005B111B" w:rsidRPr="00834B27">
        <w:rPr>
          <w:rFonts w:ascii="Calibri" w:hAnsi="Calibri" w:cs="Calibri"/>
          <w:lang w:val="ro-RO"/>
        </w:rPr>
        <w:t>în</w:t>
      </w:r>
      <w:r w:rsidR="00A45352" w:rsidRPr="00834B27">
        <w:rPr>
          <w:rFonts w:ascii="Calibri" w:hAnsi="Calibri" w:cs="Calibri"/>
          <w:lang w:val="ro-RO"/>
        </w:rPr>
        <w:t xml:space="preserve"> 2025 un </w:t>
      </w:r>
      <w:r w:rsidR="005B111B" w:rsidRPr="00834B27">
        <w:rPr>
          <w:rFonts w:ascii="Calibri" w:hAnsi="Calibri" w:cs="Calibri"/>
          <w:lang w:val="ro-RO"/>
        </w:rPr>
        <w:t>număr</w:t>
      </w:r>
      <w:r w:rsidR="00A45352" w:rsidRPr="00834B27">
        <w:rPr>
          <w:rFonts w:ascii="Calibri" w:hAnsi="Calibri" w:cs="Calibri"/>
          <w:lang w:val="ro-RO"/>
        </w:rPr>
        <w:t xml:space="preserve"> total de 424</w:t>
      </w:r>
      <w:r w:rsidR="00C55DE8" w:rsidRPr="00834B27">
        <w:rPr>
          <w:rFonts w:ascii="Calibri" w:hAnsi="Calibri" w:cs="Calibri"/>
          <w:lang w:val="ro-RO"/>
        </w:rPr>
        <w:t>.</w:t>
      </w:r>
      <w:r w:rsidR="00A45352" w:rsidRPr="00834B27">
        <w:rPr>
          <w:rFonts w:ascii="Calibri" w:hAnsi="Calibri" w:cs="Calibri"/>
          <w:lang w:val="ro-RO"/>
        </w:rPr>
        <w:t>201</w:t>
      </w:r>
      <w:r w:rsidR="005B111B" w:rsidRPr="00834B27">
        <w:rPr>
          <w:rFonts w:ascii="Calibri" w:hAnsi="Calibri" w:cs="Calibri"/>
          <w:lang w:val="ro-RO"/>
        </w:rPr>
        <w:t xml:space="preserve"> de contribuabili</w:t>
      </w:r>
      <w:r w:rsidR="00A45352" w:rsidRPr="00834B27">
        <w:rPr>
          <w:rFonts w:ascii="Calibri" w:hAnsi="Calibri" w:cs="Calibri"/>
          <w:lang w:val="ro-RO"/>
        </w:rPr>
        <w:t xml:space="preserve"> au de</w:t>
      </w:r>
      <w:r w:rsidR="009926E9" w:rsidRPr="00834B27">
        <w:rPr>
          <w:rFonts w:ascii="Calibri" w:hAnsi="Calibri" w:cs="Calibri"/>
          <w:lang w:val="ro-RO"/>
        </w:rPr>
        <w:t xml:space="preserve">clarat venituri din </w:t>
      </w:r>
      <w:r w:rsidR="005B111B" w:rsidRPr="00834B27">
        <w:rPr>
          <w:rFonts w:ascii="Calibri" w:hAnsi="Calibri" w:cs="Calibri"/>
          <w:lang w:val="ro-RO"/>
        </w:rPr>
        <w:t>activită</w:t>
      </w:r>
      <w:r w:rsidR="00D77C4B" w:rsidRPr="00834B27">
        <w:rPr>
          <w:rFonts w:ascii="Calibri" w:hAnsi="Calibri" w:cs="Calibri"/>
          <w:lang w:val="ro-RO"/>
        </w:rPr>
        <w:t>ț</w:t>
      </w:r>
      <w:r w:rsidR="005B111B" w:rsidRPr="00834B27">
        <w:rPr>
          <w:rFonts w:ascii="Calibri" w:hAnsi="Calibri" w:cs="Calibri"/>
          <w:lang w:val="ro-RO"/>
        </w:rPr>
        <w:t>i</w:t>
      </w:r>
      <w:r w:rsidR="009926E9" w:rsidRPr="00834B27">
        <w:rPr>
          <w:rFonts w:ascii="Calibri" w:hAnsi="Calibri" w:cs="Calibri"/>
          <w:lang w:val="ro-RO"/>
        </w:rPr>
        <w:t xml:space="preserve"> independente prin D212. </w:t>
      </w:r>
      <w:r w:rsidR="008C1C33" w:rsidRPr="00834B27">
        <w:rPr>
          <w:rFonts w:ascii="Calibri" w:hAnsi="Calibri" w:cs="Calibri"/>
          <w:lang w:val="ro-RO"/>
        </w:rPr>
        <w:t>Dintre ace</w:t>
      </w:r>
      <w:r w:rsidR="001661E4" w:rsidRPr="00834B27">
        <w:rPr>
          <w:rFonts w:ascii="Calibri" w:hAnsi="Calibri" w:cs="Calibri"/>
          <w:lang w:val="ro-RO"/>
        </w:rPr>
        <w:t>știa</w:t>
      </w:r>
      <w:r w:rsidR="008C1C33" w:rsidRPr="00834B27">
        <w:rPr>
          <w:rFonts w:ascii="Calibri" w:hAnsi="Calibri" w:cs="Calibri"/>
          <w:lang w:val="ro-RO"/>
        </w:rPr>
        <w:t xml:space="preserve">, un </w:t>
      </w:r>
      <w:r w:rsidR="005B111B" w:rsidRPr="00834B27">
        <w:rPr>
          <w:rFonts w:ascii="Calibri" w:hAnsi="Calibri" w:cs="Calibri"/>
          <w:lang w:val="ro-RO"/>
        </w:rPr>
        <w:t>număr</w:t>
      </w:r>
      <w:r w:rsidR="008C1C33" w:rsidRPr="00834B27">
        <w:rPr>
          <w:rFonts w:ascii="Calibri" w:hAnsi="Calibri" w:cs="Calibri"/>
          <w:lang w:val="ro-RO"/>
        </w:rPr>
        <w:t xml:space="preserve"> de 304.170</w:t>
      </w:r>
      <w:r w:rsidR="00286B77" w:rsidRPr="00834B27">
        <w:rPr>
          <w:rFonts w:ascii="Calibri" w:hAnsi="Calibri" w:cs="Calibri"/>
          <w:lang w:val="ro-RO"/>
        </w:rPr>
        <w:t xml:space="preserve"> (72%!)</w:t>
      </w:r>
      <w:r w:rsidR="008C1C33" w:rsidRPr="00834B27">
        <w:rPr>
          <w:rFonts w:ascii="Calibri" w:hAnsi="Calibri" w:cs="Calibri"/>
          <w:lang w:val="ro-RO"/>
        </w:rPr>
        <w:t xml:space="preserve"> au declarat venituri mai mici de 24.300</w:t>
      </w:r>
      <w:r w:rsidR="00286B77" w:rsidRPr="00834B27">
        <w:rPr>
          <w:rFonts w:ascii="Calibri" w:hAnsi="Calibri" w:cs="Calibri"/>
          <w:lang w:val="ro-RO"/>
        </w:rPr>
        <w:t xml:space="preserve">, ceea ce corespunde unui </w:t>
      </w:r>
      <w:r w:rsidR="001B55EC" w:rsidRPr="00834B27">
        <w:rPr>
          <w:rFonts w:ascii="Calibri" w:hAnsi="Calibri" w:cs="Calibri"/>
          <w:lang w:val="ro-RO"/>
        </w:rPr>
        <w:t>venit mediu</w:t>
      </w:r>
      <w:r w:rsidR="002E27D6" w:rsidRPr="00834B27">
        <w:rPr>
          <w:rFonts w:ascii="Calibri" w:hAnsi="Calibri" w:cs="Calibri"/>
          <w:lang w:val="ro-RO"/>
        </w:rPr>
        <w:t xml:space="preserve"> </w:t>
      </w:r>
      <w:r w:rsidR="005B6AE2" w:rsidRPr="00834B27">
        <w:rPr>
          <w:rFonts w:ascii="Calibri" w:hAnsi="Calibri" w:cs="Calibri"/>
          <w:lang w:val="ro-RO"/>
        </w:rPr>
        <w:t>impozabil</w:t>
      </w:r>
      <w:r w:rsidR="001B55EC" w:rsidRPr="00834B27">
        <w:rPr>
          <w:rFonts w:ascii="Calibri" w:hAnsi="Calibri" w:cs="Calibri"/>
          <w:lang w:val="ro-RO"/>
        </w:rPr>
        <w:t xml:space="preserve"> </w:t>
      </w:r>
      <w:r w:rsidR="005B111B" w:rsidRPr="00834B27">
        <w:rPr>
          <w:rFonts w:ascii="Calibri" w:hAnsi="Calibri" w:cs="Calibri"/>
          <w:lang w:val="ro-RO"/>
        </w:rPr>
        <w:t>î</w:t>
      </w:r>
      <w:r w:rsidR="001B55EC" w:rsidRPr="00834B27">
        <w:rPr>
          <w:rFonts w:ascii="Calibri" w:hAnsi="Calibri" w:cs="Calibri"/>
          <w:lang w:val="ro-RO"/>
        </w:rPr>
        <w:t>n tran</w:t>
      </w:r>
      <w:r w:rsidR="00F36C14" w:rsidRPr="00834B27">
        <w:rPr>
          <w:rFonts w:ascii="Calibri" w:hAnsi="Calibri" w:cs="Calibri"/>
          <w:lang w:val="ro-RO"/>
        </w:rPr>
        <w:t>ș</w:t>
      </w:r>
      <w:r w:rsidR="001B55EC" w:rsidRPr="00834B27">
        <w:rPr>
          <w:rFonts w:ascii="Calibri" w:hAnsi="Calibri" w:cs="Calibri"/>
          <w:lang w:val="ro-RO"/>
        </w:rPr>
        <w:t xml:space="preserve">a de </w:t>
      </w:r>
      <w:r w:rsidR="004B77CA" w:rsidRPr="00834B27">
        <w:rPr>
          <w:rFonts w:ascii="Calibri" w:hAnsi="Calibri" w:cs="Calibri"/>
          <w:lang w:val="ro-RO"/>
        </w:rPr>
        <w:t>5.044 lei/an</w:t>
      </w:r>
      <w:r w:rsidR="002E27D6" w:rsidRPr="00834B27">
        <w:rPr>
          <w:rFonts w:ascii="Calibri" w:hAnsi="Calibri" w:cs="Calibri"/>
          <w:lang w:val="ro-RO"/>
        </w:rPr>
        <w:t xml:space="preserve">, </w:t>
      </w:r>
      <w:r w:rsidR="005B111B" w:rsidRPr="00834B27">
        <w:rPr>
          <w:rFonts w:ascii="Calibri" w:hAnsi="Calibri" w:cs="Calibri"/>
          <w:lang w:val="ro-RO"/>
        </w:rPr>
        <w:t>adică</w:t>
      </w:r>
      <w:r w:rsidR="00B41FCD" w:rsidRPr="00834B27">
        <w:rPr>
          <w:rFonts w:ascii="Calibri" w:hAnsi="Calibri" w:cs="Calibri"/>
          <w:lang w:val="ro-RO"/>
        </w:rPr>
        <w:t xml:space="preserve"> </w:t>
      </w:r>
      <w:r w:rsidR="003443DC" w:rsidRPr="00834B27">
        <w:rPr>
          <w:rFonts w:ascii="Calibri" w:hAnsi="Calibri" w:cs="Calibri"/>
          <w:lang w:val="ro-RO"/>
        </w:rPr>
        <w:t>un venit lunar net de 380 lei</w:t>
      </w:r>
      <w:r w:rsidR="00F01717" w:rsidRPr="00834B27">
        <w:rPr>
          <w:rFonts w:ascii="Calibri" w:hAnsi="Calibri" w:cs="Calibri"/>
          <w:lang w:val="ro-RO"/>
        </w:rPr>
        <w:t>, sum</w:t>
      </w:r>
      <w:r w:rsidR="005B111B" w:rsidRPr="00834B27">
        <w:rPr>
          <w:rFonts w:ascii="Calibri" w:hAnsi="Calibri" w:cs="Calibri"/>
          <w:lang w:val="ro-RO"/>
        </w:rPr>
        <w:t>ă</w:t>
      </w:r>
      <w:r w:rsidR="00F01717" w:rsidRPr="00834B27">
        <w:rPr>
          <w:rFonts w:ascii="Calibri" w:hAnsi="Calibri" w:cs="Calibri"/>
          <w:lang w:val="ro-RO"/>
        </w:rPr>
        <w:t xml:space="preserve"> care nou</w:t>
      </w:r>
      <w:r w:rsidR="005B111B" w:rsidRPr="00834B27">
        <w:rPr>
          <w:rFonts w:ascii="Calibri" w:hAnsi="Calibri" w:cs="Calibri"/>
          <w:lang w:val="ro-RO"/>
        </w:rPr>
        <w:t>ă</w:t>
      </w:r>
      <w:r w:rsidR="00F01717" w:rsidRPr="00834B27">
        <w:rPr>
          <w:rFonts w:ascii="Calibri" w:hAnsi="Calibri" w:cs="Calibri"/>
          <w:lang w:val="ro-RO"/>
        </w:rPr>
        <w:t xml:space="preserve"> ni se pare ridicol de mic</w:t>
      </w:r>
      <w:r w:rsidR="005B111B" w:rsidRPr="00834B27">
        <w:rPr>
          <w:rFonts w:ascii="Calibri" w:hAnsi="Calibri" w:cs="Calibri"/>
          <w:lang w:val="ro-RO"/>
        </w:rPr>
        <w:t>ă</w:t>
      </w:r>
      <w:r w:rsidR="00214973" w:rsidRPr="00834B27">
        <w:rPr>
          <w:rFonts w:ascii="Calibri" w:hAnsi="Calibri" w:cs="Calibri"/>
          <w:lang w:val="ro-RO"/>
        </w:rPr>
        <w:t>, iar acest lucru poate indica fie o nedeclarare masiv</w:t>
      </w:r>
      <w:r w:rsidR="005B111B" w:rsidRPr="00834B27">
        <w:rPr>
          <w:rFonts w:ascii="Calibri" w:hAnsi="Calibri" w:cs="Calibri"/>
          <w:lang w:val="ro-RO"/>
        </w:rPr>
        <w:t xml:space="preserve">ă </w:t>
      </w:r>
      <w:r w:rsidR="00214973" w:rsidRPr="00834B27">
        <w:rPr>
          <w:rFonts w:ascii="Calibri" w:hAnsi="Calibri" w:cs="Calibri"/>
          <w:lang w:val="ro-RO"/>
        </w:rPr>
        <w:t>a veniturilor (</w:t>
      </w:r>
      <w:r w:rsidR="005B111B" w:rsidRPr="00834B27">
        <w:rPr>
          <w:rFonts w:ascii="Calibri" w:hAnsi="Calibri" w:cs="Calibri"/>
          <w:lang w:val="ro-RO"/>
        </w:rPr>
        <w:t>vânzări</w:t>
      </w:r>
      <w:r w:rsidR="00214973" w:rsidRPr="00834B27">
        <w:rPr>
          <w:rFonts w:ascii="Calibri" w:hAnsi="Calibri" w:cs="Calibri"/>
          <w:lang w:val="ro-RO"/>
        </w:rPr>
        <w:t xml:space="preserve"> „la negru</w:t>
      </w:r>
      <w:r w:rsidR="004565FB" w:rsidRPr="00834B27">
        <w:rPr>
          <w:rFonts w:ascii="Calibri" w:hAnsi="Calibri" w:cs="Calibri"/>
          <w:lang w:val="ro-RO"/>
        </w:rPr>
        <w:t xml:space="preserve">”), fie reducerea bazei de impunere prin </w:t>
      </w:r>
      <w:r w:rsidR="005B111B" w:rsidRPr="00834B27">
        <w:rPr>
          <w:rFonts w:ascii="Calibri" w:hAnsi="Calibri" w:cs="Calibri"/>
          <w:lang w:val="ro-RO"/>
        </w:rPr>
        <w:t>înregistrarea</w:t>
      </w:r>
      <w:r w:rsidR="004565FB" w:rsidRPr="00834B27">
        <w:rPr>
          <w:rFonts w:ascii="Calibri" w:hAnsi="Calibri" w:cs="Calibri"/>
          <w:lang w:val="ro-RO"/>
        </w:rPr>
        <w:t xml:space="preserve"> de cheltuieli care nu au de</w:t>
      </w:r>
      <w:r w:rsidR="005B111B" w:rsidRPr="00834B27">
        <w:rPr>
          <w:rFonts w:ascii="Calibri" w:hAnsi="Calibri" w:cs="Calibri"/>
          <w:lang w:val="ro-RO"/>
        </w:rPr>
        <w:t>-</w:t>
      </w:r>
      <w:r w:rsidR="004565FB" w:rsidRPr="00834B27">
        <w:rPr>
          <w:rFonts w:ascii="Calibri" w:hAnsi="Calibri" w:cs="Calibri"/>
          <w:lang w:val="ro-RO"/>
        </w:rPr>
        <w:t xml:space="preserve">a face </w:t>
      </w:r>
      <w:r w:rsidR="00147BF1" w:rsidRPr="00834B27">
        <w:rPr>
          <w:rFonts w:ascii="Calibri" w:hAnsi="Calibri" w:cs="Calibri"/>
          <w:lang w:val="ro-RO"/>
        </w:rPr>
        <w:t>cu activitatea independent</w:t>
      </w:r>
      <w:r w:rsidR="005B111B" w:rsidRPr="00834B27">
        <w:rPr>
          <w:rFonts w:ascii="Calibri" w:hAnsi="Calibri" w:cs="Calibri"/>
          <w:lang w:val="ro-RO"/>
        </w:rPr>
        <w:t>ă</w:t>
      </w:r>
      <w:r w:rsidR="00147BF1" w:rsidRPr="00834B27">
        <w:rPr>
          <w:rFonts w:ascii="Calibri" w:hAnsi="Calibri" w:cs="Calibri"/>
          <w:lang w:val="ro-RO"/>
        </w:rPr>
        <w:t xml:space="preserve"> (cheltuieli personale)</w:t>
      </w:r>
      <w:r w:rsidR="000845C4" w:rsidRPr="00834B27">
        <w:rPr>
          <w:rFonts w:ascii="Calibri" w:hAnsi="Calibri" w:cs="Calibri"/>
          <w:lang w:val="ro-RO"/>
        </w:rPr>
        <w:t xml:space="preserve">. </w:t>
      </w:r>
      <w:r w:rsidR="00694DF4" w:rsidRPr="00834B27">
        <w:rPr>
          <w:rFonts w:ascii="Calibri" w:hAnsi="Calibri" w:cs="Calibri"/>
          <w:lang w:val="ro-RO"/>
        </w:rPr>
        <w:t xml:space="preserve">Evident, nu excludem posibilitatea ca unii contribuabili </w:t>
      </w:r>
      <w:r w:rsidR="00F60EED" w:rsidRPr="00834B27">
        <w:rPr>
          <w:rFonts w:ascii="Calibri" w:hAnsi="Calibri" w:cs="Calibri"/>
          <w:lang w:val="ro-RO"/>
        </w:rPr>
        <w:t xml:space="preserve">să își mențină o înregistrarea ca PFA pentru obținerea de venituri </w:t>
      </w:r>
      <w:r w:rsidR="00EA2263" w:rsidRPr="00834B27">
        <w:rPr>
          <w:rFonts w:ascii="Calibri" w:hAnsi="Calibri" w:cs="Calibri"/>
          <w:lang w:val="ro-RO"/>
        </w:rPr>
        <w:t>ocazionale.</w:t>
      </w:r>
    </w:p>
    <w:p w14:paraId="6FED9F83" w14:textId="0CC3FAD7" w:rsidR="0040371B" w:rsidRPr="00834B27" w:rsidRDefault="000845C4" w:rsidP="009769ED">
      <w:pPr>
        <w:tabs>
          <w:tab w:val="left" w:pos="720"/>
        </w:tabs>
        <w:spacing w:line="276" w:lineRule="auto"/>
        <w:jc w:val="both"/>
        <w:rPr>
          <w:rFonts w:ascii="Calibri" w:hAnsi="Calibri" w:cs="Calibri"/>
          <w:b/>
          <w:bCs/>
          <w:lang w:val="ro-RO"/>
        </w:rPr>
      </w:pPr>
      <w:r w:rsidRPr="00834B27">
        <w:rPr>
          <w:rFonts w:ascii="Calibri" w:hAnsi="Calibri" w:cs="Calibri"/>
          <w:b/>
          <w:bCs/>
          <w:lang w:val="ro-RO"/>
        </w:rPr>
        <w:lastRenderedPageBreak/>
        <w:t>Consider</w:t>
      </w:r>
      <w:r w:rsidR="005B111B" w:rsidRPr="00834B27">
        <w:rPr>
          <w:rFonts w:ascii="Calibri" w:hAnsi="Calibri" w:cs="Calibri"/>
          <w:b/>
          <w:bCs/>
          <w:lang w:val="ro-RO"/>
        </w:rPr>
        <w:t>ă</w:t>
      </w:r>
      <w:r w:rsidRPr="00834B27">
        <w:rPr>
          <w:rFonts w:ascii="Calibri" w:hAnsi="Calibri" w:cs="Calibri"/>
          <w:b/>
          <w:bCs/>
          <w:lang w:val="ro-RO"/>
        </w:rPr>
        <w:t>m c</w:t>
      </w:r>
      <w:r w:rsidR="005B111B" w:rsidRPr="00834B27">
        <w:rPr>
          <w:rFonts w:ascii="Calibri" w:hAnsi="Calibri" w:cs="Calibri"/>
          <w:b/>
          <w:bCs/>
          <w:lang w:val="ro-RO"/>
        </w:rPr>
        <w:t>ă</w:t>
      </w:r>
      <w:r w:rsidRPr="00834B27">
        <w:rPr>
          <w:rFonts w:ascii="Calibri" w:hAnsi="Calibri" w:cs="Calibri"/>
          <w:b/>
          <w:bCs/>
          <w:lang w:val="ro-RO"/>
        </w:rPr>
        <w:t xml:space="preserve"> se impun m</w:t>
      </w:r>
      <w:r w:rsidR="005B111B" w:rsidRPr="00834B27">
        <w:rPr>
          <w:rFonts w:ascii="Calibri" w:hAnsi="Calibri" w:cs="Calibri"/>
          <w:b/>
          <w:bCs/>
          <w:lang w:val="ro-RO"/>
        </w:rPr>
        <w:t>ă</w:t>
      </w:r>
      <w:r w:rsidRPr="00834B27">
        <w:rPr>
          <w:rFonts w:ascii="Calibri" w:hAnsi="Calibri" w:cs="Calibri"/>
          <w:b/>
          <w:bCs/>
          <w:lang w:val="ro-RO"/>
        </w:rPr>
        <w:t>suri</w:t>
      </w:r>
      <w:r w:rsidR="00A446B9" w:rsidRPr="00834B27">
        <w:rPr>
          <w:rFonts w:ascii="Calibri" w:hAnsi="Calibri" w:cs="Calibri"/>
          <w:b/>
          <w:bCs/>
          <w:lang w:val="ro-RO"/>
        </w:rPr>
        <w:t xml:space="preserve"> </w:t>
      </w:r>
      <w:r w:rsidR="005B111B" w:rsidRPr="00834B27">
        <w:rPr>
          <w:rFonts w:ascii="Calibri" w:hAnsi="Calibri" w:cs="Calibri"/>
          <w:b/>
          <w:bCs/>
          <w:lang w:val="ro-RO"/>
        </w:rPr>
        <w:t>atât</w:t>
      </w:r>
      <w:r w:rsidR="00A446B9" w:rsidRPr="00834B27">
        <w:rPr>
          <w:rFonts w:ascii="Calibri" w:hAnsi="Calibri" w:cs="Calibri"/>
          <w:b/>
          <w:bCs/>
          <w:lang w:val="ro-RO"/>
        </w:rPr>
        <w:t xml:space="preserve"> legislative</w:t>
      </w:r>
      <w:r w:rsidR="00C55DE8" w:rsidRPr="00834B27">
        <w:rPr>
          <w:rFonts w:ascii="Calibri" w:hAnsi="Calibri" w:cs="Calibri"/>
          <w:b/>
          <w:bCs/>
          <w:lang w:val="ro-RO"/>
        </w:rPr>
        <w:t>,</w:t>
      </w:r>
      <w:r w:rsidR="00A446B9" w:rsidRPr="00834B27">
        <w:rPr>
          <w:rFonts w:ascii="Calibri" w:hAnsi="Calibri" w:cs="Calibri"/>
          <w:b/>
          <w:bCs/>
          <w:lang w:val="ro-RO"/>
        </w:rPr>
        <w:t xml:space="preserve"> c</w:t>
      </w:r>
      <w:r w:rsidR="005B111B" w:rsidRPr="00834B27">
        <w:rPr>
          <w:rFonts w:ascii="Calibri" w:hAnsi="Calibri" w:cs="Calibri"/>
          <w:b/>
          <w:bCs/>
          <w:lang w:val="ro-RO"/>
        </w:rPr>
        <w:t>â</w:t>
      </w:r>
      <w:r w:rsidR="00A446B9" w:rsidRPr="00834B27">
        <w:rPr>
          <w:rFonts w:ascii="Calibri" w:hAnsi="Calibri" w:cs="Calibri"/>
          <w:b/>
          <w:bCs/>
          <w:lang w:val="ro-RO"/>
        </w:rPr>
        <w:t xml:space="preserve">t </w:t>
      </w:r>
      <w:r w:rsidR="005B111B" w:rsidRPr="00834B27">
        <w:rPr>
          <w:rFonts w:ascii="Calibri" w:hAnsi="Calibri" w:cs="Calibri"/>
          <w:b/>
          <w:bCs/>
          <w:lang w:val="ro-RO"/>
        </w:rPr>
        <w:t>ș</w:t>
      </w:r>
      <w:r w:rsidR="00A446B9" w:rsidRPr="00834B27">
        <w:rPr>
          <w:rFonts w:ascii="Calibri" w:hAnsi="Calibri" w:cs="Calibri"/>
          <w:b/>
          <w:bCs/>
          <w:lang w:val="ro-RO"/>
        </w:rPr>
        <w:t xml:space="preserve">i administrative pentru </w:t>
      </w:r>
      <w:r w:rsidR="005B111B" w:rsidRPr="00834B27">
        <w:rPr>
          <w:rFonts w:ascii="Calibri" w:hAnsi="Calibri" w:cs="Calibri"/>
          <w:b/>
          <w:bCs/>
          <w:lang w:val="ro-RO"/>
        </w:rPr>
        <w:t>creșterea</w:t>
      </w:r>
      <w:r w:rsidR="00A446B9" w:rsidRPr="00834B27">
        <w:rPr>
          <w:rFonts w:ascii="Calibri" w:hAnsi="Calibri" w:cs="Calibri"/>
          <w:b/>
          <w:bCs/>
          <w:lang w:val="ro-RO"/>
        </w:rPr>
        <w:t xml:space="preserve"> </w:t>
      </w:r>
      <w:r w:rsidR="005B111B" w:rsidRPr="00834B27">
        <w:rPr>
          <w:rFonts w:ascii="Calibri" w:hAnsi="Calibri" w:cs="Calibri"/>
          <w:b/>
          <w:bCs/>
          <w:lang w:val="ro-RO"/>
        </w:rPr>
        <w:t>conformării</w:t>
      </w:r>
      <w:r w:rsidR="00A446B9" w:rsidRPr="00834B27">
        <w:rPr>
          <w:rFonts w:ascii="Calibri" w:hAnsi="Calibri" w:cs="Calibri"/>
          <w:b/>
          <w:bCs/>
          <w:lang w:val="ro-RO"/>
        </w:rPr>
        <w:t>.</w:t>
      </w:r>
    </w:p>
    <w:p w14:paraId="14D7BA45" w14:textId="2413CD59" w:rsidR="00034E34" w:rsidRPr="00834B27" w:rsidRDefault="005B111B" w:rsidP="009769ED">
      <w:pPr>
        <w:tabs>
          <w:tab w:val="left" w:pos="720"/>
        </w:tabs>
        <w:spacing w:line="276" w:lineRule="auto"/>
        <w:jc w:val="both"/>
        <w:rPr>
          <w:rFonts w:ascii="Calibri" w:hAnsi="Calibri" w:cs="Calibri"/>
          <w:lang w:val="ro-RO"/>
        </w:rPr>
      </w:pPr>
      <w:r w:rsidRPr="00834B27">
        <w:rPr>
          <w:rFonts w:ascii="Calibri" w:hAnsi="Calibri" w:cs="Calibri"/>
          <w:lang w:val="ro-RO"/>
        </w:rPr>
        <w:t>Ș</w:t>
      </w:r>
      <w:r w:rsidR="00034E34" w:rsidRPr="00834B27">
        <w:rPr>
          <w:rFonts w:ascii="Calibri" w:hAnsi="Calibri" w:cs="Calibri"/>
          <w:lang w:val="ro-RO"/>
        </w:rPr>
        <w:t xml:space="preserve">i </w:t>
      </w:r>
      <w:r w:rsidRPr="00834B27">
        <w:rPr>
          <w:rFonts w:ascii="Calibri" w:hAnsi="Calibri" w:cs="Calibri"/>
          <w:lang w:val="ro-RO"/>
        </w:rPr>
        <w:t>î</w:t>
      </w:r>
      <w:r w:rsidR="00034E34" w:rsidRPr="00834B27">
        <w:rPr>
          <w:rFonts w:ascii="Calibri" w:hAnsi="Calibri" w:cs="Calibri"/>
          <w:lang w:val="ro-RO"/>
        </w:rPr>
        <w:t xml:space="preserve">n </w:t>
      </w:r>
      <w:r w:rsidRPr="00834B27">
        <w:rPr>
          <w:rFonts w:ascii="Calibri" w:hAnsi="Calibri" w:cs="Calibri"/>
          <w:lang w:val="ro-RO"/>
        </w:rPr>
        <w:t>următoarea</w:t>
      </w:r>
      <w:r w:rsidR="00034E34" w:rsidRPr="00834B27">
        <w:rPr>
          <w:rFonts w:ascii="Calibri" w:hAnsi="Calibri" w:cs="Calibri"/>
          <w:lang w:val="ro-RO"/>
        </w:rPr>
        <w:t xml:space="preserve"> tran</w:t>
      </w:r>
      <w:r w:rsidRPr="00834B27">
        <w:rPr>
          <w:rFonts w:ascii="Calibri" w:hAnsi="Calibri" w:cs="Calibri"/>
          <w:lang w:val="ro-RO"/>
        </w:rPr>
        <w:t>șă</w:t>
      </w:r>
      <w:r w:rsidR="00034E34" w:rsidRPr="00834B27">
        <w:rPr>
          <w:rFonts w:ascii="Calibri" w:hAnsi="Calibri" w:cs="Calibri"/>
          <w:lang w:val="ro-RO"/>
        </w:rPr>
        <w:t xml:space="preserve"> (24</w:t>
      </w:r>
      <w:r w:rsidR="009F13E3" w:rsidRPr="00834B27">
        <w:rPr>
          <w:rFonts w:ascii="Calibri" w:hAnsi="Calibri" w:cs="Calibri"/>
          <w:lang w:val="ro-RO"/>
        </w:rPr>
        <w:t>.301 – 48.600 lei/an)</w:t>
      </w:r>
      <w:r w:rsidR="003A3EE4" w:rsidRPr="00834B27">
        <w:rPr>
          <w:rFonts w:ascii="Calibri" w:hAnsi="Calibri" w:cs="Calibri"/>
          <w:lang w:val="ro-RO"/>
        </w:rPr>
        <w:t>,</w:t>
      </w:r>
      <w:r w:rsidR="009F13E3" w:rsidRPr="00834B27">
        <w:rPr>
          <w:rFonts w:ascii="Calibri" w:hAnsi="Calibri" w:cs="Calibri"/>
          <w:lang w:val="ro-RO"/>
        </w:rPr>
        <w:t xml:space="preserve"> </w:t>
      </w:r>
      <w:r w:rsidRPr="00834B27">
        <w:rPr>
          <w:rFonts w:ascii="Calibri" w:hAnsi="Calibri" w:cs="Calibri"/>
          <w:lang w:val="ro-RO"/>
        </w:rPr>
        <w:t>numărul</w:t>
      </w:r>
      <w:r w:rsidR="009F13E3" w:rsidRPr="00834B27">
        <w:rPr>
          <w:rFonts w:ascii="Calibri" w:hAnsi="Calibri" w:cs="Calibri"/>
          <w:lang w:val="ro-RO"/>
        </w:rPr>
        <w:t xml:space="preserve"> </w:t>
      </w:r>
      <w:r w:rsidR="00E55166" w:rsidRPr="00834B27">
        <w:rPr>
          <w:rFonts w:ascii="Calibri" w:hAnsi="Calibri" w:cs="Calibri"/>
          <w:lang w:val="ro-RO"/>
        </w:rPr>
        <w:t>de con</w:t>
      </w:r>
      <w:r w:rsidR="00582769" w:rsidRPr="00834B27">
        <w:rPr>
          <w:rFonts w:ascii="Calibri" w:hAnsi="Calibri" w:cs="Calibri"/>
          <w:lang w:val="ro-RO"/>
        </w:rPr>
        <w:t xml:space="preserve">tribuabili </w:t>
      </w:r>
      <w:r w:rsidR="009F13E3" w:rsidRPr="00834B27">
        <w:rPr>
          <w:rFonts w:ascii="Calibri" w:hAnsi="Calibri" w:cs="Calibri"/>
          <w:lang w:val="ro-RO"/>
        </w:rPr>
        <w:t xml:space="preserve">este </w:t>
      </w:r>
      <w:r w:rsidR="00582769" w:rsidRPr="00834B27">
        <w:rPr>
          <w:rFonts w:ascii="Calibri" w:hAnsi="Calibri" w:cs="Calibri"/>
          <w:lang w:val="ro-RO"/>
        </w:rPr>
        <w:t xml:space="preserve">unul </w:t>
      </w:r>
      <w:r w:rsidR="009F13E3" w:rsidRPr="00834B27">
        <w:rPr>
          <w:rFonts w:ascii="Calibri" w:hAnsi="Calibri" w:cs="Calibri"/>
          <w:lang w:val="ro-RO"/>
        </w:rPr>
        <w:t>consistent (</w:t>
      </w:r>
      <w:r w:rsidR="008D224A" w:rsidRPr="00834B27">
        <w:rPr>
          <w:rFonts w:ascii="Calibri" w:hAnsi="Calibri" w:cs="Calibri"/>
          <w:lang w:val="ro-RO"/>
        </w:rPr>
        <w:t xml:space="preserve">45.925), cu un venit mediu </w:t>
      </w:r>
      <w:r w:rsidRPr="00834B27">
        <w:rPr>
          <w:rFonts w:ascii="Calibri" w:hAnsi="Calibri" w:cs="Calibri"/>
          <w:lang w:val="ro-RO"/>
        </w:rPr>
        <w:t>î</w:t>
      </w:r>
      <w:r w:rsidR="008D224A" w:rsidRPr="00834B27">
        <w:rPr>
          <w:rFonts w:ascii="Calibri" w:hAnsi="Calibri" w:cs="Calibri"/>
          <w:lang w:val="ro-RO"/>
        </w:rPr>
        <w:t>n tran</w:t>
      </w:r>
      <w:r w:rsidRPr="00834B27">
        <w:rPr>
          <w:rFonts w:ascii="Calibri" w:hAnsi="Calibri" w:cs="Calibri"/>
          <w:lang w:val="ro-RO"/>
        </w:rPr>
        <w:t>șă</w:t>
      </w:r>
      <w:r w:rsidR="008D224A" w:rsidRPr="00834B27">
        <w:rPr>
          <w:rFonts w:ascii="Calibri" w:hAnsi="Calibri" w:cs="Calibri"/>
          <w:lang w:val="ro-RO"/>
        </w:rPr>
        <w:t xml:space="preserve"> de 34.657 lei</w:t>
      </w:r>
      <w:r w:rsidR="007C106B" w:rsidRPr="00834B27">
        <w:rPr>
          <w:rFonts w:ascii="Calibri" w:hAnsi="Calibri" w:cs="Calibri"/>
          <w:lang w:val="ro-RO"/>
        </w:rPr>
        <w:t xml:space="preserve"> (</w:t>
      </w:r>
      <w:r w:rsidR="00743769" w:rsidRPr="00834B27">
        <w:rPr>
          <w:rFonts w:ascii="Calibri" w:hAnsi="Calibri" w:cs="Calibri"/>
          <w:lang w:val="ro-RO"/>
        </w:rPr>
        <w:t>2.600 lei net/lun</w:t>
      </w:r>
      <w:r w:rsidRPr="00834B27">
        <w:rPr>
          <w:rFonts w:ascii="Calibri" w:hAnsi="Calibri" w:cs="Calibri"/>
          <w:lang w:val="ro-RO"/>
        </w:rPr>
        <w:t>ă</w:t>
      </w:r>
      <w:r w:rsidR="00743769" w:rsidRPr="00834B27">
        <w:rPr>
          <w:rFonts w:ascii="Calibri" w:hAnsi="Calibri" w:cs="Calibri"/>
          <w:lang w:val="ro-RO"/>
        </w:rPr>
        <w:t>)</w:t>
      </w:r>
      <w:r w:rsidR="00582769" w:rsidRPr="00834B27">
        <w:rPr>
          <w:rFonts w:ascii="Calibri" w:hAnsi="Calibri" w:cs="Calibri"/>
          <w:lang w:val="ro-RO"/>
        </w:rPr>
        <w:t xml:space="preserve">. </w:t>
      </w:r>
      <w:r w:rsidR="00573B57" w:rsidRPr="00834B27">
        <w:rPr>
          <w:rFonts w:ascii="Calibri" w:hAnsi="Calibri" w:cs="Calibri"/>
          <w:lang w:val="ro-RO"/>
        </w:rPr>
        <w:t>Rezultă deci</w:t>
      </w:r>
      <w:r w:rsidR="008D224A" w:rsidRPr="00834B27">
        <w:rPr>
          <w:rFonts w:ascii="Calibri" w:hAnsi="Calibri" w:cs="Calibri"/>
          <w:lang w:val="ro-RO"/>
        </w:rPr>
        <w:t xml:space="preserve"> c</w:t>
      </w:r>
      <w:r w:rsidRPr="00834B27">
        <w:rPr>
          <w:rFonts w:ascii="Calibri" w:hAnsi="Calibri" w:cs="Calibri"/>
          <w:lang w:val="ro-RO"/>
        </w:rPr>
        <w:t>ă</w:t>
      </w:r>
      <w:r w:rsidR="008D224A" w:rsidRPr="00834B27">
        <w:rPr>
          <w:rFonts w:ascii="Calibri" w:hAnsi="Calibri" w:cs="Calibri"/>
          <w:lang w:val="ro-RO"/>
        </w:rPr>
        <w:t xml:space="preserve"> – </w:t>
      </w:r>
      <w:r w:rsidR="00A6469B" w:rsidRPr="00834B27">
        <w:rPr>
          <w:rFonts w:ascii="Calibri" w:hAnsi="Calibri" w:cs="Calibri"/>
          <w:lang w:val="ro-RO"/>
        </w:rPr>
        <w:t xml:space="preserve">un procent de 80% din </w:t>
      </w:r>
      <w:r w:rsidR="008D224A" w:rsidRPr="00834B27">
        <w:rPr>
          <w:rFonts w:ascii="Calibri" w:hAnsi="Calibri" w:cs="Calibri"/>
          <w:lang w:val="ro-RO"/>
        </w:rPr>
        <w:t xml:space="preserve">totalul </w:t>
      </w:r>
      <w:r w:rsidR="006D6C66" w:rsidRPr="00834B27">
        <w:rPr>
          <w:rFonts w:ascii="Calibri" w:hAnsi="Calibri" w:cs="Calibri"/>
          <w:lang w:val="ro-RO"/>
        </w:rPr>
        <w:t xml:space="preserve">de 424.201 de contribuabili care </w:t>
      </w:r>
      <w:r w:rsidRPr="00834B27">
        <w:rPr>
          <w:rFonts w:ascii="Calibri" w:hAnsi="Calibri" w:cs="Calibri"/>
          <w:lang w:val="ro-RO"/>
        </w:rPr>
        <w:t>ob</w:t>
      </w:r>
      <w:r w:rsidR="00D77C4B" w:rsidRPr="00834B27">
        <w:rPr>
          <w:rFonts w:ascii="Calibri" w:hAnsi="Calibri" w:cs="Calibri"/>
          <w:lang w:val="ro-RO"/>
        </w:rPr>
        <w:t>ț</w:t>
      </w:r>
      <w:r w:rsidRPr="00834B27">
        <w:rPr>
          <w:rFonts w:ascii="Calibri" w:hAnsi="Calibri" w:cs="Calibri"/>
          <w:lang w:val="ro-RO"/>
        </w:rPr>
        <w:t>in</w:t>
      </w:r>
      <w:r w:rsidR="006D6C66" w:rsidRPr="00834B27">
        <w:rPr>
          <w:rFonts w:ascii="Calibri" w:hAnsi="Calibri" w:cs="Calibri"/>
          <w:lang w:val="ro-RO"/>
        </w:rPr>
        <w:t xml:space="preserve"> venituri din </w:t>
      </w:r>
      <w:r w:rsidRPr="00834B27">
        <w:rPr>
          <w:rFonts w:ascii="Calibri" w:hAnsi="Calibri" w:cs="Calibri"/>
          <w:lang w:val="ro-RO"/>
        </w:rPr>
        <w:t>activită</w:t>
      </w:r>
      <w:r w:rsidR="00D77C4B" w:rsidRPr="00834B27">
        <w:rPr>
          <w:rFonts w:ascii="Calibri" w:hAnsi="Calibri" w:cs="Calibri"/>
          <w:lang w:val="ro-RO"/>
        </w:rPr>
        <w:t>ț</w:t>
      </w:r>
      <w:r w:rsidRPr="00834B27">
        <w:rPr>
          <w:rFonts w:ascii="Calibri" w:hAnsi="Calibri" w:cs="Calibri"/>
          <w:lang w:val="ro-RO"/>
        </w:rPr>
        <w:t>i</w:t>
      </w:r>
      <w:r w:rsidR="006D6C66" w:rsidRPr="00834B27">
        <w:rPr>
          <w:rFonts w:ascii="Calibri" w:hAnsi="Calibri" w:cs="Calibri"/>
          <w:lang w:val="ro-RO"/>
        </w:rPr>
        <w:t xml:space="preserve"> independente </w:t>
      </w:r>
      <w:r w:rsidR="00A6469B" w:rsidRPr="00834B27">
        <w:rPr>
          <w:rFonts w:ascii="Calibri" w:hAnsi="Calibri" w:cs="Calibri"/>
          <w:lang w:val="ro-RO"/>
        </w:rPr>
        <w:t>declară un venit net</w:t>
      </w:r>
      <w:r w:rsidR="00EB692D" w:rsidRPr="00834B27">
        <w:rPr>
          <w:rFonts w:ascii="Calibri" w:hAnsi="Calibri" w:cs="Calibri"/>
          <w:lang w:val="ro-RO"/>
        </w:rPr>
        <w:t xml:space="preserve"> (impozabil) mai mic de </w:t>
      </w:r>
      <w:r w:rsidR="00526D5C" w:rsidRPr="00834B27">
        <w:rPr>
          <w:rFonts w:ascii="Calibri" w:hAnsi="Calibri" w:cs="Calibri"/>
          <w:lang w:val="ro-RO"/>
        </w:rPr>
        <w:t xml:space="preserve"> 12 SM/an (1</w:t>
      </w:r>
      <w:r w:rsidR="0003306E" w:rsidRPr="00834B27">
        <w:rPr>
          <w:rFonts w:ascii="Calibri" w:hAnsi="Calibri" w:cs="Calibri"/>
          <w:lang w:val="ro-RO"/>
        </w:rPr>
        <w:t> </w:t>
      </w:r>
      <w:r w:rsidR="00526D5C" w:rsidRPr="00834B27">
        <w:rPr>
          <w:rFonts w:ascii="Calibri" w:hAnsi="Calibri" w:cs="Calibri"/>
          <w:lang w:val="ro-RO"/>
        </w:rPr>
        <w:t>SM/lun</w:t>
      </w:r>
      <w:r w:rsidR="0003306E" w:rsidRPr="00834B27">
        <w:rPr>
          <w:rFonts w:ascii="Calibri" w:hAnsi="Calibri" w:cs="Calibri"/>
          <w:lang w:val="ro-RO"/>
        </w:rPr>
        <w:t>ă</w:t>
      </w:r>
      <w:r w:rsidR="00526D5C" w:rsidRPr="00834B27">
        <w:rPr>
          <w:rFonts w:ascii="Calibri" w:hAnsi="Calibri" w:cs="Calibri"/>
          <w:lang w:val="ro-RO"/>
        </w:rPr>
        <w:t>)</w:t>
      </w:r>
      <w:r w:rsidR="002E377F" w:rsidRPr="00834B27">
        <w:rPr>
          <w:rFonts w:ascii="Calibri" w:hAnsi="Calibri" w:cs="Calibri"/>
          <w:lang w:val="ro-RO"/>
        </w:rPr>
        <w:t>,</w:t>
      </w:r>
      <w:r w:rsidR="00526D5C" w:rsidRPr="00834B27">
        <w:rPr>
          <w:rFonts w:ascii="Calibri" w:hAnsi="Calibri" w:cs="Calibri"/>
          <w:lang w:val="ro-RO"/>
        </w:rPr>
        <w:t xml:space="preserve"> </w:t>
      </w:r>
      <w:r w:rsidR="002E377F" w:rsidRPr="00834B27">
        <w:rPr>
          <w:rFonts w:ascii="Calibri" w:hAnsi="Calibri" w:cs="Calibri"/>
          <w:lang w:val="ro-RO"/>
        </w:rPr>
        <w:t xml:space="preserve">, procent pe care îl considerăm </w:t>
      </w:r>
      <w:r w:rsidR="00715EED" w:rsidRPr="00834B27">
        <w:rPr>
          <w:rFonts w:ascii="Calibri" w:hAnsi="Calibri" w:cs="Calibri"/>
          <w:lang w:val="ro-RO"/>
        </w:rPr>
        <w:t>exagerat</w:t>
      </w:r>
      <w:r w:rsidR="00563539" w:rsidRPr="00834B27">
        <w:rPr>
          <w:rFonts w:ascii="Calibri" w:hAnsi="Calibri" w:cs="Calibri"/>
          <w:lang w:val="ro-RO"/>
        </w:rPr>
        <w:t xml:space="preserve"> de mare</w:t>
      </w:r>
      <w:r w:rsidR="00A25ECE" w:rsidRPr="00834B27">
        <w:rPr>
          <w:rFonts w:ascii="Calibri" w:hAnsi="Calibri" w:cs="Calibri"/>
          <w:lang w:val="ro-RO"/>
        </w:rPr>
        <w:t>.</w:t>
      </w:r>
    </w:p>
    <w:p w14:paraId="7F1893A0" w14:textId="478C16EB" w:rsidR="00A25ECE" w:rsidRPr="00834B27" w:rsidRDefault="00A25ECE" w:rsidP="009769ED">
      <w:pPr>
        <w:tabs>
          <w:tab w:val="left" w:pos="720"/>
        </w:tabs>
        <w:spacing w:line="276" w:lineRule="auto"/>
        <w:jc w:val="both"/>
        <w:rPr>
          <w:rFonts w:ascii="Calibri" w:hAnsi="Calibri" w:cs="Calibri"/>
          <w:lang w:val="ro-RO"/>
        </w:rPr>
      </w:pPr>
      <w:r w:rsidRPr="00834B27">
        <w:rPr>
          <w:rFonts w:ascii="Calibri" w:hAnsi="Calibri" w:cs="Calibri"/>
          <w:lang w:val="ro-RO"/>
        </w:rPr>
        <w:t xml:space="preserve">De remarcat </w:t>
      </w:r>
      <w:r w:rsidR="0003306E" w:rsidRPr="00834B27">
        <w:rPr>
          <w:rFonts w:ascii="Calibri" w:hAnsi="Calibri" w:cs="Calibri"/>
          <w:lang w:val="ro-RO"/>
        </w:rPr>
        <w:t>ș</w:t>
      </w:r>
      <w:r w:rsidRPr="00834B27">
        <w:rPr>
          <w:rFonts w:ascii="Calibri" w:hAnsi="Calibri" w:cs="Calibri"/>
          <w:lang w:val="ro-RO"/>
        </w:rPr>
        <w:t>i faptul c</w:t>
      </w:r>
      <w:r w:rsidR="0003306E" w:rsidRPr="00834B27">
        <w:rPr>
          <w:rFonts w:ascii="Calibri" w:hAnsi="Calibri" w:cs="Calibri"/>
          <w:lang w:val="ro-RO"/>
        </w:rPr>
        <w:t>ă</w:t>
      </w:r>
      <w:r w:rsidRPr="00834B27">
        <w:rPr>
          <w:rFonts w:ascii="Calibri" w:hAnsi="Calibri" w:cs="Calibri"/>
          <w:lang w:val="ro-RO"/>
        </w:rPr>
        <w:t xml:space="preserve"> veniturile totale declarate de cei </w:t>
      </w:r>
      <w:r w:rsidR="006F491A" w:rsidRPr="00834B27">
        <w:rPr>
          <w:rFonts w:ascii="Calibri" w:hAnsi="Calibri" w:cs="Calibri"/>
          <w:lang w:val="ro-RO"/>
        </w:rPr>
        <w:t>15.665 de</w:t>
      </w:r>
      <w:r w:rsidR="009C784F" w:rsidRPr="00834B27">
        <w:rPr>
          <w:rFonts w:ascii="Calibri" w:hAnsi="Calibri" w:cs="Calibri"/>
          <w:lang w:val="ro-RO"/>
        </w:rPr>
        <w:t xml:space="preserve"> contribuabili (</w:t>
      </w:r>
      <w:r w:rsidR="0064649E" w:rsidRPr="00834B27">
        <w:rPr>
          <w:rFonts w:ascii="Calibri" w:hAnsi="Calibri" w:cs="Calibri"/>
          <w:lang w:val="ro-RO"/>
        </w:rPr>
        <w:t xml:space="preserve">3,6% din total) </w:t>
      </w:r>
      <w:r w:rsidRPr="00834B27">
        <w:rPr>
          <w:rFonts w:ascii="Calibri" w:hAnsi="Calibri" w:cs="Calibri"/>
          <w:lang w:val="ro-RO"/>
        </w:rPr>
        <w:t>din ultima tran</w:t>
      </w:r>
      <w:r w:rsidR="0003306E" w:rsidRPr="00834B27">
        <w:rPr>
          <w:rFonts w:ascii="Calibri" w:hAnsi="Calibri" w:cs="Calibri"/>
          <w:lang w:val="ro-RO"/>
        </w:rPr>
        <w:t>șă</w:t>
      </w:r>
      <w:r w:rsidRPr="00834B27">
        <w:rPr>
          <w:rFonts w:ascii="Calibri" w:hAnsi="Calibri" w:cs="Calibri"/>
          <w:lang w:val="ro-RO"/>
        </w:rPr>
        <w:t xml:space="preserve"> (</w:t>
      </w:r>
      <w:r w:rsidR="006F491A" w:rsidRPr="00834B27">
        <w:rPr>
          <w:rFonts w:ascii="Calibri" w:hAnsi="Calibri" w:cs="Calibri"/>
          <w:lang w:val="ro-RO"/>
        </w:rPr>
        <w:t xml:space="preserve">&gt;341.000 lei) </w:t>
      </w:r>
      <w:r w:rsidR="0003306E" w:rsidRPr="00834B27">
        <w:rPr>
          <w:rFonts w:ascii="Calibri" w:hAnsi="Calibri" w:cs="Calibri"/>
          <w:lang w:val="ro-RO"/>
        </w:rPr>
        <w:t>reprezintă</w:t>
      </w:r>
      <w:r w:rsidR="006F491A" w:rsidRPr="00834B27">
        <w:rPr>
          <w:rFonts w:ascii="Calibri" w:hAnsi="Calibri" w:cs="Calibri"/>
          <w:lang w:val="ro-RO"/>
        </w:rPr>
        <w:t xml:space="preserve"> </w:t>
      </w:r>
      <w:r w:rsidR="002026FF" w:rsidRPr="00834B27">
        <w:rPr>
          <w:rFonts w:ascii="Calibri" w:hAnsi="Calibri" w:cs="Calibri"/>
          <w:lang w:val="ro-RO"/>
        </w:rPr>
        <w:t xml:space="preserve">peste </w:t>
      </w:r>
      <w:r w:rsidR="0003306E" w:rsidRPr="00834B27">
        <w:rPr>
          <w:rFonts w:ascii="Calibri" w:hAnsi="Calibri" w:cs="Calibri"/>
          <w:lang w:val="ro-RO"/>
        </w:rPr>
        <w:t>jumătate</w:t>
      </w:r>
      <w:r w:rsidR="00DF7594" w:rsidRPr="00834B27">
        <w:rPr>
          <w:rFonts w:ascii="Calibri" w:hAnsi="Calibri" w:cs="Calibri"/>
          <w:lang w:val="ro-RO"/>
        </w:rPr>
        <w:t xml:space="preserve"> (51,4%) din suma tuturor veniturilor dec</w:t>
      </w:r>
      <w:r w:rsidR="00294FEC" w:rsidRPr="00834B27">
        <w:rPr>
          <w:rFonts w:ascii="Calibri" w:hAnsi="Calibri" w:cs="Calibri"/>
          <w:lang w:val="ro-RO"/>
        </w:rPr>
        <w:t xml:space="preserve">larate. </w:t>
      </w:r>
    </w:p>
    <w:p w14:paraId="2B975B44" w14:textId="77777777" w:rsidR="0057690D" w:rsidRPr="00834B27" w:rsidRDefault="0057690D" w:rsidP="009769ED">
      <w:pPr>
        <w:tabs>
          <w:tab w:val="left" w:pos="720"/>
        </w:tabs>
        <w:spacing w:line="276" w:lineRule="auto"/>
        <w:jc w:val="both"/>
        <w:rPr>
          <w:rFonts w:ascii="Calibri" w:hAnsi="Calibri" w:cs="Calibri"/>
          <w:lang w:val="ro-RO"/>
        </w:rPr>
      </w:pPr>
    </w:p>
    <w:p w14:paraId="6F12F83A" w14:textId="1A3BCF0A" w:rsidR="00890DED" w:rsidRPr="00834B27" w:rsidRDefault="00C93CCF" w:rsidP="00B43347">
      <w:pPr>
        <w:pStyle w:val="Listparagraf"/>
        <w:numPr>
          <w:ilvl w:val="6"/>
          <w:numId w:val="23"/>
        </w:numPr>
        <w:spacing w:line="276" w:lineRule="auto"/>
        <w:ind w:left="1260" w:hanging="540"/>
        <w:jc w:val="both"/>
        <w:rPr>
          <w:rFonts w:ascii="Calibri" w:hAnsi="Calibri" w:cs="Calibri"/>
          <w:b/>
          <w:bCs/>
          <w:lang w:val="ro-RO"/>
        </w:rPr>
      </w:pPr>
      <w:r w:rsidRPr="00834B27">
        <w:rPr>
          <w:rFonts w:ascii="Calibri" w:hAnsi="Calibri" w:cs="Calibri"/>
          <w:b/>
          <w:bCs/>
          <w:lang w:val="ro-RO"/>
        </w:rPr>
        <w:t xml:space="preserve"> </w:t>
      </w:r>
      <w:r w:rsidR="00814F35" w:rsidRPr="00834B27">
        <w:rPr>
          <w:rFonts w:ascii="Calibri" w:hAnsi="Calibri" w:cs="Calibri"/>
          <w:b/>
          <w:bCs/>
          <w:lang w:val="ro-RO"/>
        </w:rPr>
        <w:t xml:space="preserve">Venituri din cedarea </w:t>
      </w:r>
      <w:r w:rsidR="0003306E" w:rsidRPr="00834B27">
        <w:rPr>
          <w:rFonts w:ascii="Calibri" w:hAnsi="Calibri" w:cs="Calibri"/>
          <w:b/>
          <w:bCs/>
          <w:lang w:val="ro-RO"/>
        </w:rPr>
        <w:t>folosin</w:t>
      </w:r>
      <w:r w:rsidR="00D77C4B" w:rsidRPr="00834B27">
        <w:rPr>
          <w:rFonts w:ascii="Calibri" w:hAnsi="Calibri" w:cs="Calibri"/>
          <w:b/>
          <w:bCs/>
          <w:lang w:val="ro-RO"/>
        </w:rPr>
        <w:t>ț</w:t>
      </w:r>
      <w:r w:rsidR="0003306E" w:rsidRPr="00834B27">
        <w:rPr>
          <w:rFonts w:ascii="Calibri" w:hAnsi="Calibri" w:cs="Calibri"/>
          <w:b/>
          <w:bCs/>
          <w:lang w:val="ro-RO"/>
        </w:rPr>
        <w:t>ei</w:t>
      </w:r>
      <w:r w:rsidR="00814F35" w:rsidRPr="00834B27">
        <w:rPr>
          <w:rFonts w:ascii="Calibri" w:hAnsi="Calibri" w:cs="Calibri"/>
          <w:b/>
          <w:bCs/>
          <w:lang w:val="ro-RO"/>
        </w:rPr>
        <w:t xml:space="preserve"> bunurilor</w:t>
      </w:r>
    </w:p>
    <w:p w14:paraId="0B54348C" w14:textId="374E6173" w:rsidR="00A45352" w:rsidRPr="00834B27" w:rsidRDefault="00814F35" w:rsidP="009769ED">
      <w:pPr>
        <w:tabs>
          <w:tab w:val="left" w:pos="720"/>
        </w:tabs>
        <w:spacing w:line="276" w:lineRule="auto"/>
        <w:jc w:val="both"/>
        <w:rPr>
          <w:rFonts w:ascii="Calibri" w:hAnsi="Calibri" w:cs="Calibri"/>
          <w:lang w:val="ro-RO"/>
        </w:rPr>
      </w:pPr>
      <w:r w:rsidRPr="00834B27">
        <w:rPr>
          <w:rFonts w:ascii="Calibri" w:hAnsi="Calibri" w:cs="Calibri"/>
          <w:lang w:val="ro-RO"/>
        </w:rPr>
        <w:t>Aici</w:t>
      </w:r>
      <w:r w:rsidR="00A34687" w:rsidRPr="00834B27">
        <w:rPr>
          <w:rFonts w:ascii="Calibri" w:hAnsi="Calibri" w:cs="Calibri"/>
          <w:lang w:val="ro-RO"/>
        </w:rPr>
        <w:t xml:space="preserve"> avem o </w:t>
      </w:r>
      <w:r w:rsidR="0003306E" w:rsidRPr="00834B27">
        <w:rPr>
          <w:rFonts w:ascii="Calibri" w:hAnsi="Calibri" w:cs="Calibri"/>
          <w:lang w:val="ro-RO"/>
        </w:rPr>
        <w:t>situa</w:t>
      </w:r>
      <w:r w:rsidR="00D77C4B" w:rsidRPr="00834B27">
        <w:rPr>
          <w:rFonts w:ascii="Calibri" w:hAnsi="Calibri" w:cs="Calibri"/>
          <w:lang w:val="ro-RO"/>
        </w:rPr>
        <w:t>ț</w:t>
      </w:r>
      <w:r w:rsidR="0003306E" w:rsidRPr="00834B27">
        <w:rPr>
          <w:rFonts w:ascii="Calibri" w:hAnsi="Calibri" w:cs="Calibri"/>
          <w:lang w:val="ro-RO"/>
        </w:rPr>
        <w:t>ie</w:t>
      </w:r>
      <w:r w:rsidR="00A34687" w:rsidRPr="00834B27">
        <w:rPr>
          <w:rFonts w:ascii="Calibri" w:hAnsi="Calibri" w:cs="Calibri"/>
          <w:lang w:val="ro-RO"/>
        </w:rPr>
        <w:t xml:space="preserve"> </w:t>
      </w:r>
      <w:r w:rsidR="0003306E" w:rsidRPr="00834B27">
        <w:rPr>
          <w:rFonts w:ascii="Calibri" w:hAnsi="Calibri" w:cs="Calibri"/>
          <w:lang w:val="ro-RO"/>
        </w:rPr>
        <w:t>î</w:t>
      </w:r>
      <w:r w:rsidR="00674B0A" w:rsidRPr="00834B27">
        <w:rPr>
          <w:rFonts w:ascii="Calibri" w:hAnsi="Calibri" w:cs="Calibri"/>
          <w:lang w:val="ro-RO"/>
        </w:rPr>
        <w:t xml:space="preserve">n </w:t>
      </w:r>
      <w:r w:rsidR="0003306E" w:rsidRPr="00834B27">
        <w:rPr>
          <w:rFonts w:ascii="Calibri" w:hAnsi="Calibri" w:cs="Calibri"/>
          <w:lang w:val="ro-RO"/>
        </w:rPr>
        <w:t>același</w:t>
      </w:r>
      <w:r w:rsidR="00674B0A" w:rsidRPr="00834B27">
        <w:rPr>
          <w:rFonts w:ascii="Calibri" w:hAnsi="Calibri" w:cs="Calibri"/>
          <w:lang w:val="ro-RO"/>
        </w:rPr>
        <w:t xml:space="preserve"> timp similar</w:t>
      </w:r>
      <w:r w:rsidR="0003306E" w:rsidRPr="00834B27">
        <w:rPr>
          <w:rFonts w:ascii="Calibri" w:hAnsi="Calibri" w:cs="Calibri"/>
          <w:lang w:val="ro-RO"/>
        </w:rPr>
        <w:t>ă, dar</w:t>
      </w:r>
      <w:r w:rsidR="00674B0A" w:rsidRPr="00834B27">
        <w:rPr>
          <w:rFonts w:ascii="Calibri" w:hAnsi="Calibri" w:cs="Calibri"/>
          <w:lang w:val="ro-RO"/>
        </w:rPr>
        <w:t xml:space="preserve"> </w:t>
      </w:r>
      <w:r w:rsidR="0003306E" w:rsidRPr="00834B27">
        <w:rPr>
          <w:rFonts w:ascii="Calibri" w:hAnsi="Calibri" w:cs="Calibri"/>
          <w:lang w:val="ro-RO"/>
        </w:rPr>
        <w:t>ș</w:t>
      </w:r>
      <w:r w:rsidR="00674B0A" w:rsidRPr="00834B27">
        <w:rPr>
          <w:rFonts w:ascii="Calibri" w:hAnsi="Calibri" w:cs="Calibri"/>
          <w:lang w:val="ro-RO"/>
        </w:rPr>
        <w:t>i diferit</w:t>
      </w:r>
      <w:r w:rsidR="0003306E" w:rsidRPr="00834B27">
        <w:rPr>
          <w:rFonts w:ascii="Calibri" w:hAnsi="Calibri" w:cs="Calibri"/>
          <w:lang w:val="ro-RO"/>
        </w:rPr>
        <w:t>ă</w:t>
      </w:r>
      <w:r w:rsidR="00674B0A" w:rsidRPr="00834B27">
        <w:rPr>
          <w:rFonts w:ascii="Calibri" w:hAnsi="Calibri" w:cs="Calibri"/>
          <w:lang w:val="ro-RO"/>
        </w:rPr>
        <w:t xml:space="preserve"> de ce</w:t>
      </w:r>
      <w:r w:rsidR="0003306E" w:rsidRPr="00834B27">
        <w:rPr>
          <w:rFonts w:ascii="Calibri" w:hAnsi="Calibri" w:cs="Calibri"/>
          <w:lang w:val="ro-RO"/>
        </w:rPr>
        <w:t>a</w:t>
      </w:r>
      <w:r w:rsidR="00674B0A" w:rsidRPr="00834B27">
        <w:rPr>
          <w:rFonts w:ascii="Calibri" w:hAnsi="Calibri" w:cs="Calibri"/>
          <w:lang w:val="ro-RO"/>
        </w:rPr>
        <w:t xml:space="preserve"> observat</w:t>
      </w:r>
      <w:r w:rsidR="0003306E" w:rsidRPr="00834B27">
        <w:rPr>
          <w:rFonts w:ascii="Calibri" w:hAnsi="Calibri" w:cs="Calibri"/>
          <w:lang w:val="ro-RO"/>
        </w:rPr>
        <w:t>ă</w:t>
      </w:r>
      <w:r w:rsidR="00674B0A" w:rsidRPr="00834B27">
        <w:rPr>
          <w:rFonts w:ascii="Calibri" w:hAnsi="Calibri" w:cs="Calibri"/>
          <w:lang w:val="ro-RO"/>
        </w:rPr>
        <w:t xml:space="preserve"> </w:t>
      </w:r>
      <w:r w:rsidR="0003306E" w:rsidRPr="00834B27">
        <w:rPr>
          <w:rFonts w:ascii="Calibri" w:hAnsi="Calibri" w:cs="Calibri"/>
          <w:lang w:val="ro-RO"/>
        </w:rPr>
        <w:t>î</w:t>
      </w:r>
      <w:r w:rsidR="00674B0A" w:rsidRPr="00834B27">
        <w:rPr>
          <w:rFonts w:ascii="Calibri" w:hAnsi="Calibri" w:cs="Calibri"/>
          <w:lang w:val="ro-RO"/>
        </w:rPr>
        <w:t xml:space="preserve">n cazul veniturilor din </w:t>
      </w:r>
      <w:r w:rsidR="0003306E" w:rsidRPr="00834B27">
        <w:rPr>
          <w:rFonts w:ascii="Calibri" w:hAnsi="Calibri" w:cs="Calibri"/>
          <w:lang w:val="ro-RO"/>
        </w:rPr>
        <w:t>activită</w:t>
      </w:r>
      <w:r w:rsidR="00D77C4B" w:rsidRPr="00834B27">
        <w:rPr>
          <w:rFonts w:ascii="Calibri" w:hAnsi="Calibri" w:cs="Calibri"/>
          <w:lang w:val="ro-RO"/>
        </w:rPr>
        <w:t>ț</w:t>
      </w:r>
      <w:r w:rsidR="0003306E" w:rsidRPr="00834B27">
        <w:rPr>
          <w:rFonts w:ascii="Calibri" w:hAnsi="Calibri" w:cs="Calibri"/>
          <w:lang w:val="ro-RO"/>
        </w:rPr>
        <w:t>i</w:t>
      </w:r>
      <w:r w:rsidR="00674B0A" w:rsidRPr="00834B27">
        <w:rPr>
          <w:rFonts w:ascii="Calibri" w:hAnsi="Calibri" w:cs="Calibri"/>
          <w:lang w:val="ro-RO"/>
        </w:rPr>
        <w:t xml:space="preserve"> independente</w:t>
      </w:r>
      <w:r w:rsidR="007F1061" w:rsidRPr="00834B27">
        <w:rPr>
          <w:rFonts w:ascii="Calibri" w:hAnsi="Calibri" w:cs="Calibri"/>
          <w:lang w:val="ro-RO"/>
        </w:rPr>
        <w:t>:</w:t>
      </w:r>
    </w:p>
    <w:p w14:paraId="54DADC32" w14:textId="4FD0463E" w:rsidR="007F1061" w:rsidRPr="00834B27" w:rsidRDefault="007F1061" w:rsidP="007F1061">
      <w:pPr>
        <w:pStyle w:val="Listparagraf"/>
        <w:numPr>
          <w:ilvl w:val="0"/>
          <w:numId w:val="1"/>
        </w:numPr>
        <w:tabs>
          <w:tab w:val="left" w:pos="720"/>
        </w:tabs>
        <w:spacing w:line="276" w:lineRule="auto"/>
        <w:contextualSpacing w:val="0"/>
        <w:jc w:val="both"/>
        <w:rPr>
          <w:rFonts w:ascii="Calibri" w:hAnsi="Calibri" w:cs="Calibri"/>
          <w:lang w:val="ro-RO"/>
        </w:rPr>
      </w:pPr>
      <w:r w:rsidRPr="00834B27">
        <w:rPr>
          <w:rFonts w:ascii="Calibri" w:hAnsi="Calibri" w:cs="Calibri"/>
          <w:lang w:val="ro-RO"/>
        </w:rPr>
        <w:t>Este similar</w:t>
      </w:r>
      <w:r w:rsidR="0003306E" w:rsidRPr="00834B27">
        <w:rPr>
          <w:rFonts w:ascii="Calibri" w:hAnsi="Calibri" w:cs="Calibri"/>
          <w:lang w:val="ro-RO"/>
        </w:rPr>
        <w:t>ă</w:t>
      </w:r>
      <w:r w:rsidRPr="00834B27">
        <w:rPr>
          <w:rFonts w:ascii="Calibri" w:hAnsi="Calibri" w:cs="Calibri"/>
          <w:lang w:val="ro-RO"/>
        </w:rPr>
        <w:t xml:space="preserve"> pentru </w:t>
      </w:r>
      <w:r w:rsidR="0003306E" w:rsidRPr="00834B27">
        <w:rPr>
          <w:rFonts w:ascii="Calibri" w:hAnsi="Calibri" w:cs="Calibri"/>
          <w:lang w:val="ro-RO"/>
        </w:rPr>
        <w:t>că,</w:t>
      </w:r>
      <w:r w:rsidRPr="00834B27">
        <w:rPr>
          <w:rFonts w:ascii="Calibri" w:hAnsi="Calibri" w:cs="Calibri"/>
          <w:lang w:val="ro-RO"/>
        </w:rPr>
        <w:t xml:space="preserve"> </w:t>
      </w:r>
      <w:r w:rsidR="0003306E" w:rsidRPr="00834B27">
        <w:rPr>
          <w:rFonts w:ascii="Calibri" w:hAnsi="Calibri" w:cs="Calibri"/>
          <w:lang w:val="ro-RO"/>
        </w:rPr>
        <w:t>î</w:t>
      </w:r>
      <w:r w:rsidRPr="00834B27">
        <w:rPr>
          <w:rFonts w:ascii="Calibri" w:hAnsi="Calibri" w:cs="Calibri"/>
          <w:lang w:val="ro-RO"/>
        </w:rPr>
        <w:t>n prima tran</w:t>
      </w:r>
      <w:r w:rsidR="0003306E" w:rsidRPr="00834B27">
        <w:rPr>
          <w:rFonts w:ascii="Calibri" w:hAnsi="Calibri" w:cs="Calibri"/>
          <w:lang w:val="ro-RO"/>
        </w:rPr>
        <w:t>șă</w:t>
      </w:r>
      <w:r w:rsidRPr="00834B27">
        <w:rPr>
          <w:rFonts w:ascii="Calibri" w:hAnsi="Calibri" w:cs="Calibri"/>
          <w:lang w:val="ro-RO"/>
        </w:rPr>
        <w:t xml:space="preserve"> de venit (</w:t>
      </w:r>
      <w:r w:rsidR="00F06B05" w:rsidRPr="00834B27">
        <w:rPr>
          <w:rFonts w:ascii="Calibri" w:hAnsi="Calibri" w:cs="Calibri"/>
          <w:lang w:val="ro-RO"/>
        </w:rPr>
        <w:t>&lt;24.300 lei) avem</w:t>
      </w:r>
      <w:r w:rsidR="002A1982" w:rsidRPr="00834B27">
        <w:rPr>
          <w:rFonts w:ascii="Calibri" w:hAnsi="Calibri" w:cs="Calibri"/>
          <w:lang w:val="ro-RO"/>
        </w:rPr>
        <w:t xml:space="preserve"> din nou un </w:t>
      </w:r>
      <w:r w:rsidR="0003306E" w:rsidRPr="00834B27">
        <w:rPr>
          <w:rFonts w:ascii="Calibri" w:hAnsi="Calibri" w:cs="Calibri"/>
          <w:lang w:val="ro-RO"/>
        </w:rPr>
        <w:t>număr</w:t>
      </w:r>
      <w:r w:rsidR="002A1982" w:rsidRPr="00834B27">
        <w:rPr>
          <w:rFonts w:ascii="Calibri" w:hAnsi="Calibri" w:cs="Calibri"/>
          <w:lang w:val="ro-RO"/>
        </w:rPr>
        <w:t xml:space="preserve"> imens de contribuabili (</w:t>
      </w:r>
      <w:r w:rsidR="00843E42" w:rsidRPr="00834B27">
        <w:rPr>
          <w:rFonts w:ascii="Calibri" w:hAnsi="Calibri" w:cs="Calibri"/>
          <w:lang w:val="ro-RO"/>
        </w:rPr>
        <w:t xml:space="preserve">82% din 301.000) </w:t>
      </w:r>
      <w:r w:rsidR="0003306E" w:rsidRPr="00834B27">
        <w:rPr>
          <w:rFonts w:ascii="Calibri" w:hAnsi="Calibri" w:cs="Calibri"/>
          <w:lang w:val="ro-RO"/>
        </w:rPr>
        <w:t>ș</w:t>
      </w:r>
      <w:r w:rsidR="00843E42" w:rsidRPr="00834B27">
        <w:rPr>
          <w:rFonts w:ascii="Calibri" w:hAnsi="Calibri" w:cs="Calibri"/>
          <w:lang w:val="ro-RO"/>
        </w:rPr>
        <w:t>i</w:t>
      </w:r>
      <w:r w:rsidR="0003306E" w:rsidRPr="00834B27">
        <w:rPr>
          <w:rFonts w:ascii="Calibri" w:hAnsi="Calibri" w:cs="Calibri"/>
          <w:lang w:val="ro-RO"/>
        </w:rPr>
        <w:t>,</w:t>
      </w:r>
      <w:r w:rsidR="00843E42" w:rsidRPr="00834B27">
        <w:rPr>
          <w:rFonts w:ascii="Calibri" w:hAnsi="Calibri" w:cs="Calibri"/>
          <w:lang w:val="ro-RO"/>
        </w:rPr>
        <w:t xml:space="preserve"> </w:t>
      </w:r>
      <w:r w:rsidR="0003306E" w:rsidRPr="00834B27">
        <w:rPr>
          <w:rFonts w:ascii="Calibri" w:hAnsi="Calibri" w:cs="Calibri"/>
          <w:lang w:val="ro-RO"/>
        </w:rPr>
        <w:t>de asemenea,</w:t>
      </w:r>
      <w:r w:rsidR="00843E42" w:rsidRPr="00834B27">
        <w:rPr>
          <w:rFonts w:ascii="Calibri" w:hAnsi="Calibri" w:cs="Calibri"/>
          <w:lang w:val="ro-RO"/>
        </w:rPr>
        <w:t xml:space="preserve"> un venit declarat nerezonabil de mic </w:t>
      </w:r>
      <w:r w:rsidR="00103D74" w:rsidRPr="00834B27">
        <w:rPr>
          <w:rFonts w:ascii="Calibri" w:hAnsi="Calibri" w:cs="Calibri"/>
          <w:lang w:val="ro-RO"/>
        </w:rPr>
        <w:t>(</w:t>
      </w:r>
      <w:r w:rsidR="0029144C" w:rsidRPr="00834B27">
        <w:rPr>
          <w:rFonts w:ascii="Calibri" w:hAnsi="Calibri" w:cs="Calibri"/>
          <w:b/>
          <w:bCs/>
          <w:lang w:val="ro-RO"/>
        </w:rPr>
        <w:t>160 euro/lun</w:t>
      </w:r>
      <w:r w:rsidR="0003306E" w:rsidRPr="00834B27">
        <w:rPr>
          <w:rFonts w:ascii="Calibri" w:hAnsi="Calibri" w:cs="Calibri"/>
          <w:b/>
          <w:bCs/>
          <w:lang w:val="ro-RO"/>
        </w:rPr>
        <w:t>ă</w:t>
      </w:r>
      <w:r w:rsidR="0029144C" w:rsidRPr="00834B27">
        <w:rPr>
          <w:rFonts w:ascii="Calibri" w:hAnsi="Calibri" w:cs="Calibri"/>
          <w:lang w:val="ro-RO"/>
        </w:rPr>
        <w:t xml:space="preserve">, </w:t>
      </w:r>
      <w:r w:rsidR="0003306E" w:rsidRPr="00834B27">
        <w:rPr>
          <w:rFonts w:ascii="Calibri" w:hAnsi="Calibri" w:cs="Calibri"/>
          <w:lang w:val="ro-RO"/>
        </w:rPr>
        <w:t>î</w:t>
      </w:r>
      <w:r w:rsidR="0029144C" w:rsidRPr="00834B27">
        <w:rPr>
          <w:rFonts w:ascii="Calibri" w:hAnsi="Calibri" w:cs="Calibri"/>
          <w:lang w:val="ro-RO"/>
        </w:rPr>
        <w:t xml:space="preserve">n medie, </w:t>
      </w:r>
      <w:r w:rsidR="0003306E" w:rsidRPr="00834B27">
        <w:rPr>
          <w:rFonts w:ascii="Calibri" w:hAnsi="Calibri" w:cs="Calibri"/>
          <w:lang w:val="ro-RO"/>
        </w:rPr>
        <w:t>î</w:t>
      </w:r>
      <w:r w:rsidR="0029144C" w:rsidRPr="00834B27">
        <w:rPr>
          <w:rFonts w:ascii="Calibri" w:hAnsi="Calibri" w:cs="Calibri"/>
          <w:lang w:val="ro-RO"/>
        </w:rPr>
        <w:t xml:space="preserve">n contextul </w:t>
      </w:r>
      <w:r w:rsidR="0003306E" w:rsidRPr="00834B27">
        <w:rPr>
          <w:rFonts w:ascii="Calibri" w:hAnsi="Calibri" w:cs="Calibri"/>
          <w:lang w:val="ro-RO"/>
        </w:rPr>
        <w:t>î</w:t>
      </w:r>
      <w:r w:rsidR="0029144C" w:rsidRPr="00834B27">
        <w:rPr>
          <w:rFonts w:ascii="Calibri" w:hAnsi="Calibri" w:cs="Calibri"/>
          <w:lang w:val="ro-RO"/>
        </w:rPr>
        <w:t xml:space="preserve">n care nici </w:t>
      </w:r>
      <w:r w:rsidR="0003306E" w:rsidRPr="00834B27">
        <w:rPr>
          <w:rFonts w:ascii="Calibri" w:hAnsi="Calibri" w:cs="Calibri"/>
          <w:lang w:val="ro-RO"/>
        </w:rPr>
        <w:t>măcar</w:t>
      </w:r>
      <w:r w:rsidR="0029144C" w:rsidRPr="00834B27">
        <w:rPr>
          <w:rFonts w:ascii="Calibri" w:hAnsi="Calibri" w:cs="Calibri"/>
          <w:lang w:val="ro-RO"/>
        </w:rPr>
        <w:t xml:space="preserve"> o garsonier</w:t>
      </w:r>
      <w:r w:rsidR="0003306E" w:rsidRPr="00834B27">
        <w:rPr>
          <w:rFonts w:ascii="Calibri" w:hAnsi="Calibri" w:cs="Calibri"/>
          <w:lang w:val="ro-RO"/>
        </w:rPr>
        <w:t>ă</w:t>
      </w:r>
      <w:r w:rsidR="0029144C" w:rsidRPr="00834B27">
        <w:rPr>
          <w:rFonts w:ascii="Calibri" w:hAnsi="Calibri" w:cs="Calibri"/>
          <w:lang w:val="ro-RO"/>
        </w:rPr>
        <w:t xml:space="preserve"> nu poate fi </w:t>
      </w:r>
      <w:r w:rsidR="0003306E" w:rsidRPr="00834B27">
        <w:rPr>
          <w:rFonts w:ascii="Calibri" w:hAnsi="Calibri" w:cs="Calibri"/>
          <w:lang w:val="ro-RO"/>
        </w:rPr>
        <w:t>închiriată</w:t>
      </w:r>
      <w:r w:rsidR="0029144C" w:rsidRPr="00834B27">
        <w:rPr>
          <w:rFonts w:ascii="Calibri" w:hAnsi="Calibri" w:cs="Calibri"/>
          <w:lang w:val="ro-RO"/>
        </w:rPr>
        <w:t xml:space="preserve"> </w:t>
      </w:r>
      <w:r w:rsidR="00087DCB" w:rsidRPr="00834B27">
        <w:rPr>
          <w:rFonts w:ascii="Calibri" w:hAnsi="Calibri" w:cs="Calibri"/>
          <w:lang w:val="ro-RO"/>
        </w:rPr>
        <w:t>la acest nivel</w:t>
      </w:r>
      <w:r w:rsidR="00EA2F53" w:rsidRPr="00834B27">
        <w:rPr>
          <w:rFonts w:ascii="Calibri" w:hAnsi="Calibri" w:cs="Calibri"/>
          <w:lang w:val="ro-RO"/>
        </w:rPr>
        <w:t xml:space="preserve">, nici </w:t>
      </w:r>
      <w:r w:rsidR="0003306E" w:rsidRPr="00834B27">
        <w:rPr>
          <w:rFonts w:ascii="Calibri" w:hAnsi="Calibri" w:cs="Calibri"/>
          <w:lang w:val="ro-RO"/>
        </w:rPr>
        <w:t>măcar</w:t>
      </w:r>
      <w:r w:rsidR="00EA2F53" w:rsidRPr="00834B27">
        <w:rPr>
          <w:rFonts w:ascii="Calibri" w:hAnsi="Calibri" w:cs="Calibri"/>
          <w:lang w:val="ro-RO"/>
        </w:rPr>
        <w:t xml:space="preserve"> </w:t>
      </w:r>
      <w:r w:rsidR="0003306E" w:rsidRPr="00834B27">
        <w:rPr>
          <w:rFonts w:ascii="Calibri" w:hAnsi="Calibri" w:cs="Calibri"/>
          <w:lang w:val="ro-RO"/>
        </w:rPr>
        <w:t>î</w:t>
      </w:r>
      <w:r w:rsidR="00EA2F53" w:rsidRPr="00834B27">
        <w:rPr>
          <w:rFonts w:ascii="Calibri" w:hAnsi="Calibri" w:cs="Calibri"/>
          <w:lang w:val="ro-RO"/>
        </w:rPr>
        <w:t xml:space="preserve">n </w:t>
      </w:r>
      <w:r w:rsidR="0003306E" w:rsidRPr="00834B27">
        <w:rPr>
          <w:rFonts w:ascii="Calibri" w:hAnsi="Calibri" w:cs="Calibri"/>
          <w:lang w:val="ro-RO"/>
        </w:rPr>
        <w:t>orașele</w:t>
      </w:r>
      <w:r w:rsidR="00EA2F53" w:rsidRPr="00834B27">
        <w:rPr>
          <w:rFonts w:ascii="Calibri" w:hAnsi="Calibri" w:cs="Calibri"/>
          <w:lang w:val="ro-RO"/>
        </w:rPr>
        <w:t xml:space="preserve"> </w:t>
      </w:r>
      <w:r w:rsidR="00264003" w:rsidRPr="00834B27">
        <w:rPr>
          <w:rFonts w:ascii="Calibri" w:hAnsi="Calibri" w:cs="Calibri"/>
          <w:lang w:val="ro-RO"/>
        </w:rPr>
        <w:t>mici</w:t>
      </w:r>
      <w:r w:rsidR="000935B6" w:rsidRPr="00834B27">
        <w:rPr>
          <w:rFonts w:ascii="Calibri" w:hAnsi="Calibri" w:cs="Calibri"/>
          <w:lang w:val="ro-RO"/>
        </w:rPr>
        <w:t>)</w:t>
      </w:r>
      <w:r w:rsidR="00BF0E1A" w:rsidRPr="00834B27">
        <w:rPr>
          <w:rFonts w:ascii="Calibri" w:hAnsi="Calibri" w:cs="Calibri"/>
          <w:lang w:val="ro-RO"/>
        </w:rPr>
        <w:t xml:space="preserve">, chiar dacă unele din aceste venituri anuale mici ar putea fi justificate </w:t>
      </w:r>
      <w:r w:rsidR="00924DAC" w:rsidRPr="00834B27">
        <w:rPr>
          <w:rFonts w:ascii="Calibri" w:hAnsi="Calibri" w:cs="Calibri"/>
          <w:lang w:val="ro-RO"/>
        </w:rPr>
        <w:t>prin închirierea pe durate mai scurte de 12 luni</w:t>
      </w:r>
      <w:r w:rsidR="000935B6" w:rsidRPr="00834B27">
        <w:rPr>
          <w:rFonts w:ascii="Calibri" w:hAnsi="Calibri" w:cs="Calibri"/>
          <w:lang w:val="ro-RO"/>
        </w:rPr>
        <w:t>;</w:t>
      </w:r>
    </w:p>
    <w:p w14:paraId="7F0D40FA" w14:textId="117A7590" w:rsidR="000935B6" w:rsidRPr="00834B27" w:rsidRDefault="000935B6" w:rsidP="007F1061">
      <w:pPr>
        <w:pStyle w:val="Listparagraf"/>
        <w:numPr>
          <w:ilvl w:val="0"/>
          <w:numId w:val="1"/>
        </w:numPr>
        <w:tabs>
          <w:tab w:val="left" w:pos="720"/>
        </w:tabs>
        <w:spacing w:line="276" w:lineRule="auto"/>
        <w:contextualSpacing w:val="0"/>
        <w:jc w:val="both"/>
        <w:rPr>
          <w:rFonts w:ascii="Calibri" w:hAnsi="Calibri" w:cs="Calibri"/>
          <w:lang w:val="ro-RO"/>
        </w:rPr>
      </w:pPr>
      <w:r w:rsidRPr="00834B27">
        <w:rPr>
          <w:rFonts w:ascii="Calibri" w:hAnsi="Calibri" w:cs="Calibri"/>
          <w:lang w:val="ro-RO"/>
        </w:rPr>
        <w:t>Este diferit</w:t>
      </w:r>
      <w:r w:rsidR="0003306E" w:rsidRPr="00834B27">
        <w:rPr>
          <w:rFonts w:ascii="Calibri" w:hAnsi="Calibri" w:cs="Calibri"/>
          <w:lang w:val="ro-RO"/>
        </w:rPr>
        <w:t>ă</w:t>
      </w:r>
      <w:r w:rsidRPr="00834B27">
        <w:rPr>
          <w:rFonts w:ascii="Calibri" w:hAnsi="Calibri" w:cs="Calibri"/>
          <w:lang w:val="ro-RO"/>
        </w:rPr>
        <w:t>, pentru c</w:t>
      </w:r>
      <w:r w:rsidR="0003306E" w:rsidRPr="00834B27">
        <w:rPr>
          <w:rFonts w:ascii="Calibri" w:hAnsi="Calibri" w:cs="Calibri"/>
          <w:lang w:val="ro-RO"/>
        </w:rPr>
        <w:t>ă</w:t>
      </w:r>
      <w:r w:rsidRPr="00834B27">
        <w:rPr>
          <w:rFonts w:ascii="Calibri" w:hAnsi="Calibri" w:cs="Calibri"/>
          <w:lang w:val="ro-RO"/>
        </w:rPr>
        <w:t xml:space="preserve"> ponderea veniturilor </w:t>
      </w:r>
      <w:r w:rsidR="0009087B" w:rsidRPr="00834B27">
        <w:rPr>
          <w:rFonts w:ascii="Calibri" w:hAnsi="Calibri" w:cs="Calibri"/>
          <w:lang w:val="ro-RO"/>
        </w:rPr>
        <w:t xml:space="preserve">declarate </w:t>
      </w:r>
      <w:r w:rsidR="0003306E" w:rsidRPr="00834B27">
        <w:rPr>
          <w:rFonts w:ascii="Calibri" w:hAnsi="Calibri" w:cs="Calibri"/>
          <w:lang w:val="ro-RO"/>
        </w:rPr>
        <w:t>î</w:t>
      </w:r>
      <w:r w:rsidR="0009087B" w:rsidRPr="00834B27">
        <w:rPr>
          <w:rFonts w:ascii="Calibri" w:hAnsi="Calibri" w:cs="Calibri"/>
          <w:lang w:val="ro-RO"/>
        </w:rPr>
        <w:t>n prima tran</w:t>
      </w:r>
      <w:r w:rsidR="0003306E" w:rsidRPr="00834B27">
        <w:rPr>
          <w:rFonts w:ascii="Calibri" w:hAnsi="Calibri" w:cs="Calibri"/>
          <w:lang w:val="ro-RO"/>
        </w:rPr>
        <w:t>șă</w:t>
      </w:r>
      <w:r w:rsidR="0009087B" w:rsidRPr="00834B27">
        <w:rPr>
          <w:rFonts w:ascii="Calibri" w:hAnsi="Calibri" w:cs="Calibri"/>
          <w:lang w:val="ro-RO"/>
        </w:rPr>
        <w:t xml:space="preserve"> </w:t>
      </w:r>
      <w:r w:rsidR="0003306E" w:rsidRPr="00834B27">
        <w:rPr>
          <w:rFonts w:ascii="Calibri" w:hAnsi="Calibri" w:cs="Calibri"/>
          <w:lang w:val="ro-RO"/>
        </w:rPr>
        <w:t>depășește</w:t>
      </w:r>
      <w:r w:rsidR="006E61CD" w:rsidRPr="00834B27">
        <w:rPr>
          <w:rFonts w:ascii="Calibri" w:hAnsi="Calibri" w:cs="Calibri"/>
          <w:lang w:val="ro-RO"/>
        </w:rPr>
        <w:t xml:space="preserve"> 5</w:t>
      </w:r>
      <w:r w:rsidR="00E102A7" w:rsidRPr="00834B27">
        <w:rPr>
          <w:rFonts w:ascii="Calibri" w:hAnsi="Calibri" w:cs="Calibri"/>
          <w:lang w:val="ro-RO"/>
        </w:rPr>
        <w:t xml:space="preserve">0% din totalul sumelor declarate </w:t>
      </w:r>
      <w:r w:rsidR="0003306E" w:rsidRPr="00834B27">
        <w:rPr>
          <w:rFonts w:ascii="Calibri" w:hAnsi="Calibri" w:cs="Calibri"/>
          <w:lang w:val="ro-RO"/>
        </w:rPr>
        <w:t>î</w:t>
      </w:r>
      <w:r w:rsidR="00E102A7" w:rsidRPr="00834B27">
        <w:rPr>
          <w:rFonts w:ascii="Calibri" w:hAnsi="Calibri" w:cs="Calibri"/>
          <w:lang w:val="ro-RO"/>
        </w:rPr>
        <w:t>n D212</w:t>
      </w:r>
      <w:r w:rsidR="00945EF2" w:rsidRPr="00834B27">
        <w:rPr>
          <w:rFonts w:ascii="Calibri" w:hAnsi="Calibri" w:cs="Calibri"/>
          <w:lang w:val="ro-RO"/>
        </w:rPr>
        <w:t xml:space="preserve">, spre deosebire de veniturile din </w:t>
      </w:r>
      <w:r w:rsidR="0003306E" w:rsidRPr="00834B27">
        <w:rPr>
          <w:rFonts w:ascii="Calibri" w:hAnsi="Calibri" w:cs="Calibri"/>
          <w:lang w:val="ro-RO"/>
        </w:rPr>
        <w:t>activită</w:t>
      </w:r>
      <w:r w:rsidR="00D77C4B" w:rsidRPr="00834B27">
        <w:rPr>
          <w:rFonts w:ascii="Calibri" w:hAnsi="Calibri" w:cs="Calibri"/>
          <w:lang w:val="ro-RO"/>
        </w:rPr>
        <w:t>ț</w:t>
      </w:r>
      <w:r w:rsidR="0003306E" w:rsidRPr="00834B27">
        <w:rPr>
          <w:rFonts w:ascii="Calibri" w:hAnsi="Calibri" w:cs="Calibri"/>
          <w:lang w:val="ro-RO"/>
        </w:rPr>
        <w:t>i</w:t>
      </w:r>
      <w:r w:rsidR="00945EF2" w:rsidRPr="00834B27">
        <w:rPr>
          <w:rFonts w:ascii="Calibri" w:hAnsi="Calibri" w:cs="Calibri"/>
          <w:lang w:val="ro-RO"/>
        </w:rPr>
        <w:t xml:space="preserve"> independente, unde majoritatea veniturilor declarate provene</w:t>
      </w:r>
      <w:r w:rsidR="00192B1C" w:rsidRPr="00834B27">
        <w:rPr>
          <w:rFonts w:ascii="Calibri" w:hAnsi="Calibri" w:cs="Calibri"/>
          <w:lang w:val="ro-RO"/>
        </w:rPr>
        <w:t>au din ultima tran</w:t>
      </w:r>
      <w:r w:rsidR="0003306E" w:rsidRPr="00834B27">
        <w:rPr>
          <w:rFonts w:ascii="Calibri" w:hAnsi="Calibri" w:cs="Calibri"/>
          <w:lang w:val="ro-RO"/>
        </w:rPr>
        <w:t>șă</w:t>
      </w:r>
      <w:r w:rsidR="00192B1C" w:rsidRPr="00834B27">
        <w:rPr>
          <w:rFonts w:ascii="Calibri" w:hAnsi="Calibri" w:cs="Calibri"/>
          <w:lang w:val="ro-RO"/>
        </w:rPr>
        <w:t>;</w:t>
      </w:r>
    </w:p>
    <w:p w14:paraId="749482C0" w14:textId="3B391854" w:rsidR="00192B1C" w:rsidRPr="00834B27" w:rsidRDefault="00192B1C" w:rsidP="007F1061">
      <w:pPr>
        <w:pStyle w:val="Listparagraf"/>
        <w:numPr>
          <w:ilvl w:val="0"/>
          <w:numId w:val="1"/>
        </w:numPr>
        <w:tabs>
          <w:tab w:val="left" w:pos="720"/>
        </w:tabs>
        <w:spacing w:line="276" w:lineRule="auto"/>
        <w:contextualSpacing w:val="0"/>
        <w:jc w:val="both"/>
        <w:rPr>
          <w:rFonts w:ascii="Calibri" w:hAnsi="Calibri" w:cs="Calibri"/>
          <w:lang w:val="ro-RO"/>
        </w:rPr>
      </w:pPr>
      <w:r w:rsidRPr="00834B27">
        <w:rPr>
          <w:rFonts w:ascii="Calibri" w:hAnsi="Calibri" w:cs="Calibri"/>
          <w:lang w:val="ro-RO"/>
        </w:rPr>
        <w:t>Interesan</w:t>
      </w:r>
      <w:r w:rsidR="00E81F4F" w:rsidRPr="00834B27">
        <w:rPr>
          <w:rFonts w:ascii="Calibri" w:hAnsi="Calibri" w:cs="Calibri"/>
          <w:lang w:val="ro-RO"/>
        </w:rPr>
        <w:t xml:space="preserve">t de observat este </w:t>
      </w:r>
      <w:r w:rsidR="0003306E" w:rsidRPr="00834B27">
        <w:rPr>
          <w:rFonts w:ascii="Calibri" w:hAnsi="Calibri" w:cs="Calibri"/>
          <w:lang w:val="ro-RO"/>
        </w:rPr>
        <w:t>ș</w:t>
      </w:r>
      <w:r w:rsidR="00E81F4F" w:rsidRPr="00834B27">
        <w:rPr>
          <w:rFonts w:ascii="Calibri" w:hAnsi="Calibri" w:cs="Calibri"/>
          <w:lang w:val="ro-RO"/>
        </w:rPr>
        <w:t>i c</w:t>
      </w:r>
      <w:r w:rsidR="0003306E" w:rsidRPr="00834B27">
        <w:rPr>
          <w:rFonts w:ascii="Calibri" w:hAnsi="Calibri" w:cs="Calibri"/>
          <w:lang w:val="ro-RO"/>
        </w:rPr>
        <w:t>ă</w:t>
      </w:r>
      <w:r w:rsidR="00E81F4F" w:rsidRPr="00834B27">
        <w:rPr>
          <w:rFonts w:ascii="Calibri" w:hAnsi="Calibri" w:cs="Calibri"/>
          <w:lang w:val="ro-RO"/>
        </w:rPr>
        <w:t>,</w:t>
      </w:r>
      <w:r w:rsidR="0003306E" w:rsidRPr="00834B27">
        <w:rPr>
          <w:rFonts w:ascii="Calibri" w:hAnsi="Calibri" w:cs="Calibri"/>
          <w:lang w:val="ro-RO"/>
        </w:rPr>
        <w:t xml:space="preserve"> în</w:t>
      </w:r>
      <w:r w:rsidR="00E81F4F" w:rsidRPr="00834B27">
        <w:rPr>
          <w:rFonts w:ascii="Calibri" w:hAnsi="Calibri" w:cs="Calibri"/>
          <w:lang w:val="ro-RO"/>
        </w:rPr>
        <w:t xml:space="preserve"> cazu</w:t>
      </w:r>
      <w:r w:rsidR="002D57BE" w:rsidRPr="00834B27">
        <w:rPr>
          <w:rFonts w:ascii="Calibri" w:hAnsi="Calibri" w:cs="Calibri"/>
          <w:lang w:val="ro-RO"/>
        </w:rPr>
        <w:t>l venituri</w:t>
      </w:r>
      <w:r w:rsidR="0057690D" w:rsidRPr="00834B27">
        <w:rPr>
          <w:rFonts w:ascii="Calibri" w:hAnsi="Calibri" w:cs="Calibri"/>
          <w:lang w:val="ro-RO"/>
        </w:rPr>
        <w:t>lor</w:t>
      </w:r>
      <w:r w:rsidR="002D57BE" w:rsidRPr="00834B27">
        <w:rPr>
          <w:rFonts w:ascii="Calibri" w:hAnsi="Calibri" w:cs="Calibri"/>
          <w:lang w:val="ro-RO"/>
        </w:rPr>
        <w:t xml:space="preserve"> din </w:t>
      </w:r>
      <w:r w:rsidR="0003306E" w:rsidRPr="00834B27">
        <w:rPr>
          <w:rFonts w:ascii="Calibri" w:hAnsi="Calibri" w:cs="Calibri"/>
          <w:lang w:val="ro-RO"/>
        </w:rPr>
        <w:t>închiriere</w:t>
      </w:r>
      <w:r w:rsidR="002D57BE" w:rsidRPr="00834B27">
        <w:rPr>
          <w:rFonts w:ascii="Calibri" w:hAnsi="Calibri" w:cs="Calibri"/>
          <w:lang w:val="ro-RO"/>
        </w:rPr>
        <w:t xml:space="preserve"> pentru care impozitul se re</w:t>
      </w:r>
      <w:r w:rsidR="00D77C4B" w:rsidRPr="00834B27">
        <w:rPr>
          <w:rFonts w:ascii="Calibri" w:hAnsi="Calibri" w:cs="Calibri"/>
          <w:lang w:val="ro-RO"/>
        </w:rPr>
        <w:t>ț</w:t>
      </w:r>
      <w:r w:rsidR="002D57BE" w:rsidRPr="00834B27">
        <w:rPr>
          <w:rFonts w:ascii="Calibri" w:hAnsi="Calibri" w:cs="Calibri"/>
          <w:lang w:val="ro-RO"/>
        </w:rPr>
        <w:t>ine la surs</w:t>
      </w:r>
      <w:r w:rsidR="0003306E" w:rsidRPr="00834B27">
        <w:rPr>
          <w:rFonts w:ascii="Calibri" w:hAnsi="Calibri" w:cs="Calibri"/>
          <w:lang w:val="ro-RO"/>
        </w:rPr>
        <w:t>ă</w:t>
      </w:r>
      <w:r w:rsidR="006109AC" w:rsidRPr="00834B27">
        <w:rPr>
          <w:rFonts w:ascii="Calibri" w:hAnsi="Calibri" w:cs="Calibri"/>
          <w:lang w:val="ro-RO"/>
        </w:rPr>
        <w:t xml:space="preserve">, </w:t>
      </w:r>
      <w:r w:rsidR="0003306E" w:rsidRPr="00834B27">
        <w:rPr>
          <w:rFonts w:ascii="Calibri" w:hAnsi="Calibri" w:cs="Calibri"/>
          <w:lang w:val="ro-RO"/>
        </w:rPr>
        <w:t>î</w:t>
      </w:r>
      <w:r w:rsidR="006109AC" w:rsidRPr="00834B27">
        <w:rPr>
          <w:rFonts w:ascii="Calibri" w:hAnsi="Calibri" w:cs="Calibri"/>
          <w:lang w:val="ro-RO"/>
        </w:rPr>
        <w:t>n prima tran</w:t>
      </w:r>
      <w:r w:rsidR="0003306E" w:rsidRPr="00834B27">
        <w:rPr>
          <w:rFonts w:ascii="Calibri" w:hAnsi="Calibri" w:cs="Calibri"/>
          <w:lang w:val="ro-RO"/>
        </w:rPr>
        <w:t>șă</w:t>
      </w:r>
      <w:r w:rsidR="006109AC" w:rsidRPr="00834B27">
        <w:rPr>
          <w:rFonts w:ascii="Calibri" w:hAnsi="Calibri" w:cs="Calibri"/>
          <w:lang w:val="ro-RO"/>
        </w:rPr>
        <w:t xml:space="preserve"> avem doar 16% din totalul veniturilor</w:t>
      </w:r>
      <w:r w:rsidR="009965A9" w:rsidRPr="00834B27">
        <w:rPr>
          <w:rFonts w:ascii="Calibri" w:hAnsi="Calibri" w:cs="Calibri"/>
          <w:lang w:val="ro-RO"/>
        </w:rPr>
        <w:t>...</w:t>
      </w:r>
    </w:p>
    <w:p w14:paraId="356C0CE6" w14:textId="18672ECD" w:rsidR="00593A91" w:rsidRPr="00834B27" w:rsidRDefault="0003306E" w:rsidP="00593A91">
      <w:pPr>
        <w:tabs>
          <w:tab w:val="left" w:pos="720"/>
        </w:tabs>
        <w:spacing w:line="276" w:lineRule="auto"/>
        <w:jc w:val="both"/>
        <w:rPr>
          <w:rFonts w:ascii="Calibri" w:hAnsi="Calibri" w:cs="Calibri"/>
          <w:b/>
          <w:bCs/>
          <w:lang w:val="ro-RO"/>
        </w:rPr>
      </w:pPr>
      <w:r w:rsidRPr="00834B27">
        <w:rPr>
          <w:rFonts w:ascii="Calibri" w:hAnsi="Calibri" w:cs="Calibri"/>
          <w:b/>
          <w:bCs/>
          <w:lang w:val="ro-RO"/>
        </w:rPr>
        <w:t>Ș</w:t>
      </w:r>
      <w:r w:rsidR="00593A91" w:rsidRPr="00834B27">
        <w:rPr>
          <w:rFonts w:ascii="Calibri" w:hAnsi="Calibri" w:cs="Calibri"/>
          <w:b/>
          <w:bCs/>
          <w:lang w:val="ro-RO"/>
        </w:rPr>
        <w:t>i aici con</w:t>
      </w:r>
      <w:r w:rsidR="00066687" w:rsidRPr="00834B27">
        <w:rPr>
          <w:rFonts w:ascii="Calibri" w:hAnsi="Calibri" w:cs="Calibri"/>
          <w:b/>
          <w:bCs/>
          <w:lang w:val="ro-RO"/>
        </w:rPr>
        <w:t>sider</w:t>
      </w:r>
      <w:r w:rsidRPr="00834B27">
        <w:rPr>
          <w:rFonts w:ascii="Calibri" w:hAnsi="Calibri" w:cs="Calibri"/>
          <w:b/>
          <w:bCs/>
          <w:lang w:val="ro-RO"/>
        </w:rPr>
        <w:t>ă</w:t>
      </w:r>
      <w:r w:rsidR="00066687" w:rsidRPr="00834B27">
        <w:rPr>
          <w:rFonts w:ascii="Calibri" w:hAnsi="Calibri" w:cs="Calibri"/>
          <w:b/>
          <w:bCs/>
          <w:lang w:val="ro-RO"/>
        </w:rPr>
        <w:t>m c</w:t>
      </w:r>
      <w:r w:rsidRPr="00834B27">
        <w:rPr>
          <w:rFonts w:ascii="Calibri" w:hAnsi="Calibri" w:cs="Calibri"/>
          <w:b/>
          <w:bCs/>
          <w:lang w:val="ro-RO"/>
        </w:rPr>
        <w:t>ă</w:t>
      </w:r>
      <w:r w:rsidR="00066687" w:rsidRPr="00834B27">
        <w:rPr>
          <w:rFonts w:ascii="Calibri" w:hAnsi="Calibri" w:cs="Calibri"/>
          <w:b/>
          <w:bCs/>
          <w:lang w:val="ro-RO"/>
        </w:rPr>
        <w:t xml:space="preserve"> se impun at</w:t>
      </w:r>
      <w:r w:rsidRPr="00834B27">
        <w:rPr>
          <w:rFonts w:ascii="Calibri" w:hAnsi="Calibri" w:cs="Calibri"/>
          <w:b/>
          <w:bCs/>
          <w:lang w:val="ro-RO"/>
        </w:rPr>
        <w:t>â</w:t>
      </w:r>
      <w:r w:rsidR="00066687" w:rsidRPr="00834B27">
        <w:rPr>
          <w:rFonts w:ascii="Calibri" w:hAnsi="Calibri" w:cs="Calibri"/>
          <w:b/>
          <w:bCs/>
          <w:lang w:val="ro-RO"/>
        </w:rPr>
        <w:t>t m</w:t>
      </w:r>
      <w:r w:rsidRPr="00834B27">
        <w:rPr>
          <w:rFonts w:ascii="Calibri" w:hAnsi="Calibri" w:cs="Calibri"/>
          <w:b/>
          <w:bCs/>
          <w:lang w:val="ro-RO"/>
        </w:rPr>
        <w:t>ă</w:t>
      </w:r>
      <w:r w:rsidR="00066687" w:rsidRPr="00834B27">
        <w:rPr>
          <w:rFonts w:ascii="Calibri" w:hAnsi="Calibri" w:cs="Calibri"/>
          <w:b/>
          <w:bCs/>
          <w:lang w:val="ro-RO"/>
        </w:rPr>
        <w:t>suri legislative</w:t>
      </w:r>
      <w:r w:rsidRPr="00834B27">
        <w:rPr>
          <w:rFonts w:ascii="Calibri" w:hAnsi="Calibri" w:cs="Calibri"/>
          <w:b/>
          <w:bCs/>
          <w:lang w:val="ro-RO"/>
        </w:rPr>
        <w:t>,</w:t>
      </w:r>
      <w:r w:rsidR="00066687" w:rsidRPr="00834B27">
        <w:rPr>
          <w:rFonts w:ascii="Calibri" w:hAnsi="Calibri" w:cs="Calibri"/>
          <w:b/>
          <w:bCs/>
          <w:lang w:val="ro-RO"/>
        </w:rPr>
        <w:t xml:space="preserve"> c</w:t>
      </w:r>
      <w:r w:rsidRPr="00834B27">
        <w:rPr>
          <w:rFonts w:ascii="Calibri" w:hAnsi="Calibri" w:cs="Calibri"/>
          <w:b/>
          <w:bCs/>
          <w:lang w:val="ro-RO"/>
        </w:rPr>
        <w:t>â</w:t>
      </w:r>
      <w:r w:rsidR="00066687" w:rsidRPr="00834B27">
        <w:rPr>
          <w:rFonts w:ascii="Calibri" w:hAnsi="Calibri" w:cs="Calibri"/>
          <w:b/>
          <w:bCs/>
          <w:lang w:val="ro-RO"/>
        </w:rPr>
        <w:t xml:space="preserve">t </w:t>
      </w:r>
      <w:r w:rsidRPr="00834B27">
        <w:rPr>
          <w:rFonts w:ascii="Calibri" w:hAnsi="Calibri" w:cs="Calibri"/>
          <w:b/>
          <w:bCs/>
          <w:lang w:val="ro-RO"/>
        </w:rPr>
        <w:t>ș</w:t>
      </w:r>
      <w:r w:rsidR="00066687" w:rsidRPr="00834B27">
        <w:rPr>
          <w:rFonts w:ascii="Calibri" w:hAnsi="Calibri" w:cs="Calibri"/>
          <w:b/>
          <w:bCs/>
          <w:lang w:val="ro-RO"/>
        </w:rPr>
        <w:t>i administrative</w:t>
      </w:r>
      <w:r w:rsidR="009267FF" w:rsidRPr="00834B27">
        <w:rPr>
          <w:rFonts w:ascii="Calibri" w:hAnsi="Calibri" w:cs="Calibri"/>
          <w:b/>
          <w:bCs/>
          <w:lang w:val="ro-RO"/>
        </w:rPr>
        <w:t xml:space="preserve"> pentru o mai bun</w:t>
      </w:r>
      <w:r w:rsidRPr="00834B27">
        <w:rPr>
          <w:rFonts w:ascii="Calibri" w:hAnsi="Calibri" w:cs="Calibri"/>
          <w:b/>
          <w:bCs/>
          <w:lang w:val="ro-RO"/>
        </w:rPr>
        <w:t>ă</w:t>
      </w:r>
      <w:r w:rsidR="009267FF" w:rsidRPr="00834B27">
        <w:rPr>
          <w:rFonts w:ascii="Calibri" w:hAnsi="Calibri" w:cs="Calibri"/>
          <w:b/>
          <w:bCs/>
          <w:lang w:val="ro-RO"/>
        </w:rPr>
        <w:t xml:space="preserve"> conformare.</w:t>
      </w:r>
    </w:p>
    <w:p w14:paraId="162AFDEC" w14:textId="77777777" w:rsidR="0057690D" w:rsidRPr="00834B27" w:rsidRDefault="0057690D" w:rsidP="00593A91">
      <w:pPr>
        <w:tabs>
          <w:tab w:val="left" w:pos="720"/>
        </w:tabs>
        <w:spacing w:line="276" w:lineRule="auto"/>
        <w:jc w:val="both"/>
        <w:rPr>
          <w:rFonts w:ascii="Calibri" w:hAnsi="Calibri" w:cs="Calibri"/>
          <w:b/>
          <w:bCs/>
          <w:lang w:val="ro-RO"/>
        </w:rPr>
      </w:pPr>
    </w:p>
    <w:p w14:paraId="408FC586" w14:textId="15744C80" w:rsidR="007942E7" w:rsidRPr="00834B27" w:rsidRDefault="0003306E" w:rsidP="00B43347">
      <w:pPr>
        <w:pStyle w:val="Listparagraf"/>
        <w:numPr>
          <w:ilvl w:val="6"/>
          <w:numId w:val="23"/>
        </w:numPr>
        <w:spacing w:line="276" w:lineRule="auto"/>
        <w:ind w:left="1260" w:hanging="540"/>
        <w:jc w:val="both"/>
        <w:rPr>
          <w:rFonts w:ascii="Calibri" w:hAnsi="Calibri" w:cs="Calibri"/>
          <w:b/>
          <w:bCs/>
          <w:lang w:val="ro-RO"/>
        </w:rPr>
      </w:pPr>
      <w:r w:rsidRPr="00834B27">
        <w:rPr>
          <w:rFonts w:ascii="Calibri" w:hAnsi="Calibri" w:cs="Calibri"/>
          <w:b/>
          <w:bCs/>
          <w:lang w:val="ro-RO"/>
        </w:rPr>
        <w:t>Microîntreprinderi</w:t>
      </w:r>
    </w:p>
    <w:p w14:paraId="4E85E7C2" w14:textId="58132F9D" w:rsidR="00375120" w:rsidRPr="00834B27" w:rsidRDefault="0003306E" w:rsidP="005260FA">
      <w:pPr>
        <w:tabs>
          <w:tab w:val="left" w:pos="720"/>
        </w:tabs>
        <w:spacing w:line="276" w:lineRule="auto"/>
        <w:jc w:val="both"/>
        <w:rPr>
          <w:rFonts w:ascii="Calibri" w:hAnsi="Calibri" w:cs="Calibri"/>
          <w:lang w:val="ro-RO"/>
        </w:rPr>
      </w:pPr>
      <w:r w:rsidRPr="00834B27">
        <w:rPr>
          <w:rFonts w:ascii="Calibri" w:hAnsi="Calibri" w:cs="Calibri"/>
          <w:lang w:val="ro-RO"/>
        </w:rPr>
        <w:t>Ș</w:t>
      </w:r>
      <w:r w:rsidR="00105806" w:rsidRPr="00834B27">
        <w:rPr>
          <w:rFonts w:ascii="Calibri" w:hAnsi="Calibri" w:cs="Calibri"/>
          <w:lang w:val="ro-RO"/>
        </w:rPr>
        <w:t xml:space="preserve">i </w:t>
      </w:r>
      <w:r w:rsidRPr="00834B27">
        <w:rPr>
          <w:rFonts w:ascii="Calibri" w:hAnsi="Calibri" w:cs="Calibri"/>
          <w:lang w:val="ro-RO"/>
        </w:rPr>
        <w:t>î</w:t>
      </w:r>
      <w:r w:rsidR="00105806" w:rsidRPr="00834B27">
        <w:rPr>
          <w:rFonts w:ascii="Calibri" w:hAnsi="Calibri" w:cs="Calibri"/>
          <w:lang w:val="ro-RO"/>
        </w:rPr>
        <w:t xml:space="preserve">n cazul </w:t>
      </w:r>
      <w:r w:rsidRPr="00834B27">
        <w:rPr>
          <w:rFonts w:ascii="Calibri" w:hAnsi="Calibri" w:cs="Calibri"/>
          <w:lang w:val="ro-RO"/>
        </w:rPr>
        <w:t>microîntreprinderilor</w:t>
      </w:r>
      <w:r w:rsidR="00105806" w:rsidRPr="00834B27">
        <w:rPr>
          <w:rFonts w:ascii="Calibri" w:hAnsi="Calibri" w:cs="Calibri"/>
          <w:lang w:val="ro-RO"/>
        </w:rPr>
        <w:t xml:space="preserve"> </w:t>
      </w:r>
      <w:r w:rsidR="005B7CD1" w:rsidRPr="00834B27">
        <w:rPr>
          <w:rFonts w:ascii="Calibri" w:hAnsi="Calibri" w:cs="Calibri"/>
          <w:lang w:val="ro-RO"/>
        </w:rPr>
        <w:t xml:space="preserve">avem o </w:t>
      </w:r>
      <w:r w:rsidRPr="00834B27">
        <w:rPr>
          <w:rFonts w:ascii="Calibri" w:hAnsi="Calibri" w:cs="Calibri"/>
          <w:lang w:val="ro-RO"/>
        </w:rPr>
        <w:t>situa</w:t>
      </w:r>
      <w:r w:rsidR="00D77C4B" w:rsidRPr="00834B27">
        <w:rPr>
          <w:rFonts w:ascii="Calibri" w:hAnsi="Calibri" w:cs="Calibri"/>
          <w:lang w:val="ro-RO"/>
        </w:rPr>
        <w:t>ț</w:t>
      </w:r>
      <w:r w:rsidRPr="00834B27">
        <w:rPr>
          <w:rFonts w:ascii="Calibri" w:hAnsi="Calibri" w:cs="Calibri"/>
          <w:lang w:val="ro-RO"/>
        </w:rPr>
        <w:t>ie</w:t>
      </w:r>
      <w:r w:rsidR="005B7CD1" w:rsidRPr="00834B27">
        <w:rPr>
          <w:rFonts w:ascii="Calibri" w:hAnsi="Calibri" w:cs="Calibri"/>
          <w:lang w:val="ro-RO"/>
        </w:rPr>
        <w:t xml:space="preserve"> cel </w:t>
      </w:r>
      <w:r w:rsidR="00F75BC1" w:rsidRPr="00834B27">
        <w:rPr>
          <w:rFonts w:ascii="Calibri" w:hAnsi="Calibri" w:cs="Calibri"/>
          <w:lang w:val="ro-RO"/>
        </w:rPr>
        <w:t>p</w:t>
      </w:r>
      <w:r w:rsidRPr="00834B27">
        <w:rPr>
          <w:rFonts w:ascii="Calibri" w:hAnsi="Calibri" w:cs="Calibri"/>
          <w:lang w:val="ro-RO"/>
        </w:rPr>
        <w:t>u</w:t>
      </w:r>
      <w:r w:rsidR="00F75BC1" w:rsidRPr="00834B27">
        <w:rPr>
          <w:rFonts w:ascii="Calibri" w:hAnsi="Calibri" w:cs="Calibri"/>
          <w:lang w:val="ro-RO"/>
        </w:rPr>
        <w:t>ț</w:t>
      </w:r>
      <w:r w:rsidRPr="00834B27">
        <w:rPr>
          <w:rFonts w:ascii="Calibri" w:hAnsi="Calibri" w:cs="Calibri"/>
          <w:lang w:val="ro-RO"/>
        </w:rPr>
        <w:t>in</w:t>
      </w:r>
      <w:r w:rsidR="005B7CD1" w:rsidRPr="00834B27">
        <w:rPr>
          <w:rFonts w:ascii="Calibri" w:hAnsi="Calibri" w:cs="Calibri"/>
          <w:lang w:val="ro-RO"/>
        </w:rPr>
        <w:t xml:space="preserve"> </w:t>
      </w:r>
      <w:r w:rsidR="004F3409" w:rsidRPr="00834B27">
        <w:rPr>
          <w:rFonts w:ascii="Calibri" w:hAnsi="Calibri" w:cs="Calibri"/>
          <w:lang w:val="ro-RO"/>
        </w:rPr>
        <w:t>ciudat</w:t>
      </w:r>
      <w:r w:rsidR="00F75BC1" w:rsidRPr="00834B27">
        <w:rPr>
          <w:rFonts w:ascii="Calibri" w:hAnsi="Calibri" w:cs="Calibri"/>
          <w:lang w:val="ro-RO"/>
        </w:rPr>
        <w:t>ă</w:t>
      </w:r>
      <w:r w:rsidR="004F3409" w:rsidRPr="00834B27">
        <w:rPr>
          <w:rFonts w:ascii="Calibri" w:hAnsi="Calibri" w:cs="Calibri"/>
          <w:lang w:val="ro-RO"/>
        </w:rPr>
        <w:t xml:space="preserve">. </w:t>
      </w:r>
      <w:r w:rsidRPr="00834B27">
        <w:rPr>
          <w:rFonts w:ascii="Calibri" w:hAnsi="Calibri" w:cs="Calibri"/>
          <w:lang w:val="ro-RO"/>
        </w:rPr>
        <w:t>Așa</w:t>
      </w:r>
      <w:r w:rsidR="00E676AC" w:rsidRPr="00834B27">
        <w:rPr>
          <w:rFonts w:ascii="Calibri" w:hAnsi="Calibri" w:cs="Calibri"/>
          <w:lang w:val="ro-RO"/>
        </w:rPr>
        <w:t xml:space="preserve"> cum se observ</w:t>
      </w:r>
      <w:r w:rsidRPr="00834B27">
        <w:rPr>
          <w:rFonts w:ascii="Calibri" w:hAnsi="Calibri" w:cs="Calibri"/>
          <w:lang w:val="ro-RO"/>
        </w:rPr>
        <w:t>ă</w:t>
      </w:r>
      <w:r w:rsidR="00E676AC" w:rsidRPr="00834B27">
        <w:rPr>
          <w:rFonts w:ascii="Calibri" w:hAnsi="Calibri" w:cs="Calibri"/>
          <w:lang w:val="ro-RO"/>
        </w:rPr>
        <w:t xml:space="preserve"> din Tabelul 4</w:t>
      </w:r>
      <w:r w:rsidR="00375120" w:rsidRPr="00834B27">
        <w:rPr>
          <w:rFonts w:ascii="Calibri" w:hAnsi="Calibri" w:cs="Calibri"/>
          <w:lang w:val="ro-RO"/>
        </w:rPr>
        <w:t>:</w:t>
      </w:r>
    </w:p>
    <w:p w14:paraId="1A1D9A85" w14:textId="22B9DFDB" w:rsidR="005260FA" w:rsidRPr="00834B27" w:rsidRDefault="00E676AC" w:rsidP="00375120">
      <w:pPr>
        <w:pStyle w:val="Listparagraf"/>
        <w:numPr>
          <w:ilvl w:val="0"/>
          <w:numId w:val="1"/>
        </w:numPr>
        <w:tabs>
          <w:tab w:val="left" w:pos="720"/>
        </w:tabs>
        <w:spacing w:line="276" w:lineRule="auto"/>
        <w:contextualSpacing w:val="0"/>
        <w:jc w:val="both"/>
        <w:rPr>
          <w:rFonts w:ascii="Calibri" w:hAnsi="Calibri" w:cs="Calibri"/>
          <w:lang w:val="ro-RO"/>
        </w:rPr>
      </w:pPr>
      <w:r w:rsidRPr="00834B27">
        <w:rPr>
          <w:rFonts w:ascii="Calibri" w:hAnsi="Calibri" w:cs="Calibri"/>
          <w:lang w:val="ro-RO"/>
        </w:rPr>
        <w:t xml:space="preserve"> </w:t>
      </w:r>
      <w:r w:rsidR="0003306E" w:rsidRPr="00834B27">
        <w:rPr>
          <w:rFonts w:ascii="Calibri" w:hAnsi="Calibri" w:cs="Calibri"/>
          <w:lang w:val="ro-RO"/>
        </w:rPr>
        <w:t>Î</w:t>
      </w:r>
      <w:r w:rsidRPr="00834B27">
        <w:rPr>
          <w:rFonts w:ascii="Calibri" w:hAnsi="Calibri" w:cs="Calibri"/>
          <w:lang w:val="ro-RO"/>
        </w:rPr>
        <w:t xml:space="preserve">n 2024 au depus </w:t>
      </w:r>
      <w:r w:rsidR="0003306E" w:rsidRPr="00834B27">
        <w:rPr>
          <w:rFonts w:ascii="Calibri" w:hAnsi="Calibri" w:cs="Calibri"/>
          <w:lang w:val="ro-RO"/>
        </w:rPr>
        <w:t>situa</w:t>
      </w:r>
      <w:r w:rsidR="00D77C4B" w:rsidRPr="00834B27">
        <w:rPr>
          <w:rFonts w:ascii="Calibri" w:hAnsi="Calibri" w:cs="Calibri"/>
          <w:lang w:val="ro-RO"/>
        </w:rPr>
        <w:t>ț</w:t>
      </w:r>
      <w:r w:rsidR="0003306E" w:rsidRPr="00834B27">
        <w:rPr>
          <w:rFonts w:ascii="Calibri" w:hAnsi="Calibri" w:cs="Calibri"/>
          <w:lang w:val="ro-RO"/>
        </w:rPr>
        <w:t>ii</w:t>
      </w:r>
      <w:r w:rsidRPr="00834B27">
        <w:rPr>
          <w:rFonts w:ascii="Calibri" w:hAnsi="Calibri" w:cs="Calibri"/>
          <w:lang w:val="ro-RO"/>
        </w:rPr>
        <w:t xml:space="preserve"> financiare un </w:t>
      </w:r>
      <w:r w:rsidR="0003306E" w:rsidRPr="00834B27">
        <w:rPr>
          <w:rFonts w:ascii="Calibri" w:hAnsi="Calibri" w:cs="Calibri"/>
          <w:lang w:val="ro-RO"/>
        </w:rPr>
        <w:t>număr</w:t>
      </w:r>
      <w:r w:rsidRPr="00834B27">
        <w:rPr>
          <w:rFonts w:ascii="Calibri" w:hAnsi="Calibri" w:cs="Calibri"/>
          <w:lang w:val="ro-RO"/>
        </w:rPr>
        <w:t xml:space="preserve"> de 702.</w:t>
      </w:r>
      <w:r w:rsidR="004A5FBF" w:rsidRPr="00834B27">
        <w:rPr>
          <w:rFonts w:ascii="Calibri" w:hAnsi="Calibri" w:cs="Calibri"/>
          <w:lang w:val="ro-RO"/>
        </w:rPr>
        <w:t xml:space="preserve">691 de </w:t>
      </w:r>
      <w:r w:rsidR="0003306E" w:rsidRPr="00834B27">
        <w:rPr>
          <w:rFonts w:ascii="Calibri" w:hAnsi="Calibri" w:cs="Calibri"/>
          <w:lang w:val="ro-RO"/>
        </w:rPr>
        <w:t>microîntreprinderi</w:t>
      </w:r>
      <w:r w:rsidR="004A5FBF" w:rsidRPr="00834B27">
        <w:rPr>
          <w:rFonts w:ascii="Calibri" w:hAnsi="Calibri" w:cs="Calibri"/>
          <w:lang w:val="ro-RO"/>
        </w:rPr>
        <w:t xml:space="preserve"> cu cifra de afaceri de cel mult 100.000 euro</w:t>
      </w:r>
      <w:r w:rsidR="00375120" w:rsidRPr="00834B27">
        <w:rPr>
          <w:rFonts w:ascii="Calibri" w:hAnsi="Calibri" w:cs="Calibri"/>
          <w:lang w:val="ro-RO"/>
        </w:rPr>
        <w:t>;</w:t>
      </w:r>
    </w:p>
    <w:p w14:paraId="5960D684" w14:textId="0155A4F0" w:rsidR="00375120" w:rsidRPr="00834B27" w:rsidRDefault="00375120" w:rsidP="00375120">
      <w:pPr>
        <w:pStyle w:val="Listparagraf"/>
        <w:numPr>
          <w:ilvl w:val="0"/>
          <w:numId w:val="1"/>
        </w:numPr>
        <w:tabs>
          <w:tab w:val="left" w:pos="720"/>
        </w:tabs>
        <w:spacing w:line="276" w:lineRule="auto"/>
        <w:contextualSpacing w:val="0"/>
        <w:jc w:val="both"/>
        <w:rPr>
          <w:rFonts w:ascii="Calibri" w:hAnsi="Calibri" w:cs="Calibri"/>
          <w:lang w:val="ro-RO"/>
        </w:rPr>
      </w:pPr>
      <w:r w:rsidRPr="00834B27">
        <w:rPr>
          <w:rFonts w:ascii="Calibri" w:hAnsi="Calibri" w:cs="Calibri"/>
          <w:lang w:val="ro-RO"/>
        </w:rPr>
        <w:lastRenderedPageBreak/>
        <w:t xml:space="preserve">Dintre acestea, </w:t>
      </w:r>
      <w:r w:rsidR="00672A18" w:rsidRPr="00834B27">
        <w:rPr>
          <w:rFonts w:ascii="Calibri" w:hAnsi="Calibri" w:cs="Calibri"/>
          <w:lang w:val="ro-RO"/>
        </w:rPr>
        <w:t xml:space="preserve">un </w:t>
      </w:r>
      <w:r w:rsidR="0003306E" w:rsidRPr="00834B27">
        <w:rPr>
          <w:rFonts w:ascii="Calibri" w:hAnsi="Calibri" w:cs="Calibri"/>
          <w:lang w:val="ro-RO"/>
        </w:rPr>
        <w:t>număr</w:t>
      </w:r>
      <w:r w:rsidR="00672A18" w:rsidRPr="00834B27">
        <w:rPr>
          <w:rFonts w:ascii="Calibri" w:hAnsi="Calibri" w:cs="Calibri"/>
          <w:lang w:val="ro-RO"/>
        </w:rPr>
        <w:t xml:space="preserve"> de 286.034 (</w:t>
      </w:r>
      <w:r w:rsidR="000F0E4D" w:rsidRPr="00834B27">
        <w:rPr>
          <w:rFonts w:ascii="Calibri" w:hAnsi="Calibri" w:cs="Calibri"/>
          <w:lang w:val="ro-RO"/>
        </w:rPr>
        <w:t>40</w:t>
      </w:r>
      <w:r w:rsidR="00CE3714" w:rsidRPr="00834B27">
        <w:rPr>
          <w:rFonts w:ascii="Calibri" w:hAnsi="Calibri" w:cs="Calibri"/>
          <w:lang w:val="ro-RO"/>
        </w:rPr>
        <w:t>,7% din total) au declarat pierderi</w:t>
      </w:r>
      <w:r w:rsidR="009748C9" w:rsidRPr="00834B27">
        <w:rPr>
          <w:rFonts w:ascii="Calibri" w:hAnsi="Calibri" w:cs="Calibri"/>
          <w:lang w:val="ro-RO"/>
        </w:rPr>
        <w:t>. Or</w:t>
      </w:r>
      <w:r w:rsidR="00D04DB2" w:rsidRPr="00834B27">
        <w:rPr>
          <w:rFonts w:ascii="Calibri" w:hAnsi="Calibri" w:cs="Calibri"/>
          <w:lang w:val="ro-RO"/>
        </w:rPr>
        <w:t>i</w:t>
      </w:r>
      <w:r w:rsidR="009748C9" w:rsidRPr="00834B27">
        <w:rPr>
          <w:rFonts w:ascii="Calibri" w:hAnsi="Calibri" w:cs="Calibri"/>
          <w:lang w:val="ro-RO"/>
        </w:rPr>
        <w:t xml:space="preserve">, acest lucru nu are sens, regimul fiind </w:t>
      </w:r>
      <w:r w:rsidR="0003306E" w:rsidRPr="00834B27">
        <w:rPr>
          <w:rFonts w:ascii="Calibri" w:hAnsi="Calibri" w:cs="Calibri"/>
          <w:lang w:val="ro-RO"/>
        </w:rPr>
        <w:t>op</w:t>
      </w:r>
      <w:r w:rsidR="00D77C4B" w:rsidRPr="00834B27">
        <w:rPr>
          <w:rFonts w:ascii="Calibri" w:hAnsi="Calibri" w:cs="Calibri"/>
          <w:lang w:val="ro-RO"/>
        </w:rPr>
        <w:t>ț</w:t>
      </w:r>
      <w:r w:rsidR="0003306E" w:rsidRPr="00834B27">
        <w:rPr>
          <w:rFonts w:ascii="Calibri" w:hAnsi="Calibri" w:cs="Calibri"/>
          <w:lang w:val="ro-RO"/>
        </w:rPr>
        <w:t>ional,</w:t>
      </w:r>
      <w:r w:rsidR="009748C9" w:rsidRPr="00834B27">
        <w:rPr>
          <w:rFonts w:ascii="Calibri" w:hAnsi="Calibri" w:cs="Calibri"/>
          <w:lang w:val="ro-RO"/>
        </w:rPr>
        <w:t xml:space="preserve"> era de preferat s</w:t>
      </w:r>
      <w:r w:rsidR="0003306E" w:rsidRPr="00834B27">
        <w:rPr>
          <w:rFonts w:ascii="Calibri" w:hAnsi="Calibri" w:cs="Calibri"/>
          <w:lang w:val="ro-RO"/>
        </w:rPr>
        <w:t>ă</w:t>
      </w:r>
      <w:r w:rsidR="009748C9" w:rsidRPr="00834B27">
        <w:rPr>
          <w:rFonts w:ascii="Calibri" w:hAnsi="Calibri" w:cs="Calibri"/>
          <w:lang w:val="ro-RO"/>
        </w:rPr>
        <w:t xml:space="preserve"> opteze pentru impozit pe profit </w:t>
      </w:r>
      <w:r w:rsidR="0003306E" w:rsidRPr="00834B27">
        <w:rPr>
          <w:rFonts w:ascii="Calibri" w:hAnsi="Calibri" w:cs="Calibri"/>
          <w:lang w:val="ro-RO"/>
        </w:rPr>
        <w:t>ș</w:t>
      </w:r>
      <w:r w:rsidR="009748C9" w:rsidRPr="00834B27">
        <w:rPr>
          <w:rFonts w:ascii="Calibri" w:hAnsi="Calibri" w:cs="Calibri"/>
          <w:lang w:val="ro-RO"/>
        </w:rPr>
        <w:t>i nu s</w:t>
      </w:r>
      <w:r w:rsidR="0003306E" w:rsidRPr="00834B27">
        <w:rPr>
          <w:rFonts w:ascii="Calibri" w:hAnsi="Calibri" w:cs="Calibri"/>
          <w:lang w:val="ro-RO"/>
        </w:rPr>
        <w:t>ă</w:t>
      </w:r>
      <w:r w:rsidR="009748C9" w:rsidRPr="00834B27">
        <w:rPr>
          <w:rFonts w:ascii="Calibri" w:hAnsi="Calibri" w:cs="Calibri"/>
          <w:lang w:val="ro-RO"/>
        </w:rPr>
        <w:t xml:space="preserve"> </w:t>
      </w:r>
      <w:r w:rsidR="0003306E" w:rsidRPr="00834B27">
        <w:rPr>
          <w:rFonts w:ascii="Calibri" w:hAnsi="Calibri" w:cs="Calibri"/>
          <w:lang w:val="ro-RO"/>
        </w:rPr>
        <w:t>plătească</w:t>
      </w:r>
      <w:r w:rsidR="009748C9" w:rsidRPr="00834B27">
        <w:rPr>
          <w:rFonts w:ascii="Calibri" w:hAnsi="Calibri" w:cs="Calibri"/>
          <w:lang w:val="ro-RO"/>
        </w:rPr>
        <w:t xml:space="preserve"> impozit pe venit</w:t>
      </w:r>
      <w:r w:rsidR="0083328B" w:rsidRPr="00834B27">
        <w:rPr>
          <w:rStyle w:val="Referinnotdesubsol"/>
          <w:rFonts w:ascii="Calibri" w:hAnsi="Calibri" w:cs="Calibri"/>
          <w:lang w:val="ro-RO"/>
        </w:rPr>
        <w:footnoteReference w:id="23"/>
      </w:r>
      <w:r w:rsidR="009748C9" w:rsidRPr="00834B27">
        <w:rPr>
          <w:rFonts w:ascii="Calibri" w:hAnsi="Calibri" w:cs="Calibri"/>
          <w:lang w:val="ro-RO"/>
        </w:rPr>
        <w:t>;</w:t>
      </w:r>
    </w:p>
    <w:p w14:paraId="4E7779C6" w14:textId="7947C1BF" w:rsidR="00070D98" w:rsidRPr="00834B27" w:rsidRDefault="007F716E" w:rsidP="00070D98">
      <w:pPr>
        <w:pStyle w:val="Listparagraf"/>
        <w:numPr>
          <w:ilvl w:val="0"/>
          <w:numId w:val="1"/>
        </w:numPr>
        <w:tabs>
          <w:tab w:val="left" w:pos="720"/>
        </w:tabs>
        <w:spacing w:line="276" w:lineRule="auto"/>
        <w:contextualSpacing w:val="0"/>
        <w:jc w:val="both"/>
        <w:rPr>
          <w:rFonts w:ascii="Calibri" w:hAnsi="Calibri" w:cs="Calibri"/>
          <w:lang w:val="ro-RO"/>
        </w:rPr>
      </w:pPr>
      <w:r w:rsidRPr="00834B27">
        <w:rPr>
          <w:rFonts w:ascii="Calibri" w:hAnsi="Calibri" w:cs="Calibri"/>
          <w:lang w:val="ro-RO"/>
        </w:rPr>
        <w:t xml:space="preserve">Ce este </w:t>
      </w:r>
      <w:r w:rsidR="0003306E" w:rsidRPr="00834B27">
        <w:rPr>
          <w:rFonts w:ascii="Calibri" w:hAnsi="Calibri" w:cs="Calibri"/>
          <w:lang w:val="ro-RO"/>
        </w:rPr>
        <w:t>încă</w:t>
      </w:r>
      <w:r w:rsidRPr="00834B27">
        <w:rPr>
          <w:rFonts w:ascii="Calibri" w:hAnsi="Calibri" w:cs="Calibri"/>
          <w:lang w:val="ro-RO"/>
        </w:rPr>
        <w:t xml:space="preserve"> </w:t>
      </w:r>
      <w:r w:rsidR="0003306E" w:rsidRPr="00834B27">
        <w:rPr>
          <w:rFonts w:ascii="Calibri" w:hAnsi="Calibri" w:cs="Calibri"/>
          <w:lang w:val="ro-RO"/>
        </w:rPr>
        <w:t>ș</w:t>
      </w:r>
      <w:r w:rsidRPr="00834B27">
        <w:rPr>
          <w:rFonts w:ascii="Calibri" w:hAnsi="Calibri" w:cs="Calibri"/>
          <w:lang w:val="ro-RO"/>
        </w:rPr>
        <w:t>i mai ciudat, este c</w:t>
      </w:r>
      <w:r w:rsidR="0003306E" w:rsidRPr="00834B27">
        <w:rPr>
          <w:rFonts w:ascii="Calibri" w:hAnsi="Calibri" w:cs="Calibri"/>
          <w:lang w:val="ro-RO"/>
        </w:rPr>
        <w:t>ă</w:t>
      </w:r>
      <w:r w:rsidRPr="00834B27">
        <w:rPr>
          <w:rFonts w:ascii="Calibri" w:hAnsi="Calibri" w:cs="Calibri"/>
          <w:lang w:val="ro-RO"/>
        </w:rPr>
        <w:t xml:space="preserve"> pierderile declarate de aceste companii </w:t>
      </w:r>
      <w:r w:rsidR="00CD2A92" w:rsidRPr="00834B27">
        <w:rPr>
          <w:rFonts w:ascii="Calibri" w:hAnsi="Calibri" w:cs="Calibri"/>
          <w:lang w:val="ro-RO"/>
        </w:rPr>
        <w:t>(18,4 miliarde lei) sunt aproximativ egale</w:t>
      </w:r>
      <w:r w:rsidR="005B4C00" w:rsidRPr="00834B27">
        <w:rPr>
          <w:rFonts w:ascii="Calibri" w:hAnsi="Calibri" w:cs="Calibri"/>
          <w:lang w:val="ro-RO"/>
        </w:rPr>
        <w:t xml:space="preserve"> (98,8%!)</w:t>
      </w:r>
      <w:r w:rsidR="00CD2A92" w:rsidRPr="00834B27">
        <w:rPr>
          <w:rFonts w:ascii="Calibri" w:hAnsi="Calibri" w:cs="Calibri"/>
          <w:lang w:val="ro-RO"/>
        </w:rPr>
        <w:t xml:space="preserve"> cu </w:t>
      </w:r>
      <w:r w:rsidR="0003306E" w:rsidRPr="00834B27">
        <w:rPr>
          <w:rFonts w:ascii="Calibri" w:hAnsi="Calibri" w:cs="Calibri"/>
          <w:lang w:val="ro-RO"/>
        </w:rPr>
        <w:t>întreaga</w:t>
      </w:r>
      <w:r w:rsidR="00CD2A92" w:rsidRPr="00834B27">
        <w:rPr>
          <w:rFonts w:ascii="Calibri" w:hAnsi="Calibri" w:cs="Calibri"/>
          <w:lang w:val="ro-RO"/>
        </w:rPr>
        <w:t xml:space="preserve"> cifr</w:t>
      </w:r>
      <w:r w:rsidR="0003306E" w:rsidRPr="00834B27">
        <w:rPr>
          <w:rFonts w:ascii="Calibri" w:hAnsi="Calibri" w:cs="Calibri"/>
          <w:lang w:val="ro-RO"/>
        </w:rPr>
        <w:t>ă</w:t>
      </w:r>
      <w:r w:rsidR="00CD2A92" w:rsidRPr="00834B27">
        <w:rPr>
          <w:rFonts w:ascii="Calibri" w:hAnsi="Calibri" w:cs="Calibri"/>
          <w:lang w:val="ro-RO"/>
        </w:rPr>
        <w:t xml:space="preserve"> de afaceri</w:t>
      </w:r>
      <w:r w:rsidR="004E13C9" w:rsidRPr="00834B27">
        <w:rPr>
          <w:rFonts w:ascii="Calibri" w:hAnsi="Calibri" w:cs="Calibri"/>
          <w:lang w:val="ro-RO"/>
        </w:rPr>
        <w:t xml:space="preserve"> (18,6 miliarde lei</w:t>
      </w:r>
      <w:r w:rsidR="008D725E" w:rsidRPr="00834B27">
        <w:rPr>
          <w:rFonts w:ascii="Calibri" w:hAnsi="Calibri" w:cs="Calibri"/>
          <w:lang w:val="ro-RO"/>
        </w:rPr>
        <w:t xml:space="preserve">, </w:t>
      </w:r>
      <w:r w:rsidR="00DC4CC7" w:rsidRPr="00834B27">
        <w:rPr>
          <w:rFonts w:ascii="Calibri" w:hAnsi="Calibri" w:cs="Calibri"/>
          <w:lang w:val="ro-RO"/>
        </w:rPr>
        <w:t>25,6% din total)</w:t>
      </w:r>
      <w:r w:rsidR="004E13C9" w:rsidRPr="00834B27">
        <w:rPr>
          <w:rFonts w:ascii="Calibri" w:hAnsi="Calibri" w:cs="Calibri"/>
          <w:lang w:val="ro-RO"/>
        </w:rPr>
        <w:t>), ceea ce indic</w:t>
      </w:r>
      <w:r w:rsidR="0003306E" w:rsidRPr="00834B27">
        <w:rPr>
          <w:rFonts w:ascii="Calibri" w:hAnsi="Calibri" w:cs="Calibri"/>
          <w:lang w:val="ro-RO"/>
        </w:rPr>
        <w:t>ă</w:t>
      </w:r>
      <w:r w:rsidR="004E13C9" w:rsidRPr="00834B27">
        <w:rPr>
          <w:rFonts w:ascii="Calibri" w:hAnsi="Calibri" w:cs="Calibri"/>
          <w:lang w:val="ro-RO"/>
        </w:rPr>
        <w:t xml:space="preserve"> un nivel al cheltuielilor </w:t>
      </w:r>
      <w:r w:rsidR="00070D98" w:rsidRPr="00834B27">
        <w:rPr>
          <w:rFonts w:ascii="Calibri" w:hAnsi="Calibri" w:cs="Calibri"/>
          <w:lang w:val="ro-RO"/>
        </w:rPr>
        <w:t>dublu fa</w:t>
      </w:r>
      <w:r w:rsidR="00D77C4B" w:rsidRPr="00834B27">
        <w:rPr>
          <w:rFonts w:ascii="Calibri" w:hAnsi="Calibri" w:cs="Calibri"/>
          <w:lang w:val="ro-RO"/>
        </w:rPr>
        <w:t>ț</w:t>
      </w:r>
      <w:r w:rsidR="0003306E" w:rsidRPr="00834B27">
        <w:rPr>
          <w:rFonts w:ascii="Calibri" w:hAnsi="Calibri" w:cs="Calibri"/>
          <w:lang w:val="ro-RO"/>
        </w:rPr>
        <w:t>ă</w:t>
      </w:r>
      <w:r w:rsidR="00070D98" w:rsidRPr="00834B27">
        <w:rPr>
          <w:rFonts w:ascii="Calibri" w:hAnsi="Calibri" w:cs="Calibri"/>
          <w:lang w:val="ro-RO"/>
        </w:rPr>
        <w:t xml:space="preserve"> de venituri</w:t>
      </w:r>
      <w:r w:rsidR="00496F01" w:rsidRPr="00834B27">
        <w:rPr>
          <w:rFonts w:ascii="Calibri" w:hAnsi="Calibri" w:cs="Calibri"/>
          <w:lang w:val="ro-RO"/>
        </w:rPr>
        <w:t>;</w:t>
      </w:r>
    </w:p>
    <w:p w14:paraId="0F2A3269" w14:textId="570651BE" w:rsidR="00F14468" w:rsidRPr="00834B27" w:rsidRDefault="00F14468" w:rsidP="00070D98">
      <w:pPr>
        <w:pStyle w:val="Listparagraf"/>
        <w:numPr>
          <w:ilvl w:val="0"/>
          <w:numId w:val="1"/>
        </w:numPr>
        <w:tabs>
          <w:tab w:val="left" w:pos="720"/>
        </w:tabs>
        <w:spacing w:line="276" w:lineRule="auto"/>
        <w:contextualSpacing w:val="0"/>
        <w:jc w:val="both"/>
        <w:rPr>
          <w:rFonts w:ascii="Calibri" w:hAnsi="Calibri" w:cs="Calibri"/>
          <w:lang w:val="ro-RO"/>
        </w:rPr>
      </w:pPr>
      <w:r w:rsidRPr="00834B27">
        <w:rPr>
          <w:rFonts w:ascii="Calibri" w:hAnsi="Calibri" w:cs="Calibri"/>
          <w:lang w:val="ro-RO"/>
        </w:rPr>
        <w:t xml:space="preserve">Restul de 416.657 de </w:t>
      </w:r>
      <w:r w:rsidR="0003306E" w:rsidRPr="00834B27">
        <w:rPr>
          <w:rFonts w:ascii="Calibri" w:hAnsi="Calibri" w:cs="Calibri"/>
          <w:lang w:val="ro-RO"/>
        </w:rPr>
        <w:t>microîntreprinderi</w:t>
      </w:r>
      <w:r w:rsidRPr="00834B27">
        <w:rPr>
          <w:rFonts w:ascii="Calibri" w:hAnsi="Calibri" w:cs="Calibri"/>
          <w:lang w:val="ro-RO"/>
        </w:rPr>
        <w:t xml:space="preserve"> </w:t>
      </w:r>
      <w:r w:rsidR="00DC4CC7" w:rsidRPr="00834B27">
        <w:rPr>
          <w:rFonts w:ascii="Calibri" w:hAnsi="Calibri" w:cs="Calibri"/>
          <w:lang w:val="ro-RO"/>
        </w:rPr>
        <w:t>(59,3% din total)</w:t>
      </w:r>
      <w:r w:rsidR="00577508" w:rsidRPr="00834B27">
        <w:rPr>
          <w:rFonts w:ascii="Calibri" w:hAnsi="Calibri" w:cs="Calibri"/>
          <w:lang w:val="ro-RO"/>
        </w:rPr>
        <w:t xml:space="preserve"> au </w:t>
      </w:r>
      <w:r w:rsidR="0003306E" w:rsidRPr="00834B27">
        <w:rPr>
          <w:rFonts w:ascii="Calibri" w:hAnsi="Calibri" w:cs="Calibri"/>
          <w:lang w:val="ro-RO"/>
        </w:rPr>
        <w:t>înregistrat</w:t>
      </w:r>
      <w:r w:rsidR="00577508" w:rsidRPr="00834B27">
        <w:rPr>
          <w:rFonts w:ascii="Calibri" w:hAnsi="Calibri" w:cs="Calibri"/>
          <w:lang w:val="ro-RO"/>
        </w:rPr>
        <w:t xml:space="preserve"> o cifr</w:t>
      </w:r>
      <w:r w:rsidR="0003306E" w:rsidRPr="00834B27">
        <w:rPr>
          <w:rFonts w:ascii="Calibri" w:hAnsi="Calibri" w:cs="Calibri"/>
          <w:lang w:val="ro-RO"/>
        </w:rPr>
        <w:t>ă</w:t>
      </w:r>
      <w:r w:rsidR="00577508" w:rsidRPr="00834B27">
        <w:rPr>
          <w:rFonts w:ascii="Calibri" w:hAnsi="Calibri" w:cs="Calibri"/>
          <w:lang w:val="ro-RO"/>
        </w:rPr>
        <w:t xml:space="preserve"> de afaceri de aproximativ 54,3 miliarde lei (</w:t>
      </w:r>
      <w:r w:rsidR="003739A6" w:rsidRPr="00834B27">
        <w:rPr>
          <w:rFonts w:ascii="Calibri" w:hAnsi="Calibri" w:cs="Calibri"/>
          <w:lang w:val="ro-RO"/>
        </w:rPr>
        <w:t xml:space="preserve">74,4% din total) </w:t>
      </w:r>
      <w:r w:rsidR="0003306E" w:rsidRPr="00834B27">
        <w:rPr>
          <w:rFonts w:ascii="Calibri" w:hAnsi="Calibri" w:cs="Calibri"/>
          <w:lang w:val="ro-RO"/>
        </w:rPr>
        <w:t>ș</w:t>
      </w:r>
      <w:r w:rsidR="003739A6" w:rsidRPr="00834B27">
        <w:rPr>
          <w:rFonts w:ascii="Calibri" w:hAnsi="Calibri" w:cs="Calibri"/>
          <w:lang w:val="ro-RO"/>
        </w:rPr>
        <w:t>i o rat</w:t>
      </w:r>
      <w:r w:rsidR="0003306E" w:rsidRPr="00834B27">
        <w:rPr>
          <w:rFonts w:ascii="Calibri" w:hAnsi="Calibri" w:cs="Calibri"/>
          <w:lang w:val="ro-RO"/>
        </w:rPr>
        <w:t>ă</w:t>
      </w:r>
      <w:r w:rsidR="003739A6" w:rsidRPr="00834B27">
        <w:rPr>
          <w:rFonts w:ascii="Calibri" w:hAnsi="Calibri" w:cs="Calibri"/>
          <w:lang w:val="ro-RO"/>
        </w:rPr>
        <w:t xml:space="preserve"> de profit net de 41,3%, mult mai mare </w:t>
      </w:r>
      <w:r w:rsidR="0003306E" w:rsidRPr="00834B27">
        <w:rPr>
          <w:rFonts w:ascii="Calibri" w:hAnsi="Calibri" w:cs="Calibri"/>
          <w:lang w:val="ro-RO"/>
        </w:rPr>
        <w:t>decât</w:t>
      </w:r>
      <w:r w:rsidR="003739A6" w:rsidRPr="00834B27">
        <w:rPr>
          <w:rFonts w:ascii="Calibri" w:hAnsi="Calibri" w:cs="Calibri"/>
          <w:lang w:val="ro-RO"/>
        </w:rPr>
        <w:t xml:space="preserve"> ratele de profit net</w:t>
      </w:r>
      <w:r w:rsidR="00535241" w:rsidRPr="00834B27">
        <w:rPr>
          <w:rFonts w:ascii="Calibri" w:hAnsi="Calibri" w:cs="Calibri"/>
          <w:lang w:val="ro-RO"/>
        </w:rPr>
        <w:t xml:space="preserve"> </w:t>
      </w:r>
      <w:r w:rsidR="0003306E" w:rsidRPr="00834B27">
        <w:rPr>
          <w:rFonts w:ascii="Calibri" w:hAnsi="Calibri" w:cs="Calibri"/>
          <w:lang w:val="ro-RO"/>
        </w:rPr>
        <w:t>ob</w:t>
      </w:r>
      <w:r w:rsidR="00D77C4B" w:rsidRPr="00834B27">
        <w:rPr>
          <w:rFonts w:ascii="Calibri" w:hAnsi="Calibri" w:cs="Calibri"/>
          <w:lang w:val="ro-RO"/>
        </w:rPr>
        <w:t>ț</w:t>
      </w:r>
      <w:r w:rsidR="0003306E" w:rsidRPr="00834B27">
        <w:rPr>
          <w:rFonts w:ascii="Calibri" w:hAnsi="Calibri" w:cs="Calibri"/>
          <w:lang w:val="ro-RO"/>
        </w:rPr>
        <w:t>inute</w:t>
      </w:r>
      <w:r w:rsidR="00535241" w:rsidRPr="00834B27">
        <w:rPr>
          <w:rFonts w:ascii="Calibri" w:hAnsi="Calibri" w:cs="Calibri"/>
          <w:lang w:val="ro-RO"/>
        </w:rPr>
        <w:t xml:space="preserve"> de companiile mari</w:t>
      </w:r>
      <w:r w:rsidR="00BA147F" w:rsidRPr="00834B27">
        <w:rPr>
          <w:rFonts w:ascii="Calibri" w:hAnsi="Calibri" w:cs="Calibri"/>
          <w:lang w:val="ro-RO"/>
        </w:rPr>
        <w:t>;</w:t>
      </w:r>
    </w:p>
    <w:p w14:paraId="0B3CD236" w14:textId="5DF4AD25" w:rsidR="005B4C00" w:rsidRPr="00834B27" w:rsidRDefault="0003306E" w:rsidP="00070D98">
      <w:pPr>
        <w:pStyle w:val="Listparagraf"/>
        <w:numPr>
          <w:ilvl w:val="0"/>
          <w:numId w:val="1"/>
        </w:numPr>
        <w:tabs>
          <w:tab w:val="left" w:pos="720"/>
        </w:tabs>
        <w:spacing w:line="276" w:lineRule="auto"/>
        <w:contextualSpacing w:val="0"/>
        <w:jc w:val="both"/>
        <w:rPr>
          <w:rFonts w:ascii="Calibri" w:hAnsi="Calibri" w:cs="Calibri"/>
          <w:lang w:val="ro-RO"/>
        </w:rPr>
      </w:pPr>
      <w:r w:rsidRPr="00834B27">
        <w:rPr>
          <w:rFonts w:ascii="Calibri" w:hAnsi="Calibri" w:cs="Calibri"/>
          <w:lang w:val="ro-RO"/>
        </w:rPr>
        <w:t>Numărul</w:t>
      </w:r>
      <w:r w:rsidR="00BA147F" w:rsidRPr="00834B27">
        <w:rPr>
          <w:rFonts w:ascii="Calibri" w:hAnsi="Calibri" w:cs="Calibri"/>
          <w:lang w:val="ro-RO"/>
        </w:rPr>
        <w:t xml:space="preserve"> de </w:t>
      </w:r>
      <w:r w:rsidRPr="00834B27">
        <w:rPr>
          <w:rFonts w:ascii="Calibri" w:hAnsi="Calibri" w:cs="Calibri"/>
          <w:lang w:val="ro-RO"/>
        </w:rPr>
        <w:t>angaja</w:t>
      </w:r>
      <w:r w:rsidR="00D77C4B" w:rsidRPr="00834B27">
        <w:rPr>
          <w:rFonts w:ascii="Calibri" w:hAnsi="Calibri" w:cs="Calibri"/>
          <w:lang w:val="ro-RO"/>
        </w:rPr>
        <w:t>ț</w:t>
      </w:r>
      <w:r w:rsidRPr="00834B27">
        <w:rPr>
          <w:rFonts w:ascii="Calibri" w:hAnsi="Calibri" w:cs="Calibri"/>
          <w:lang w:val="ro-RO"/>
        </w:rPr>
        <w:t>i</w:t>
      </w:r>
      <w:r w:rsidR="00967697" w:rsidRPr="00834B27">
        <w:rPr>
          <w:rFonts w:ascii="Calibri" w:hAnsi="Calibri" w:cs="Calibri"/>
          <w:lang w:val="ro-RO"/>
        </w:rPr>
        <w:t xml:space="preserve"> al celor 702 mii de </w:t>
      </w:r>
      <w:r w:rsidRPr="00834B27">
        <w:rPr>
          <w:rFonts w:ascii="Calibri" w:hAnsi="Calibri" w:cs="Calibri"/>
          <w:lang w:val="ro-RO"/>
        </w:rPr>
        <w:t>microîntreprinderi</w:t>
      </w:r>
      <w:r w:rsidR="00967697" w:rsidRPr="00834B27">
        <w:rPr>
          <w:rFonts w:ascii="Calibri" w:hAnsi="Calibri" w:cs="Calibri"/>
          <w:lang w:val="ro-RO"/>
        </w:rPr>
        <w:t xml:space="preserve"> este de doar 535</w:t>
      </w:r>
      <w:r w:rsidR="004E60E9" w:rsidRPr="00834B27">
        <w:rPr>
          <w:rFonts w:ascii="Calibri" w:hAnsi="Calibri" w:cs="Calibri"/>
          <w:lang w:val="ro-RO"/>
        </w:rPr>
        <w:t>,7 mii, ceea ce indic</w:t>
      </w:r>
      <w:r w:rsidR="0083328B" w:rsidRPr="00834B27">
        <w:rPr>
          <w:rFonts w:ascii="Calibri" w:hAnsi="Calibri" w:cs="Calibri"/>
          <w:lang w:val="ro-RO"/>
        </w:rPr>
        <w:t>ă</w:t>
      </w:r>
      <w:r w:rsidR="004E60E9" w:rsidRPr="00834B27">
        <w:rPr>
          <w:rFonts w:ascii="Calibri" w:hAnsi="Calibri" w:cs="Calibri"/>
          <w:lang w:val="ro-RO"/>
        </w:rPr>
        <w:t xml:space="preserve"> o problem</w:t>
      </w:r>
      <w:r w:rsidRPr="00834B27">
        <w:rPr>
          <w:rFonts w:ascii="Calibri" w:hAnsi="Calibri" w:cs="Calibri"/>
          <w:lang w:val="ro-RO"/>
        </w:rPr>
        <w:t>ă</w:t>
      </w:r>
      <w:r w:rsidR="004E60E9" w:rsidRPr="00834B27">
        <w:rPr>
          <w:rFonts w:ascii="Calibri" w:hAnsi="Calibri" w:cs="Calibri"/>
          <w:lang w:val="ro-RO"/>
        </w:rPr>
        <w:t xml:space="preserve"> de conformare, fiind cu </w:t>
      </w:r>
      <w:r w:rsidR="00E8138D" w:rsidRPr="00834B27">
        <w:rPr>
          <w:rFonts w:ascii="Calibri" w:hAnsi="Calibri" w:cs="Calibri"/>
          <w:lang w:val="ro-RO"/>
        </w:rPr>
        <w:t xml:space="preserve">aproximativ 166 mii mai mic </w:t>
      </w:r>
      <w:r w:rsidRPr="00834B27">
        <w:rPr>
          <w:rFonts w:ascii="Calibri" w:hAnsi="Calibri" w:cs="Calibri"/>
          <w:lang w:val="ro-RO"/>
        </w:rPr>
        <w:t>decât</w:t>
      </w:r>
      <w:r w:rsidR="00E8138D" w:rsidRPr="00834B27">
        <w:rPr>
          <w:rFonts w:ascii="Calibri" w:hAnsi="Calibri" w:cs="Calibri"/>
          <w:lang w:val="ro-RO"/>
        </w:rPr>
        <w:t xml:space="preserve"> ar fi trebuit s</w:t>
      </w:r>
      <w:r w:rsidRPr="00834B27">
        <w:rPr>
          <w:rFonts w:ascii="Calibri" w:hAnsi="Calibri" w:cs="Calibri"/>
          <w:lang w:val="ro-RO"/>
        </w:rPr>
        <w:t>ă</w:t>
      </w:r>
      <w:r w:rsidR="00E8138D" w:rsidRPr="00834B27">
        <w:rPr>
          <w:rFonts w:ascii="Calibri" w:hAnsi="Calibri" w:cs="Calibri"/>
          <w:lang w:val="ro-RO"/>
        </w:rPr>
        <w:t xml:space="preserve"> fie</w:t>
      </w:r>
      <w:r w:rsidR="0083328B" w:rsidRPr="00834B27">
        <w:rPr>
          <w:rStyle w:val="Referinnotdesubsol"/>
          <w:rFonts w:ascii="Calibri" w:hAnsi="Calibri" w:cs="Calibri"/>
          <w:lang w:val="ro-RO"/>
        </w:rPr>
        <w:footnoteReference w:id="24"/>
      </w:r>
      <w:r w:rsidR="00E8138D" w:rsidRPr="00834B27">
        <w:rPr>
          <w:rFonts w:ascii="Calibri" w:hAnsi="Calibri" w:cs="Calibri"/>
          <w:lang w:val="ro-RO"/>
        </w:rPr>
        <w:t>.</w:t>
      </w:r>
    </w:p>
    <w:p w14:paraId="4FEF7064" w14:textId="6CBB067C" w:rsidR="00D04DB2" w:rsidRPr="00834B27" w:rsidRDefault="00070D98" w:rsidP="00D04DB2">
      <w:pPr>
        <w:tabs>
          <w:tab w:val="left" w:pos="720"/>
        </w:tabs>
        <w:spacing w:line="276" w:lineRule="auto"/>
        <w:jc w:val="both"/>
        <w:rPr>
          <w:rFonts w:ascii="Calibri" w:hAnsi="Calibri" w:cs="Calibri"/>
          <w:lang w:val="ro-RO"/>
        </w:rPr>
      </w:pPr>
      <w:r w:rsidRPr="00834B27">
        <w:rPr>
          <w:rFonts w:ascii="Calibri" w:hAnsi="Calibri" w:cs="Calibri"/>
          <w:lang w:val="ro-RO"/>
        </w:rPr>
        <w:t>Aceste cifre indic</w:t>
      </w:r>
      <w:r w:rsidR="0003306E" w:rsidRPr="00834B27">
        <w:rPr>
          <w:rFonts w:ascii="Calibri" w:hAnsi="Calibri" w:cs="Calibri"/>
          <w:lang w:val="ro-RO"/>
        </w:rPr>
        <w:t>ă</w:t>
      </w:r>
      <w:r w:rsidRPr="00834B27">
        <w:rPr>
          <w:rFonts w:ascii="Calibri" w:hAnsi="Calibri" w:cs="Calibri"/>
          <w:lang w:val="ro-RO"/>
        </w:rPr>
        <w:t xml:space="preserve">, </w:t>
      </w:r>
      <w:r w:rsidR="0003306E" w:rsidRPr="00834B27">
        <w:rPr>
          <w:rFonts w:ascii="Calibri" w:hAnsi="Calibri" w:cs="Calibri"/>
          <w:lang w:val="ro-RO"/>
        </w:rPr>
        <w:t>î</w:t>
      </w:r>
      <w:r w:rsidRPr="00834B27">
        <w:rPr>
          <w:rFonts w:ascii="Calibri" w:hAnsi="Calibri" w:cs="Calibri"/>
          <w:lang w:val="ro-RO"/>
        </w:rPr>
        <w:t xml:space="preserve">n opinia </w:t>
      </w:r>
      <w:r w:rsidR="0003306E" w:rsidRPr="00834B27">
        <w:rPr>
          <w:rFonts w:ascii="Calibri" w:hAnsi="Calibri" w:cs="Calibri"/>
          <w:lang w:val="ro-RO"/>
        </w:rPr>
        <w:t>noastră</w:t>
      </w:r>
      <w:r w:rsidR="00496F01" w:rsidRPr="00834B27">
        <w:rPr>
          <w:rFonts w:ascii="Calibri" w:hAnsi="Calibri" w:cs="Calibri"/>
          <w:lang w:val="ro-RO"/>
        </w:rPr>
        <w:t>, fie probleme de raportare</w:t>
      </w:r>
      <w:r w:rsidR="0083328B" w:rsidRPr="00834B27">
        <w:rPr>
          <w:rFonts w:ascii="Calibri" w:hAnsi="Calibri" w:cs="Calibri"/>
          <w:lang w:val="ro-RO"/>
        </w:rPr>
        <w:t>,</w:t>
      </w:r>
      <w:r w:rsidR="00496F01" w:rsidRPr="00834B27">
        <w:rPr>
          <w:rFonts w:ascii="Calibri" w:hAnsi="Calibri" w:cs="Calibri"/>
          <w:lang w:val="ro-RO"/>
        </w:rPr>
        <w:t xml:space="preserve"> fie</w:t>
      </w:r>
      <w:r w:rsidR="0003306E" w:rsidRPr="00834B27">
        <w:rPr>
          <w:rFonts w:ascii="Calibri" w:hAnsi="Calibri" w:cs="Calibri"/>
          <w:lang w:val="ro-RO"/>
        </w:rPr>
        <w:t>,</w:t>
      </w:r>
      <w:r w:rsidR="00496F01" w:rsidRPr="00834B27">
        <w:rPr>
          <w:rFonts w:ascii="Calibri" w:hAnsi="Calibri" w:cs="Calibri"/>
          <w:lang w:val="ro-RO"/>
        </w:rPr>
        <w:t xml:space="preserve"> cel mai probabil, faptul c</w:t>
      </w:r>
      <w:r w:rsidR="0003306E" w:rsidRPr="00834B27">
        <w:rPr>
          <w:rFonts w:ascii="Calibri" w:hAnsi="Calibri" w:cs="Calibri"/>
          <w:lang w:val="ro-RO"/>
        </w:rPr>
        <w:t xml:space="preserve">ă </w:t>
      </w:r>
      <w:r w:rsidR="00496F01" w:rsidRPr="00834B27">
        <w:rPr>
          <w:rFonts w:ascii="Calibri" w:hAnsi="Calibri" w:cs="Calibri"/>
          <w:lang w:val="ro-RO"/>
        </w:rPr>
        <w:t>o mare parte din</w:t>
      </w:r>
      <w:r w:rsidR="0003306E" w:rsidRPr="00834B27">
        <w:rPr>
          <w:rFonts w:ascii="Calibri" w:hAnsi="Calibri" w:cs="Calibri"/>
          <w:lang w:val="ro-RO"/>
        </w:rPr>
        <w:t>tre</w:t>
      </w:r>
      <w:r w:rsidR="00496F01" w:rsidRPr="00834B27">
        <w:rPr>
          <w:rFonts w:ascii="Calibri" w:hAnsi="Calibri" w:cs="Calibri"/>
          <w:lang w:val="ro-RO"/>
        </w:rPr>
        <w:t xml:space="preserve"> aceste </w:t>
      </w:r>
      <w:r w:rsidR="0003306E" w:rsidRPr="00834B27">
        <w:rPr>
          <w:rFonts w:ascii="Calibri" w:hAnsi="Calibri" w:cs="Calibri"/>
          <w:lang w:val="ro-RO"/>
        </w:rPr>
        <w:t>microîntreprinderi</w:t>
      </w:r>
      <w:r w:rsidR="005B4C00" w:rsidRPr="00834B27">
        <w:rPr>
          <w:rFonts w:ascii="Calibri" w:hAnsi="Calibri" w:cs="Calibri"/>
          <w:lang w:val="ro-RO"/>
        </w:rPr>
        <w:t xml:space="preserve"> sunt </w:t>
      </w:r>
      <w:r w:rsidR="0003306E" w:rsidRPr="00834B27">
        <w:rPr>
          <w:rFonts w:ascii="Calibri" w:hAnsi="Calibri" w:cs="Calibri"/>
          <w:lang w:val="ro-RO"/>
        </w:rPr>
        <w:t>î</w:t>
      </w:r>
      <w:r w:rsidR="005B4C00" w:rsidRPr="00834B27">
        <w:rPr>
          <w:rFonts w:ascii="Calibri" w:hAnsi="Calibri" w:cs="Calibri"/>
          <w:lang w:val="ro-RO"/>
        </w:rPr>
        <w:t xml:space="preserve">n mare </w:t>
      </w:r>
      <w:r w:rsidR="00DD6A20" w:rsidRPr="00834B27">
        <w:rPr>
          <w:rFonts w:ascii="Calibri" w:hAnsi="Calibri" w:cs="Calibri"/>
          <w:lang w:val="ro-RO"/>
        </w:rPr>
        <w:t>parte folosite ca paravan pentru evaziune</w:t>
      </w:r>
      <w:r w:rsidR="00C21317" w:rsidRPr="00834B27">
        <w:rPr>
          <w:rFonts w:ascii="Calibri" w:hAnsi="Calibri" w:cs="Calibri"/>
          <w:lang w:val="ro-RO"/>
        </w:rPr>
        <w:t xml:space="preserve"> (nedeclarare</w:t>
      </w:r>
      <w:r w:rsidR="00D04DB2" w:rsidRPr="00834B27">
        <w:rPr>
          <w:rFonts w:ascii="Calibri" w:hAnsi="Calibri" w:cs="Calibri"/>
          <w:lang w:val="ro-RO"/>
        </w:rPr>
        <w:t>a</w:t>
      </w:r>
      <w:r w:rsidR="00C21317" w:rsidRPr="00834B27">
        <w:rPr>
          <w:rFonts w:ascii="Calibri" w:hAnsi="Calibri" w:cs="Calibri"/>
          <w:lang w:val="ro-RO"/>
        </w:rPr>
        <w:t xml:space="preserve"> </w:t>
      </w:r>
      <w:r w:rsidR="0003306E" w:rsidRPr="00834B27">
        <w:rPr>
          <w:rFonts w:ascii="Calibri" w:hAnsi="Calibri" w:cs="Calibri"/>
          <w:lang w:val="ro-RO"/>
        </w:rPr>
        <w:t>vânzări</w:t>
      </w:r>
      <w:r w:rsidR="00D04DB2" w:rsidRPr="00834B27">
        <w:rPr>
          <w:rFonts w:ascii="Calibri" w:hAnsi="Calibri" w:cs="Calibri"/>
          <w:lang w:val="ro-RO"/>
        </w:rPr>
        <w:t>lor</w:t>
      </w:r>
      <w:r w:rsidR="00C21317" w:rsidRPr="00834B27">
        <w:rPr>
          <w:rFonts w:ascii="Calibri" w:hAnsi="Calibri" w:cs="Calibri"/>
          <w:lang w:val="ro-RO"/>
        </w:rPr>
        <w:t xml:space="preserve">) </w:t>
      </w:r>
      <w:r w:rsidR="0003306E" w:rsidRPr="00834B27">
        <w:rPr>
          <w:rFonts w:ascii="Calibri" w:hAnsi="Calibri" w:cs="Calibri"/>
          <w:lang w:val="ro-RO"/>
        </w:rPr>
        <w:t>ș</w:t>
      </w:r>
      <w:r w:rsidR="00C21317" w:rsidRPr="00834B27">
        <w:rPr>
          <w:rFonts w:ascii="Calibri" w:hAnsi="Calibri" w:cs="Calibri"/>
          <w:lang w:val="ro-RO"/>
        </w:rPr>
        <w:t>i/sau</w:t>
      </w:r>
      <w:r w:rsidR="008B012E" w:rsidRPr="00834B27">
        <w:rPr>
          <w:rFonts w:ascii="Calibri" w:hAnsi="Calibri" w:cs="Calibri"/>
          <w:lang w:val="ro-RO"/>
        </w:rPr>
        <w:t xml:space="preserve"> pentru </w:t>
      </w:r>
      <w:r w:rsidR="0003306E" w:rsidRPr="00834B27">
        <w:rPr>
          <w:rFonts w:ascii="Calibri" w:hAnsi="Calibri" w:cs="Calibri"/>
          <w:lang w:val="ro-RO"/>
        </w:rPr>
        <w:t>înregistrarea</w:t>
      </w:r>
      <w:r w:rsidR="008B012E" w:rsidRPr="00834B27">
        <w:rPr>
          <w:rFonts w:ascii="Calibri" w:hAnsi="Calibri" w:cs="Calibri"/>
          <w:lang w:val="ro-RO"/>
        </w:rPr>
        <w:t xml:space="preserve"> de cheltuieli </w:t>
      </w:r>
      <w:r w:rsidR="00D04DB2" w:rsidRPr="00834B27">
        <w:rPr>
          <w:rFonts w:ascii="Calibri" w:hAnsi="Calibri" w:cs="Calibri"/>
          <w:lang w:val="ro-RO"/>
        </w:rPr>
        <w:t>personale</w:t>
      </w:r>
      <w:r w:rsidR="008B012E" w:rsidRPr="00834B27">
        <w:rPr>
          <w:rFonts w:ascii="Calibri" w:hAnsi="Calibri" w:cs="Calibri"/>
          <w:lang w:val="ro-RO"/>
        </w:rPr>
        <w:t xml:space="preserve"> pentru </w:t>
      </w:r>
      <w:r w:rsidR="0003306E" w:rsidRPr="00834B27">
        <w:rPr>
          <w:rFonts w:ascii="Calibri" w:hAnsi="Calibri" w:cs="Calibri"/>
          <w:lang w:val="ro-RO"/>
        </w:rPr>
        <w:t>asocia</w:t>
      </w:r>
      <w:r w:rsidR="00D77C4B" w:rsidRPr="00834B27">
        <w:rPr>
          <w:rFonts w:ascii="Calibri" w:hAnsi="Calibri" w:cs="Calibri"/>
          <w:lang w:val="ro-RO"/>
        </w:rPr>
        <w:t>ț</w:t>
      </w:r>
      <w:r w:rsidR="0003306E" w:rsidRPr="00834B27">
        <w:rPr>
          <w:rFonts w:ascii="Calibri" w:hAnsi="Calibri" w:cs="Calibri"/>
          <w:lang w:val="ro-RO"/>
        </w:rPr>
        <w:t>i</w:t>
      </w:r>
      <w:r w:rsidR="00F14468" w:rsidRPr="00834B27">
        <w:rPr>
          <w:rFonts w:ascii="Calibri" w:hAnsi="Calibri" w:cs="Calibri"/>
          <w:lang w:val="ro-RO"/>
        </w:rPr>
        <w:t>.</w:t>
      </w:r>
    </w:p>
    <w:p w14:paraId="5A0033F1" w14:textId="77777777" w:rsidR="00C75F3E" w:rsidRPr="00834B27" w:rsidRDefault="00A1539E" w:rsidP="00764973">
      <w:pPr>
        <w:tabs>
          <w:tab w:val="left" w:pos="720"/>
        </w:tabs>
        <w:spacing w:line="276" w:lineRule="auto"/>
        <w:jc w:val="both"/>
        <w:rPr>
          <w:rFonts w:ascii="Calibri" w:hAnsi="Calibri" w:cs="Calibri"/>
          <w:b/>
          <w:bCs/>
          <w:lang w:val="ro-RO"/>
        </w:rPr>
      </w:pPr>
      <w:r w:rsidRPr="00834B27">
        <w:rPr>
          <w:rFonts w:ascii="Calibri" w:hAnsi="Calibri" w:cs="Calibri"/>
          <w:b/>
          <w:bCs/>
          <w:lang w:val="ro-RO"/>
        </w:rPr>
        <w:t xml:space="preserve">Tabel </w:t>
      </w:r>
      <w:r w:rsidR="00D62076" w:rsidRPr="00834B27">
        <w:rPr>
          <w:rFonts w:ascii="Calibri" w:hAnsi="Calibri" w:cs="Calibri"/>
          <w:b/>
          <w:bCs/>
          <w:lang w:val="ro-RO"/>
        </w:rPr>
        <w:t xml:space="preserve">6 – </w:t>
      </w:r>
      <w:r w:rsidR="0003306E" w:rsidRPr="00834B27">
        <w:rPr>
          <w:rFonts w:ascii="Calibri" w:hAnsi="Calibri" w:cs="Calibri"/>
          <w:b/>
          <w:bCs/>
          <w:lang w:val="ro-RO"/>
        </w:rPr>
        <w:t>Situa</w:t>
      </w:r>
      <w:r w:rsidR="00D77C4B" w:rsidRPr="00834B27">
        <w:rPr>
          <w:rFonts w:ascii="Calibri" w:hAnsi="Calibri" w:cs="Calibri"/>
          <w:b/>
          <w:bCs/>
          <w:lang w:val="ro-RO"/>
        </w:rPr>
        <w:t>ț</w:t>
      </w:r>
      <w:r w:rsidR="0003306E" w:rsidRPr="00834B27">
        <w:rPr>
          <w:rFonts w:ascii="Calibri" w:hAnsi="Calibri" w:cs="Calibri"/>
          <w:b/>
          <w:bCs/>
          <w:lang w:val="ro-RO"/>
        </w:rPr>
        <w:t>ie</w:t>
      </w:r>
      <w:r w:rsidR="00C14086" w:rsidRPr="00834B27">
        <w:rPr>
          <w:rFonts w:ascii="Calibri" w:hAnsi="Calibri" w:cs="Calibri"/>
          <w:b/>
          <w:bCs/>
          <w:lang w:val="ro-RO"/>
        </w:rPr>
        <w:t xml:space="preserve"> </w:t>
      </w:r>
      <w:r w:rsidR="0003306E" w:rsidRPr="00834B27">
        <w:rPr>
          <w:rFonts w:ascii="Calibri" w:hAnsi="Calibri" w:cs="Calibri"/>
          <w:b/>
          <w:bCs/>
          <w:lang w:val="ro-RO"/>
        </w:rPr>
        <w:t>microîntreprinderi</w:t>
      </w:r>
      <w:r w:rsidR="00D62076" w:rsidRPr="00834B27">
        <w:rPr>
          <w:rFonts w:ascii="Calibri" w:hAnsi="Calibri" w:cs="Calibri"/>
          <w:b/>
          <w:bCs/>
          <w:lang w:val="ro-RO"/>
        </w:rPr>
        <w:t xml:space="preserve"> </w:t>
      </w:r>
      <w:r w:rsidR="00C14086" w:rsidRPr="00834B27">
        <w:rPr>
          <w:rFonts w:ascii="Calibri" w:hAnsi="Calibri" w:cs="Calibri"/>
          <w:b/>
          <w:bCs/>
          <w:lang w:val="ro-RO"/>
        </w:rPr>
        <w:t xml:space="preserve">cu cifra de afaceri &lt;100.000 euro, </w:t>
      </w:r>
      <w:r w:rsidR="0003306E" w:rsidRPr="00834B27">
        <w:rPr>
          <w:rFonts w:ascii="Calibri" w:hAnsi="Calibri" w:cs="Calibri"/>
          <w:b/>
          <w:bCs/>
          <w:lang w:val="ro-RO"/>
        </w:rPr>
        <w:t>î</w:t>
      </w:r>
      <w:r w:rsidR="00C14086" w:rsidRPr="00834B27">
        <w:rPr>
          <w:rFonts w:ascii="Calibri" w:hAnsi="Calibri" w:cs="Calibri"/>
          <w:b/>
          <w:bCs/>
          <w:lang w:val="ro-RO"/>
        </w:rPr>
        <w:t>n 2024</w:t>
      </w: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1039"/>
        <w:gridCol w:w="1653"/>
        <w:gridCol w:w="1615"/>
        <w:gridCol w:w="905"/>
        <w:gridCol w:w="1503"/>
        <w:gridCol w:w="890"/>
        <w:gridCol w:w="1048"/>
      </w:tblGrid>
      <w:tr w:rsidR="00D04DB2" w:rsidRPr="00834B27" w14:paraId="26B8E9CC" w14:textId="77777777" w:rsidTr="00D04DB2">
        <w:trPr>
          <w:trHeight w:val="285"/>
        </w:trPr>
        <w:tc>
          <w:tcPr>
            <w:tcW w:w="816" w:type="dxa"/>
            <w:noWrap/>
            <w:vAlign w:val="center"/>
            <w:hideMark/>
          </w:tcPr>
          <w:p w14:paraId="432F5C45" w14:textId="77777777" w:rsidR="00D04DB2" w:rsidRPr="00834B27" w:rsidRDefault="00D04DB2" w:rsidP="00A44FC4">
            <w:pPr>
              <w:spacing w:after="0" w:line="240" w:lineRule="auto"/>
              <w:rPr>
                <w:rFonts w:ascii="Calibri" w:eastAsia="Times New Roman" w:hAnsi="Calibri" w:cs="Calibri"/>
                <w:color w:val="000000"/>
                <w:kern w:val="0"/>
                <w:sz w:val="22"/>
                <w:szCs w:val="22"/>
                <w:lang w:val="ro-RO"/>
                <w14:ligatures w14:val="none"/>
              </w:rPr>
            </w:pPr>
            <w:r w:rsidRPr="00834B27">
              <w:rPr>
                <w:rFonts w:ascii="Calibri" w:eastAsia="Times New Roman" w:hAnsi="Calibri" w:cs="Calibri"/>
                <w:color w:val="000000"/>
                <w:kern w:val="0"/>
                <w:sz w:val="22"/>
                <w:szCs w:val="22"/>
                <w:lang w:val="ro-RO"/>
                <w14:ligatures w14:val="none"/>
              </w:rPr>
              <w:t>Profit?</w:t>
            </w:r>
          </w:p>
        </w:tc>
        <w:tc>
          <w:tcPr>
            <w:tcW w:w="1039" w:type="dxa"/>
            <w:noWrap/>
            <w:vAlign w:val="center"/>
            <w:hideMark/>
          </w:tcPr>
          <w:p w14:paraId="0AF39BC9" w14:textId="77777777" w:rsidR="00D04DB2" w:rsidRPr="00834B27" w:rsidRDefault="00D04DB2" w:rsidP="00A44FC4">
            <w:pPr>
              <w:spacing w:after="0" w:line="240" w:lineRule="auto"/>
              <w:rPr>
                <w:rFonts w:ascii="Calibri" w:eastAsia="Times New Roman" w:hAnsi="Calibri" w:cs="Calibri"/>
                <w:color w:val="000000"/>
                <w:kern w:val="0"/>
                <w:sz w:val="22"/>
                <w:szCs w:val="22"/>
                <w:lang w:val="ro-RO"/>
                <w14:ligatures w14:val="none"/>
              </w:rPr>
            </w:pPr>
            <w:r w:rsidRPr="00834B27">
              <w:rPr>
                <w:rFonts w:ascii="Calibri" w:eastAsia="Times New Roman" w:hAnsi="Calibri" w:cs="Calibri"/>
                <w:color w:val="000000"/>
                <w:kern w:val="0"/>
                <w:sz w:val="22"/>
                <w:szCs w:val="22"/>
                <w:lang w:val="ro-RO"/>
                <w14:ligatures w14:val="none"/>
              </w:rPr>
              <w:t>Număr companii</w:t>
            </w:r>
          </w:p>
        </w:tc>
        <w:tc>
          <w:tcPr>
            <w:tcW w:w="1653" w:type="dxa"/>
            <w:noWrap/>
            <w:vAlign w:val="center"/>
            <w:hideMark/>
          </w:tcPr>
          <w:p w14:paraId="3EAC23E5" w14:textId="77777777" w:rsidR="00D04DB2" w:rsidRPr="00834B27" w:rsidRDefault="00D04DB2" w:rsidP="00A44FC4">
            <w:pPr>
              <w:spacing w:after="0" w:line="240" w:lineRule="auto"/>
              <w:rPr>
                <w:rFonts w:ascii="Calibri" w:eastAsia="Times New Roman" w:hAnsi="Calibri" w:cs="Calibri"/>
                <w:color w:val="000000"/>
                <w:kern w:val="0"/>
                <w:sz w:val="22"/>
                <w:szCs w:val="22"/>
                <w:lang w:val="ro-RO"/>
                <w14:ligatures w14:val="none"/>
              </w:rPr>
            </w:pPr>
            <w:r w:rsidRPr="00834B27">
              <w:rPr>
                <w:rFonts w:ascii="Calibri" w:eastAsia="Times New Roman" w:hAnsi="Calibri" w:cs="Calibri"/>
                <w:color w:val="000000"/>
                <w:kern w:val="0"/>
                <w:sz w:val="22"/>
                <w:szCs w:val="22"/>
                <w:lang w:val="ro-RO"/>
                <w14:ligatures w14:val="none"/>
              </w:rPr>
              <w:t>Cifra de afaceri netă</w:t>
            </w:r>
          </w:p>
        </w:tc>
        <w:tc>
          <w:tcPr>
            <w:tcW w:w="1615" w:type="dxa"/>
            <w:noWrap/>
            <w:vAlign w:val="center"/>
            <w:hideMark/>
          </w:tcPr>
          <w:p w14:paraId="6CE9D2AB" w14:textId="77777777" w:rsidR="00D04DB2" w:rsidRPr="00834B27" w:rsidRDefault="00D04DB2" w:rsidP="00A44FC4">
            <w:pPr>
              <w:spacing w:after="0" w:line="240" w:lineRule="auto"/>
              <w:rPr>
                <w:rFonts w:ascii="Calibri" w:eastAsia="Times New Roman" w:hAnsi="Calibri" w:cs="Calibri"/>
                <w:color w:val="000000"/>
                <w:kern w:val="0"/>
                <w:sz w:val="22"/>
                <w:szCs w:val="22"/>
                <w:lang w:val="ro-RO"/>
                <w14:ligatures w14:val="none"/>
              </w:rPr>
            </w:pPr>
            <w:r w:rsidRPr="00834B27">
              <w:rPr>
                <w:rFonts w:ascii="Calibri" w:eastAsia="Times New Roman" w:hAnsi="Calibri" w:cs="Calibri"/>
                <w:color w:val="000000"/>
                <w:kern w:val="0"/>
                <w:sz w:val="22"/>
                <w:szCs w:val="22"/>
                <w:lang w:val="ro-RO"/>
                <w14:ligatures w14:val="none"/>
              </w:rPr>
              <w:t>Profit net</w:t>
            </w:r>
          </w:p>
        </w:tc>
        <w:tc>
          <w:tcPr>
            <w:tcW w:w="905" w:type="dxa"/>
            <w:noWrap/>
            <w:vAlign w:val="center"/>
            <w:hideMark/>
          </w:tcPr>
          <w:p w14:paraId="6143D917" w14:textId="77777777" w:rsidR="00D04DB2" w:rsidRPr="00834B27" w:rsidRDefault="00D04DB2" w:rsidP="00A44FC4">
            <w:pPr>
              <w:spacing w:after="0" w:line="240" w:lineRule="auto"/>
              <w:rPr>
                <w:rFonts w:ascii="Calibri" w:eastAsia="Times New Roman" w:hAnsi="Calibri" w:cs="Calibri"/>
                <w:color w:val="000000"/>
                <w:kern w:val="0"/>
                <w:sz w:val="22"/>
                <w:szCs w:val="22"/>
                <w:lang w:val="ro-RO"/>
                <w14:ligatures w14:val="none"/>
              </w:rPr>
            </w:pPr>
            <w:r w:rsidRPr="00834B27">
              <w:rPr>
                <w:rFonts w:ascii="Calibri" w:eastAsia="Times New Roman" w:hAnsi="Calibri" w:cs="Calibri"/>
                <w:color w:val="000000"/>
                <w:kern w:val="0"/>
                <w:sz w:val="22"/>
                <w:szCs w:val="22"/>
                <w:lang w:val="ro-RO"/>
                <w14:ligatures w14:val="none"/>
              </w:rPr>
              <w:t>Rata profit net</w:t>
            </w:r>
          </w:p>
        </w:tc>
        <w:tc>
          <w:tcPr>
            <w:tcW w:w="1503" w:type="dxa"/>
            <w:noWrap/>
            <w:vAlign w:val="center"/>
            <w:hideMark/>
          </w:tcPr>
          <w:p w14:paraId="02EC21A6" w14:textId="77777777" w:rsidR="00D04DB2" w:rsidRPr="00834B27" w:rsidRDefault="00D04DB2" w:rsidP="00A44FC4">
            <w:pPr>
              <w:spacing w:after="0" w:line="240" w:lineRule="auto"/>
              <w:rPr>
                <w:rFonts w:ascii="Calibri" w:eastAsia="Times New Roman" w:hAnsi="Calibri" w:cs="Calibri"/>
                <w:color w:val="000000"/>
                <w:kern w:val="0"/>
                <w:sz w:val="22"/>
                <w:szCs w:val="22"/>
                <w:lang w:val="ro-RO"/>
                <w14:ligatures w14:val="none"/>
              </w:rPr>
            </w:pPr>
            <w:r w:rsidRPr="00834B27">
              <w:rPr>
                <w:rFonts w:ascii="Calibri" w:eastAsia="Times New Roman" w:hAnsi="Calibri" w:cs="Calibri"/>
                <w:color w:val="000000"/>
                <w:kern w:val="0"/>
                <w:sz w:val="22"/>
                <w:szCs w:val="22"/>
                <w:lang w:val="ro-RO"/>
                <w14:ligatures w14:val="none"/>
              </w:rPr>
              <w:t>Impozit profit/venit</w:t>
            </w:r>
          </w:p>
        </w:tc>
        <w:tc>
          <w:tcPr>
            <w:tcW w:w="890" w:type="dxa"/>
            <w:noWrap/>
            <w:vAlign w:val="center"/>
            <w:hideMark/>
          </w:tcPr>
          <w:p w14:paraId="37D38C10" w14:textId="77777777" w:rsidR="00D04DB2" w:rsidRPr="00834B27" w:rsidRDefault="00D04DB2" w:rsidP="00A44FC4">
            <w:pPr>
              <w:spacing w:after="0" w:line="240" w:lineRule="auto"/>
              <w:rPr>
                <w:rFonts w:ascii="Calibri" w:eastAsia="Times New Roman" w:hAnsi="Calibri" w:cs="Calibri"/>
                <w:color w:val="000000"/>
                <w:kern w:val="0"/>
                <w:sz w:val="22"/>
                <w:szCs w:val="22"/>
                <w:lang w:val="ro-RO"/>
                <w14:ligatures w14:val="none"/>
              </w:rPr>
            </w:pPr>
            <w:r w:rsidRPr="00834B27">
              <w:rPr>
                <w:rFonts w:ascii="Calibri" w:eastAsia="Times New Roman" w:hAnsi="Calibri" w:cs="Calibri"/>
                <w:color w:val="000000"/>
                <w:kern w:val="0"/>
                <w:sz w:val="22"/>
                <w:szCs w:val="22"/>
                <w:lang w:val="ro-RO"/>
                <w14:ligatures w14:val="none"/>
              </w:rPr>
              <w:t>Impozit / Profit brut</w:t>
            </w:r>
          </w:p>
        </w:tc>
        <w:tc>
          <w:tcPr>
            <w:tcW w:w="1048" w:type="dxa"/>
            <w:noWrap/>
            <w:vAlign w:val="center"/>
            <w:hideMark/>
          </w:tcPr>
          <w:p w14:paraId="49B1027A" w14:textId="77777777" w:rsidR="00D04DB2" w:rsidRPr="00834B27" w:rsidRDefault="00D04DB2" w:rsidP="00A44FC4">
            <w:pPr>
              <w:spacing w:after="0" w:line="240" w:lineRule="auto"/>
              <w:rPr>
                <w:rFonts w:ascii="Calibri" w:eastAsia="Times New Roman" w:hAnsi="Calibri" w:cs="Calibri"/>
                <w:color w:val="000000"/>
                <w:kern w:val="0"/>
                <w:sz w:val="22"/>
                <w:szCs w:val="22"/>
                <w:lang w:val="ro-RO"/>
                <w14:ligatures w14:val="none"/>
              </w:rPr>
            </w:pPr>
            <w:r w:rsidRPr="00834B27">
              <w:rPr>
                <w:rFonts w:ascii="Calibri" w:eastAsia="Times New Roman" w:hAnsi="Calibri" w:cs="Calibri"/>
                <w:color w:val="000000"/>
                <w:kern w:val="0"/>
                <w:sz w:val="22"/>
                <w:szCs w:val="22"/>
                <w:lang w:val="ro-RO"/>
                <w14:ligatures w14:val="none"/>
              </w:rPr>
              <w:t>Număr angajați</w:t>
            </w:r>
          </w:p>
        </w:tc>
      </w:tr>
      <w:tr w:rsidR="00D04DB2" w:rsidRPr="00834B27" w14:paraId="7B26F51B" w14:textId="77777777" w:rsidTr="00D04DB2">
        <w:trPr>
          <w:trHeight w:val="285"/>
        </w:trPr>
        <w:tc>
          <w:tcPr>
            <w:tcW w:w="816" w:type="dxa"/>
            <w:noWrap/>
            <w:vAlign w:val="bottom"/>
            <w:hideMark/>
          </w:tcPr>
          <w:p w14:paraId="1EEE0B08" w14:textId="77777777" w:rsidR="00D04DB2" w:rsidRPr="00834B27" w:rsidRDefault="00D04DB2" w:rsidP="00A44FC4">
            <w:pPr>
              <w:spacing w:after="0" w:line="240" w:lineRule="auto"/>
              <w:rPr>
                <w:rFonts w:ascii="Calibri" w:eastAsia="Times New Roman" w:hAnsi="Calibri" w:cs="Calibri"/>
                <w:color w:val="000000"/>
                <w:kern w:val="0"/>
                <w:sz w:val="21"/>
                <w:szCs w:val="21"/>
                <w:lang w:val="ro-RO"/>
                <w14:ligatures w14:val="none"/>
              </w:rPr>
            </w:pPr>
            <w:r w:rsidRPr="00834B27">
              <w:rPr>
                <w:rFonts w:ascii="Calibri" w:eastAsia="Times New Roman" w:hAnsi="Calibri" w:cs="Calibri"/>
                <w:color w:val="000000"/>
                <w:kern w:val="0"/>
                <w:sz w:val="21"/>
                <w:szCs w:val="21"/>
                <w:lang w:val="ro-RO"/>
                <w14:ligatures w14:val="none"/>
              </w:rPr>
              <w:t>DA</w:t>
            </w:r>
          </w:p>
        </w:tc>
        <w:tc>
          <w:tcPr>
            <w:tcW w:w="1039" w:type="dxa"/>
            <w:noWrap/>
            <w:vAlign w:val="bottom"/>
            <w:hideMark/>
          </w:tcPr>
          <w:p w14:paraId="2D29F62B" w14:textId="0ABEE2FB" w:rsidR="00D04DB2" w:rsidRPr="00834B27" w:rsidRDefault="00D04DB2" w:rsidP="00A44FC4">
            <w:pPr>
              <w:spacing w:after="0" w:line="240" w:lineRule="auto"/>
              <w:jc w:val="right"/>
              <w:rPr>
                <w:rFonts w:ascii="Calibri" w:eastAsia="Times New Roman" w:hAnsi="Calibri" w:cs="Calibri"/>
                <w:color w:val="000000"/>
                <w:kern w:val="0"/>
                <w:sz w:val="21"/>
                <w:szCs w:val="21"/>
                <w:lang w:val="ro-RO"/>
                <w14:ligatures w14:val="none"/>
              </w:rPr>
            </w:pPr>
            <w:r w:rsidRPr="00834B27">
              <w:rPr>
                <w:rFonts w:ascii="Calibri" w:eastAsia="Times New Roman" w:hAnsi="Calibri" w:cs="Calibri"/>
                <w:color w:val="000000"/>
                <w:kern w:val="0"/>
                <w:sz w:val="21"/>
                <w:szCs w:val="21"/>
                <w:lang w:val="ro-RO"/>
                <w14:ligatures w14:val="none"/>
              </w:rPr>
              <w:t>416</w:t>
            </w:r>
            <w:r w:rsidR="00DD6108" w:rsidRPr="00834B27">
              <w:rPr>
                <w:rFonts w:ascii="Calibri" w:eastAsia="Times New Roman" w:hAnsi="Calibri" w:cs="Calibri"/>
                <w:color w:val="000000"/>
                <w:kern w:val="0"/>
                <w:sz w:val="21"/>
                <w:szCs w:val="21"/>
                <w:lang w:val="ro-RO"/>
                <w14:ligatures w14:val="none"/>
              </w:rPr>
              <w:t>.</w:t>
            </w:r>
            <w:r w:rsidRPr="00834B27">
              <w:rPr>
                <w:rFonts w:ascii="Calibri" w:eastAsia="Times New Roman" w:hAnsi="Calibri" w:cs="Calibri"/>
                <w:color w:val="000000"/>
                <w:kern w:val="0"/>
                <w:sz w:val="21"/>
                <w:szCs w:val="21"/>
                <w:lang w:val="ro-RO"/>
                <w14:ligatures w14:val="none"/>
              </w:rPr>
              <w:t>657</w:t>
            </w:r>
          </w:p>
        </w:tc>
        <w:tc>
          <w:tcPr>
            <w:tcW w:w="1653" w:type="dxa"/>
            <w:noWrap/>
            <w:vAlign w:val="bottom"/>
            <w:hideMark/>
          </w:tcPr>
          <w:p w14:paraId="3DD5954E" w14:textId="03563724" w:rsidR="00D04DB2" w:rsidRPr="00834B27" w:rsidRDefault="00D04DB2" w:rsidP="00A44FC4">
            <w:pPr>
              <w:spacing w:after="0" w:line="240" w:lineRule="auto"/>
              <w:jc w:val="right"/>
              <w:rPr>
                <w:rFonts w:ascii="Calibri" w:eastAsia="Times New Roman" w:hAnsi="Calibri" w:cs="Calibri"/>
                <w:color w:val="000000"/>
                <w:kern w:val="0"/>
                <w:sz w:val="21"/>
                <w:szCs w:val="21"/>
                <w:lang w:val="ro-RO"/>
                <w14:ligatures w14:val="none"/>
              </w:rPr>
            </w:pPr>
            <w:r w:rsidRPr="00834B27">
              <w:rPr>
                <w:rFonts w:ascii="Calibri" w:eastAsia="Times New Roman" w:hAnsi="Calibri" w:cs="Calibri"/>
                <w:color w:val="000000"/>
                <w:kern w:val="0"/>
                <w:sz w:val="21"/>
                <w:szCs w:val="21"/>
                <w:lang w:val="ro-RO"/>
                <w14:ligatures w14:val="none"/>
              </w:rPr>
              <w:t>54</w:t>
            </w:r>
            <w:r w:rsidR="00DD6108" w:rsidRPr="00834B27">
              <w:rPr>
                <w:rFonts w:ascii="Calibri" w:eastAsia="Times New Roman" w:hAnsi="Calibri" w:cs="Calibri"/>
                <w:color w:val="000000"/>
                <w:kern w:val="0"/>
                <w:sz w:val="21"/>
                <w:szCs w:val="21"/>
                <w:lang w:val="ro-RO"/>
                <w14:ligatures w14:val="none"/>
              </w:rPr>
              <w:t>.</w:t>
            </w:r>
            <w:r w:rsidRPr="00834B27">
              <w:rPr>
                <w:rFonts w:ascii="Calibri" w:eastAsia="Times New Roman" w:hAnsi="Calibri" w:cs="Calibri"/>
                <w:color w:val="000000"/>
                <w:kern w:val="0"/>
                <w:sz w:val="21"/>
                <w:szCs w:val="21"/>
                <w:lang w:val="ro-RO"/>
                <w14:ligatures w14:val="none"/>
              </w:rPr>
              <w:t>313</w:t>
            </w:r>
            <w:r w:rsidR="00DD6108" w:rsidRPr="00834B27">
              <w:rPr>
                <w:rFonts w:ascii="Calibri" w:eastAsia="Times New Roman" w:hAnsi="Calibri" w:cs="Calibri"/>
                <w:color w:val="000000"/>
                <w:kern w:val="0"/>
                <w:sz w:val="21"/>
                <w:szCs w:val="21"/>
                <w:lang w:val="ro-RO"/>
                <w14:ligatures w14:val="none"/>
              </w:rPr>
              <w:t>.</w:t>
            </w:r>
            <w:r w:rsidRPr="00834B27">
              <w:rPr>
                <w:rFonts w:ascii="Calibri" w:eastAsia="Times New Roman" w:hAnsi="Calibri" w:cs="Calibri"/>
                <w:color w:val="000000"/>
                <w:kern w:val="0"/>
                <w:sz w:val="21"/>
                <w:szCs w:val="21"/>
                <w:lang w:val="ro-RO"/>
                <w14:ligatures w14:val="none"/>
              </w:rPr>
              <w:t>108</w:t>
            </w:r>
            <w:r w:rsidR="00DD6108" w:rsidRPr="00834B27">
              <w:rPr>
                <w:rFonts w:ascii="Calibri" w:eastAsia="Times New Roman" w:hAnsi="Calibri" w:cs="Calibri"/>
                <w:color w:val="000000"/>
                <w:kern w:val="0"/>
                <w:sz w:val="21"/>
                <w:szCs w:val="21"/>
                <w:lang w:val="ro-RO"/>
                <w14:ligatures w14:val="none"/>
              </w:rPr>
              <w:t>.</w:t>
            </w:r>
            <w:r w:rsidRPr="00834B27">
              <w:rPr>
                <w:rFonts w:ascii="Calibri" w:eastAsia="Times New Roman" w:hAnsi="Calibri" w:cs="Calibri"/>
                <w:color w:val="000000"/>
                <w:kern w:val="0"/>
                <w:sz w:val="21"/>
                <w:szCs w:val="21"/>
                <w:lang w:val="ro-RO"/>
                <w14:ligatures w14:val="none"/>
              </w:rPr>
              <w:t>054</w:t>
            </w:r>
          </w:p>
        </w:tc>
        <w:tc>
          <w:tcPr>
            <w:tcW w:w="1615" w:type="dxa"/>
            <w:noWrap/>
            <w:vAlign w:val="bottom"/>
            <w:hideMark/>
          </w:tcPr>
          <w:p w14:paraId="45CDA854" w14:textId="4A5215E5" w:rsidR="00D04DB2" w:rsidRPr="00834B27" w:rsidRDefault="00D04DB2" w:rsidP="00A44FC4">
            <w:pPr>
              <w:spacing w:after="0" w:line="240" w:lineRule="auto"/>
              <w:jc w:val="right"/>
              <w:rPr>
                <w:rFonts w:ascii="Calibri" w:eastAsia="Times New Roman" w:hAnsi="Calibri" w:cs="Calibri"/>
                <w:color w:val="000000"/>
                <w:kern w:val="0"/>
                <w:sz w:val="21"/>
                <w:szCs w:val="21"/>
                <w:lang w:val="ro-RO"/>
                <w14:ligatures w14:val="none"/>
              </w:rPr>
            </w:pPr>
            <w:r w:rsidRPr="00834B27">
              <w:rPr>
                <w:rFonts w:ascii="Calibri" w:eastAsia="Times New Roman" w:hAnsi="Calibri" w:cs="Calibri"/>
                <w:color w:val="000000"/>
                <w:kern w:val="0"/>
                <w:sz w:val="21"/>
                <w:szCs w:val="21"/>
                <w:lang w:val="ro-RO"/>
                <w14:ligatures w14:val="none"/>
              </w:rPr>
              <w:t>22</w:t>
            </w:r>
            <w:r w:rsidR="00DD6108" w:rsidRPr="00834B27">
              <w:rPr>
                <w:rFonts w:ascii="Calibri" w:eastAsia="Times New Roman" w:hAnsi="Calibri" w:cs="Calibri"/>
                <w:color w:val="000000"/>
                <w:kern w:val="0"/>
                <w:sz w:val="21"/>
                <w:szCs w:val="21"/>
                <w:lang w:val="ro-RO"/>
                <w14:ligatures w14:val="none"/>
              </w:rPr>
              <w:t>.</w:t>
            </w:r>
            <w:r w:rsidRPr="00834B27">
              <w:rPr>
                <w:rFonts w:ascii="Calibri" w:eastAsia="Times New Roman" w:hAnsi="Calibri" w:cs="Calibri"/>
                <w:color w:val="000000"/>
                <w:kern w:val="0"/>
                <w:sz w:val="21"/>
                <w:szCs w:val="21"/>
                <w:lang w:val="ro-RO"/>
                <w14:ligatures w14:val="none"/>
              </w:rPr>
              <w:t>409</w:t>
            </w:r>
            <w:r w:rsidR="00DD6108" w:rsidRPr="00834B27">
              <w:rPr>
                <w:rFonts w:ascii="Calibri" w:eastAsia="Times New Roman" w:hAnsi="Calibri" w:cs="Calibri"/>
                <w:color w:val="000000"/>
                <w:kern w:val="0"/>
                <w:sz w:val="21"/>
                <w:szCs w:val="21"/>
                <w:lang w:val="ro-RO"/>
                <w14:ligatures w14:val="none"/>
              </w:rPr>
              <w:t>.</w:t>
            </w:r>
            <w:r w:rsidRPr="00834B27">
              <w:rPr>
                <w:rFonts w:ascii="Calibri" w:eastAsia="Times New Roman" w:hAnsi="Calibri" w:cs="Calibri"/>
                <w:color w:val="000000"/>
                <w:kern w:val="0"/>
                <w:sz w:val="21"/>
                <w:szCs w:val="21"/>
                <w:lang w:val="ro-RO"/>
                <w14:ligatures w14:val="none"/>
              </w:rPr>
              <w:t>001</w:t>
            </w:r>
            <w:r w:rsidR="00DD6108" w:rsidRPr="00834B27">
              <w:rPr>
                <w:rFonts w:ascii="Calibri" w:eastAsia="Times New Roman" w:hAnsi="Calibri" w:cs="Calibri"/>
                <w:color w:val="000000"/>
                <w:kern w:val="0"/>
                <w:sz w:val="21"/>
                <w:szCs w:val="21"/>
                <w:lang w:val="ro-RO"/>
                <w14:ligatures w14:val="none"/>
              </w:rPr>
              <w:t>.</w:t>
            </w:r>
            <w:r w:rsidRPr="00834B27">
              <w:rPr>
                <w:rFonts w:ascii="Calibri" w:eastAsia="Times New Roman" w:hAnsi="Calibri" w:cs="Calibri"/>
                <w:color w:val="000000"/>
                <w:kern w:val="0"/>
                <w:sz w:val="21"/>
                <w:szCs w:val="21"/>
                <w:lang w:val="ro-RO"/>
                <w14:ligatures w14:val="none"/>
              </w:rPr>
              <w:t>526</w:t>
            </w:r>
          </w:p>
        </w:tc>
        <w:tc>
          <w:tcPr>
            <w:tcW w:w="905" w:type="dxa"/>
            <w:noWrap/>
            <w:vAlign w:val="bottom"/>
            <w:hideMark/>
          </w:tcPr>
          <w:p w14:paraId="7DBF73EE" w14:textId="793263F7" w:rsidR="00D04DB2" w:rsidRPr="00834B27" w:rsidRDefault="00D04DB2" w:rsidP="00A44FC4">
            <w:pPr>
              <w:spacing w:after="0" w:line="240" w:lineRule="auto"/>
              <w:jc w:val="right"/>
              <w:rPr>
                <w:rFonts w:ascii="Calibri" w:eastAsia="Times New Roman" w:hAnsi="Calibri" w:cs="Calibri"/>
                <w:color w:val="000000"/>
                <w:kern w:val="0"/>
                <w:sz w:val="21"/>
                <w:szCs w:val="21"/>
                <w:lang w:val="ro-RO"/>
                <w14:ligatures w14:val="none"/>
              </w:rPr>
            </w:pPr>
            <w:r w:rsidRPr="00834B27">
              <w:rPr>
                <w:rFonts w:ascii="Calibri" w:eastAsia="Times New Roman" w:hAnsi="Calibri" w:cs="Calibri"/>
                <w:color w:val="000000"/>
                <w:kern w:val="0"/>
                <w:sz w:val="21"/>
                <w:szCs w:val="21"/>
                <w:lang w:val="ro-RO"/>
                <w14:ligatures w14:val="none"/>
              </w:rPr>
              <w:t>41</w:t>
            </w:r>
            <w:r w:rsidR="00DD6108" w:rsidRPr="00834B27">
              <w:rPr>
                <w:rFonts w:ascii="Calibri" w:eastAsia="Times New Roman" w:hAnsi="Calibri" w:cs="Calibri"/>
                <w:color w:val="000000"/>
                <w:kern w:val="0"/>
                <w:sz w:val="21"/>
                <w:szCs w:val="21"/>
                <w:lang w:val="ro-RO"/>
                <w14:ligatures w14:val="none"/>
              </w:rPr>
              <w:t>,</w:t>
            </w:r>
            <w:r w:rsidRPr="00834B27">
              <w:rPr>
                <w:rFonts w:ascii="Calibri" w:eastAsia="Times New Roman" w:hAnsi="Calibri" w:cs="Calibri"/>
                <w:color w:val="000000"/>
                <w:kern w:val="0"/>
                <w:sz w:val="21"/>
                <w:szCs w:val="21"/>
                <w:lang w:val="ro-RO"/>
                <w14:ligatures w14:val="none"/>
              </w:rPr>
              <w:t>30%</w:t>
            </w:r>
          </w:p>
        </w:tc>
        <w:tc>
          <w:tcPr>
            <w:tcW w:w="1503" w:type="dxa"/>
            <w:noWrap/>
            <w:vAlign w:val="bottom"/>
            <w:hideMark/>
          </w:tcPr>
          <w:p w14:paraId="34CF745D" w14:textId="2370CD8C" w:rsidR="00D04DB2" w:rsidRPr="00834B27" w:rsidRDefault="00D04DB2" w:rsidP="00A44FC4">
            <w:pPr>
              <w:spacing w:after="0" w:line="240" w:lineRule="auto"/>
              <w:jc w:val="right"/>
              <w:rPr>
                <w:rFonts w:ascii="Calibri" w:eastAsia="Times New Roman" w:hAnsi="Calibri" w:cs="Calibri"/>
                <w:color w:val="000000"/>
                <w:kern w:val="0"/>
                <w:sz w:val="21"/>
                <w:szCs w:val="21"/>
                <w:lang w:val="ro-RO"/>
                <w14:ligatures w14:val="none"/>
              </w:rPr>
            </w:pPr>
            <w:r w:rsidRPr="00834B27">
              <w:rPr>
                <w:rFonts w:ascii="Calibri" w:eastAsia="Times New Roman" w:hAnsi="Calibri" w:cs="Calibri"/>
                <w:color w:val="000000"/>
                <w:kern w:val="0"/>
                <w:sz w:val="21"/>
                <w:szCs w:val="21"/>
                <w:lang w:val="ro-RO"/>
                <w14:ligatures w14:val="none"/>
              </w:rPr>
              <w:t>1</w:t>
            </w:r>
            <w:r w:rsidR="00DD6108" w:rsidRPr="00834B27">
              <w:rPr>
                <w:rFonts w:ascii="Calibri" w:eastAsia="Times New Roman" w:hAnsi="Calibri" w:cs="Calibri"/>
                <w:color w:val="000000"/>
                <w:kern w:val="0"/>
                <w:sz w:val="21"/>
                <w:szCs w:val="21"/>
                <w:lang w:val="ro-RO"/>
                <w14:ligatures w14:val="none"/>
              </w:rPr>
              <w:t>.</w:t>
            </w:r>
            <w:r w:rsidRPr="00834B27">
              <w:rPr>
                <w:rFonts w:ascii="Calibri" w:eastAsia="Times New Roman" w:hAnsi="Calibri" w:cs="Calibri"/>
                <w:color w:val="000000"/>
                <w:kern w:val="0"/>
                <w:sz w:val="21"/>
                <w:szCs w:val="21"/>
                <w:lang w:val="ro-RO"/>
                <w14:ligatures w14:val="none"/>
              </w:rPr>
              <w:t>811</w:t>
            </w:r>
            <w:r w:rsidR="00DD6108" w:rsidRPr="00834B27">
              <w:rPr>
                <w:rFonts w:ascii="Calibri" w:eastAsia="Times New Roman" w:hAnsi="Calibri" w:cs="Calibri"/>
                <w:color w:val="000000"/>
                <w:kern w:val="0"/>
                <w:sz w:val="21"/>
                <w:szCs w:val="21"/>
                <w:lang w:val="ro-RO"/>
                <w14:ligatures w14:val="none"/>
              </w:rPr>
              <w:t>.</w:t>
            </w:r>
            <w:r w:rsidRPr="00834B27">
              <w:rPr>
                <w:rFonts w:ascii="Calibri" w:eastAsia="Times New Roman" w:hAnsi="Calibri" w:cs="Calibri"/>
                <w:color w:val="000000"/>
                <w:kern w:val="0"/>
                <w:sz w:val="21"/>
                <w:szCs w:val="21"/>
                <w:lang w:val="ro-RO"/>
                <w14:ligatures w14:val="none"/>
              </w:rPr>
              <w:t>991</w:t>
            </w:r>
            <w:r w:rsidR="00DD6108" w:rsidRPr="00834B27">
              <w:rPr>
                <w:rFonts w:ascii="Calibri" w:eastAsia="Times New Roman" w:hAnsi="Calibri" w:cs="Calibri"/>
                <w:color w:val="000000"/>
                <w:kern w:val="0"/>
                <w:sz w:val="21"/>
                <w:szCs w:val="21"/>
                <w:lang w:val="ro-RO"/>
                <w14:ligatures w14:val="none"/>
              </w:rPr>
              <w:t>.</w:t>
            </w:r>
            <w:r w:rsidRPr="00834B27">
              <w:rPr>
                <w:rFonts w:ascii="Calibri" w:eastAsia="Times New Roman" w:hAnsi="Calibri" w:cs="Calibri"/>
                <w:color w:val="000000"/>
                <w:kern w:val="0"/>
                <w:sz w:val="21"/>
                <w:szCs w:val="21"/>
                <w:lang w:val="ro-RO"/>
                <w14:ligatures w14:val="none"/>
              </w:rPr>
              <w:t>672</w:t>
            </w:r>
          </w:p>
        </w:tc>
        <w:tc>
          <w:tcPr>
            <w:tcW w:w="890" w:type="dxa"/>
            <w:noWrap/>
            <w:vAlign w:val="bottom"/>
            <w:hideMark/>
          </w:tcPr>
          <w:p w14:paraId="15AFD3DA" w14:textId="045B5930" w:rsidR="00D04DB2" w:rsidRPr="00834B27" w:rsidRDefault="00D04DB2" w:rsidP="00A44FC4">
            <w:pPr>
              <w:spacing w:after="0" w:line="240" w:lineRule="auto"/>
              <w:jc w:val="right"/>
              <w:rPr>
                <w:rFonts w:ascii="Calibri" w:eastAsia="Times New Roman" w:hAnsi="Calibri" w:cs="Calibri"/>
                <w:color w:val="000000"/>
                <w:kern w:val="0"/>
                <w:sz w:val="21"/>
                <w:szCs w:val="21"/>
                <w:lang w:val="ro-RO"/>
                <w14:ligatures w14:val="none"/>
              </w:rPr>
            </w:pPr>
            <w:r w:rsidRPr="00834B27">
              <w:rPr>
                <w:rFonts w:ascii="Calibri" w:eastAsia="Times New Roman" w:hAnsi="Calibri" w:cs="Calibri"/>
                <w:color w:val="000000"/>
                <w:kern w:val="0"/>
                <w:sz w:val="21"/>
                <w:szCs w:val="21"/>
                <w:lang w:val="ro-RO"/>
                <w14:ligatures w14:val="none"/>
              </w:rPr>
              <w:t>7</w:t>
            </w:r>
            <w:r w:rsidR="00DD6108" w:rsidRPr="00834B27">
              <w:rPr>
                <w:rFonts w:ascii="Calibri" w:eastAsia="Times New Roman" w:hAnsi="Calibri" w:cs="Calibri"/>
                <w:color w:val="000000"/>
                <w:kern w:val="0"/>
                <w:sz w:val="21"/>
                <w:szCs w:val="21"/>
                <w:lang w:val="ro-RO"/>
                <w14:ligatures w14:val="none"/>
              </w:rPr>
              <w:t>,</w:t>
            </w:r>
            <w:r w:rsidRPr="00834B27">
              <w:rPr>
                <w:rFonts w:ascii="Calibri" w:eastAsia="Times New Roman" w:hAnsi="Calibri" w:cs="Calibri"/>
                <w:color w:val="000000"/>
                <w:kern w:val="0"/>
                <w:sz w:val="21"/>
                <w:szCs w:val="21"/>
                <w:lang w:val="ro-RO"/>
                <w14:ligatures w14:val="none"/>
              </w:rPr>
              <w:t>50%</w:t>
            </w:r>
          </w:p>
        </w:tc>
        <w:tc>
          <w:tcPr>
            <w:tcW w:w="1048" w:type="dxa"/>
            <w:noWrap/>
            <w:vAlign w:val="bottom"/>
            <w:hideMark/>
          </w:tcPr>
          <w:p w14:paraId="155F114A" w14:textId="0898FE2B" w:rsidR="00D04DB2" w:rsidRPr="00834B27" w:rsidRDefault="00D04DB2" w:rsidP="00A44FC4">
            <w:pPr>
              <w:spacing w:after="0" w:line="240" w:lineRule="auto"/>
              <w:jc w:val="right"/>
              <w:rPr>
                <w:rFonts w:ascii="Calibri" w:eastAsia="Times New Roman" w:hAnsi="Calibri" w:cs="Calibri"/>
                <w:color w:val="000000"/>
                <w:kern w:val="0"/>
                <w:sz w:val="21"/>
                <w:szCs w:val="21"/>
                <w:lang w:val="ro-RO"/>
                <w14:ligatures w14:val="none"/>
              </w:rPr>
            </w:pPr>
            <w:r w:rsidRPr="00834B27">
              <w:rPr>
                <w:rFonts w:ascii="Calibri" w:eastAsia="Times New Roman" w:hAnsi="Calibri" w:cs="Calibri"/>
                <w:color w:val="000000"/>
                <w:kern w:val="0"/>
                <w:sz w:val="21"/>
                <w:szCs w:val="21"/>
                <w:lang w:val="ro-RO"/>
                <w14:ligatures w14:val="none"/>
              </w:rPr>
              <w:t>291</w:t>
            </w:r>
            <w:r w:rsidR="00DD6108" w:rsidRPr="00834B27">
              <w:rPr>
                <w:rFonts w:ascii="Calibri" w:eastAsia="Times New Roman" w:hAnsi="Calibri" w:cs="Calibri"/>
                <w:color w:val="000000"/>
                <w:kern w:val="0"/>
                <w:sz w:val="21"/>
                <w:szCs w:val="21"/>
                <w:lang w:val="ro-RO"/>
                <w14:ligatures w14:val="none"/>
              </w:rPr>
              <w:t>.</w:t>
            </w:r>
            <w:r w:rsidRPr="00834B27">
              <w:rPr>
                <w:rFonts w:ascii="Calibri" w:eastAsia="Times New Roman" w:hAnsi="Calibri" w:cs="Calibri"/>
                <w:color w:val="000000"/>
                <w:kern w:val="0"/>
                <w:sz w:val="21"/>
                <w:szCs w:val="21"/>
                <w:lang w:val="ro-RO"/>
                <w14:ligatures w14:val="none"/>
              </w:rPr>
              <w:t>376</w:t>
            </w:r>
          </w:p>
        </w:tc>
      </w:tr>
      <w:tr w:rsidR="00D04DB2" w:rsidRPr="00834B27" w14:paraId="67D69DB4" w14:textId="77777777" w:rsidTr="00D04DB2">
        <w:trPr>
          <w:trHeight w:val="285"/>
        </w:trPr>
        <w:tc>
          <w:tcPr>
            <w:tcW w:w="816" w:type="dxa"/>
            <w:noWrap/>
            <w:vAlign w:val="bottom"/>
            <w:hideMark/>
          </w:tcPr>
          <w:p w14:paraId="209619FA" w14:textId="77777777" w:rsidR="00D04DB2" w:rsidRPr="00834B27" w:rsidRDefault="00D04DB2" w:rsidP="00A44FC4">
            <w:pPr>
              <w:spacing w:after="0" w:line="240" w:lineRule="auto"/>
              <w:rPr>
                <w:rFonts w:ascii="Calibri" w:eastAsia="Times New Roman" w:hAnsi="Calibri" w:cs="Calibri"/>
                <w:color w:val="000000"/>
                <w:kern w:val="0"/>
                <w:sz w:val="21"/>
                <w:szCs w:val="21"/>
                <w:lang w:val="ro-RO"/>
                <w14:ligatures w14:val="none"/>
              </w:rPr>
            </w:pPr>
            <w:r w:rsidRPr="00834B27">
              <w:rPr>
                <w:rFonts w:ascii="Calibri" w:eastAsia="Times New Roman" w:hAnsi="Calibri" w:cs="Calibri"/>
                <w:color w:val="000000"/>
                <w:kern w:val="0"/>
                <w:sz w:val="21"/>
                <w:szCs w:val="21"/>
                <w:lang w:val="ro-RO"/>
                <w14:ligatures w14:val="none"/>
              </w:rPr>
              <w:t>NU</w:t>
            </w:r>
          </w:p>
        </w:tc>
        <w:tc>
          <w:tcPr>
            <w:tcW w:w="1039" w:type="dxa"/>
            <w:noWrap/>
            <w:vAlign w:val="bottom"/>
            <w:hideMark/>
          </w:tcPr>
          <w:p w14:paraId="396F4764" w14:textId="70E0F1BA" w:rsidR="00D04DB2" w:rsidRPr="00834B27" w:rsidRDefault="00D04DB2" w:rsidP="00A44FC4">
            <w:pPr>
              <w:spacing w:after="0" w:line="240" w:lineRule="auto"/>
              <w:jc w:val="right"/>
              <w:rPr>
                <w:rFonts w:ascii="Calibri" w:eastAsia="Times New Roman" w:hAnsi="Calibri" w:cs="Calibri"/>
                <w:color w:val="000000"/>
                <w:kern w:val="0"/>
                <w:sz w:val="21"/>
                <w:szCs w:val="21"/>
                <w:lang w:val="ro-RO"/>
                <w14:ligatures w14:val="none"/>
              </w:rPr>
            </w:pPr>
            <w:r w:rsidRPr="00834B27">
              <w:rPr>
                <w:rFonts w:ascii="Calibri" w:eastAsia="Times New Roman" w:hAnsi="Calibri" w:cs="Calibri"/>
                <w:color w:val="000000"/>
                <w:kern w:val="0"/>
                <w:sz w:val="21"/>
                <w:szCs w:val="21"/>
                <w:lang w:val="ro-RO"/>
                <w14:ligatures w14:val="none"/>
              </w:rPr>
              <w:t>286</w:t>
            </w:r>
            <w:r w:rsidR="00DD6108" w:rsidRPr="00834B27">
              <w:rPr>
                <w:rFonts w:ascii="Calibri" w:eastAsia="Times New Roman" w:hAnsi="Calibri" w:cs="Calibri"/>
                <w:color w:val="000000"/>
                <w:kern w:val="0"/>
                <w:sz w:val="21"/>
                <w:szCs w:val="21"/>
                <w:lang w:val="ro-RO"/>
                <w14:ligatures w14:val="none"/>
              </w:rPr>
              <w:t>.</w:t>
            </w:r>
            <w:r w:rsidRPr="00834B27">
              <w:rPr>
                <w:rFonts w:ascii="Calibri" w:eastAsia="Times New Roman" w:hAnsi="Calibri" w:cs="Calibri"/>
                <w:color w:val="000000"/>
                <w:kern w:val="0"/>
                <w:sz w:val="21"/>
                <w:szCs w:val="21"/>
                <w:lang w:val="ro-RO"/>
                <w14:ligatures w14:val="none"/>
              </w:rPr>
              <w:t>034</w:t>
            </w:r>
          </w:p>
        </w:tc>
        <w:tc>
          <w:tcPr>
            <w:tcW w:w="1653" w:type="dxa"/>
            <w:noWrap/>
            <w:vAlign w:val="bottom"/>
            <w:hideMark/>
          </w:tcPr>
          <w:p w14:paraId="7D128A50" w14:textId="1260E4F0" w:rsidR="00D04DB2" w:rsidRPr="00834B27" w:rsidRDefault="00D04DB2" w:rsidP="00A44FC4">
            <w:pPr>
              <w:spacing w:after="0" w:line="240" w:lineRule="auto"/>
              <w:jc w:val="right"/>
              <w:rPr>
                <w:rFonts w:ascii="Calibri" w:eastAsia="Times New Roman" w:hAnsi="Calibri" w:cs="Calibri"/>
                <w:color w:val="000000"/>
                <w:kern w:val="0"/>
                <w:sz w:val="21"/>
                <w:szCs w:val="21"/>
                <w:lang w:val="ro-RO"/>
                <w14:ligatures w14:val="none"/>
              </w:rPr>
            </w:pPr>
            <w:r w:rsidRPr="00834B27">
              <w:rPr>
                <w:rFonts w:ascii="Calibri" w:eastAsia="Times New Roman" w:hAnsi="Calibri" w:cs="Calibri"/>
                <w:color w:val="000000"/>
                <w:kern w:val="0"/>
                <w:sz w:val="21"/>
                <w:szCs w:val="21"/>
                <w:lang w:val="ro-RO"/>
                <w14:ligatures w14:val="none"/>
              </w:rPr>
              <w:t>18</w:t>
            </w:r>
            <w:r w:rsidR="00DD6108" w:rsidRPr="00834B27">
              <w:rPr>
                <w:rFonts w:ascii="Calibri" w:eastAsia="Times New Roman" w:hAnsi="Calibri" w:cs="Calibri"/>
                <w:color w:val="000000"/>
                <w:kern w:val="0"/>
                <w:sz w:val="21"/>
                <w:szCs w:val="21"/>
                <w:lang w:val="ro-RO"/>
                <w14:ligatures w14:val="none"/>
              </w:rPr>
              <w:t>.</w:t>
            </w:r>
            <w:r w:rsidRPr="00834B27">
              <w:rPr>
                <w:rFonts w:ascii="Calibri" w:eastAsia="Times New Roman" w:hAnsi="Calibri" w:cs="Calibri"/>
                <w:color w:val="000000"/>
                <w:kern w:val="0"/>
                <w:sz w:val="21"/>
                <w:szCs w:val="21"/>
                <w:lang w:val="ro-RO"/>
                <w14:ligatures w14:val="none"/>
              </w:rPr>
              <w:t>671</w:t>
            </w:r>
            <w:r w:rsidR="00DD6108" w:rsidRPr="00834B27">
              <w:rPr>
                <w:rFonts w:ascii="Calibri" w:eastAsia="Times New Roman" w:hAnsi="Calibri" w:cs="Calibri"/>
                <w:color w:val="000000"/>
                <w:kern w:val="0"/>
                <w:sz w:val="21"/>
                <w:szCs w:val="21"/>
                <w:lang w:val="ro-RO"/>
                <w14:ligatures w14:val="none"/>
              </w:rPr>
              <w:t>.</w:t>
            </w:r>
            <w:r w:rsidRPr="00834B27">
              <w:rPr>
                <w:rFonts w:ascii="Calibri" w:eastAsia="Times New Roman" w:hAnsi="Calibri" w:cs="Calibri"/>
                <w:color w:val="000000"/>
                <w:kern w:val="0"/>
                <w:sz w:val="21"/>
                <w:szCs w:val="21"/>
                <w:lang w:val="ro-RO"/>
                <w14:ligatures w14:val="none"/>
              </w:rPr>
              <w:t>969</w:t>
            </w:r>
            <w:r w:rsidR="00DD6108" w:rsidRPr="00834B27">
              <w:rPr>
                <w:rFonts w:ascii="Calibri" w:eastAsia="Times New Roman" w:hAnsi="Calibri" w:cs="Calibri"/>
                <w:color w:val="000000"/>
                <w:kern w:val="0"/>
                <w:sz w:val="21"/>
                <w:szCs w:val="21"/>
                <w:lang w:val="ro-RO"/>
                <w14:ligatures w14:val="none"/>
              </w:rPr>
              <w:t>.</w:t>
            </w:r>
            <w:r w:rsidRPr="00834B27">
              <w:rPr>
                <w:rFonts w:ascii="Calibri" w:eastAsia="Times New Roman" w:hAnsi="Calibri" w:cs="Calibri"/>
                <w:color w:val="000000"/>
                <w:kern w:val="0"/>
                <w:sz w:val="21"/>
                <w:szCs w:val="21"/>
                <w:lang w:val="ro-RO"/>
                <w14:ligatures w14:val="none"/>
              </w:rPr>
              <w:t>444</w:t>
            </w:r>
          </w:p>
        </w:tc>
        <w:tc>
          <w:tcPr>
            <w:tcW w:w="1615" w:type="dxa"/>
            <w:noWrap/>
            <w:vAlign w:val="bottom"/>
            <w:hideMark/>
          </w:tcPr>
          <w:p w14:paraId="4B5107BD" w14:textId="27E360DF" w:rsidR="00D04DB2" w:rsidRPr="00834B27" w:rsidRDefault="00D04DB2" w:rsidP="00A44FC4">
            <w:pPr>
              <w:spacing w:after="0" w:line="240" w:lineRule="auto"/>
              <w:jc w:val="right"/>
              <w:rPr>
                <w:rFonts w:ascii="Calibri" w:eastAsia="Times New Roman" w:hAnsi="Calibri" w:cs="Calibri"/>
                <w:color w:val="000000"/>
                <w:kern w:val="0"/>
                <w:sz w:val="21"/>
                <w:szCs w:val="21"/>
                <w:lang w:val="ro-RO"/>
                <w14:ligatures w14:val="none"/>
              </w:rPr>
            </w:pPr>
            <w:r w:rsidRPr="00834B27">
              <w:rPr>
                <w:rFonts w:ascii="Calibri" w:eastAsia="Times New Roman" w:hAnsi="Calibri" w:cs="Calibri"/>
                <w:color w:val="000000"/>
                <w:kern w:val="0"/>
                <w:sz w:val="21"/>
                <w:szCs w:val="21"/>
                <w:lang w:val="ro-RO"/>
                <w14:ligatures w14:val="none"/>
              </w:rPr>
              <w:t>-18</w:t>
            </w:r>
            <w:r w:rsidR="00DD6108" w:rsidRPr="00834B27">
              <w:rPr>
                <w:rFonts w:ascii="Calibri" w:eastAsia="Times New Roman" w:hAnsi="Calibri" w:cs="Calibri"/>
                <w:color w:val="000000"/>
                <w:kern w:val="0"/>
                <w:sz w:val="21"/>
                <w:szCs w:val="21"/>
                <w:lang w:val="ro-RO"/>
                <w14:ligatures w14:val="none"/>
              </w:rPr>
              <w:t>.</w:t>
            </w:r>
            <w:r w:rsidRPr="00834B27">
              <w:rPr>
                <w:rFonts w:ascii="Calibri" w:eastAsia="Times New Roman" w:hAnsi="Calibri" w:cs="Calibri"/>
                <w:color w:val="000000"/>
                <w:kern w:val="0"/>
                <w:sz w:val="21"/>
                <w:szCs w:val="21"/>
                <w:lang w:val="ro-RO"/>
                <w14:ligatures w14:val="none"/>
              </w:rPr>
              <w:t>439</w:t>
            </w:r>
            <w:r w:rsidR="00DD6108" w:rsidRPr="00834B27">
              <w:rPr>
                <w:rFonts w:ascii="Calibri" w:eastAsia="Times New Roman" w:hAnsi="Calibri" w:cs="Calibri"/>
                <w:color w:val="000000"/>
                <w:kern w:val="0"/>
                <w:sz w:val="21"/>
                <w:szCs w:val="21"/>
                <w:lang w:val="ro-RO"/>
                <w14:ligatures w14:val="none"/>
              </w:rPr>
              <w:t>.</w:t>
            </w:r>
            <w:r w:rsidRPr="00834B27">
              <w:rPr>
                <w:rFonts w:ascii="Calibri" w:eastAsia="Times New Roman" w:hAnsi="Calibri" w:cs="Calibri"/>
                <w:color w:val="000000"/>
                <w:kern w:val="0"/>
                <w:sz w:val="21"/>
                <w:szCs w:val="21"/>
                <w:lang w:val="ro-RO"/>
                <w14:ligatures w14:val="none"/>
              </w:rPr>
              <w:t>367</w:t>
            </w:r>
            <w:r w:rsidR="00DD6108" w:rsidRPr="00834B27">
              <w:rPr>
                <w:rFonts w:ascii="Calibri" w:eastAsia="Times New Roman" w:hAnsi="Calibri" w:cs="Calibri"/>
                <w:color w:val="000000"/>
                <w:kern w:val="0"/>
                <w:sz w:val="21"/>
                <w:szCs w:val="21"/>
                <w:lang w:val="ro-RO"/>
                <w14:ligatures w14:val="none"/>
              </w:rPr>
              <w:t>.</w:t>
            </w:r>
            <w:r w:rsidRPr="00834B27">
              <w:rPr>
                <w:rFonts w:ascii="Calibri" w:eastAsia="Times New Roman" w:hAnsi="Calibri" w:cs="Calibri"/>
                <w:color w:val="000000"/>
                <w:kern w:val="0"/>
                <w:sz w:val="21"/>
                <w:szCs w:val="21"/>
                <w:lang w:val="ro-RO"/>
                <w14:ligatures w14:val="none"/>
              </w:rPr>
              <w:t>677</w:t>
            </w:r>
          </w:p>
        </w:tc>
        <w:tc>
          <w:tcPr>
            <w:tcW w:w="905" w:type="dxa"/>
            <w:noWrap/>
            <w:vAlign w:val="bottom"/>
            <w:hideMark/>
          </w:tcPr>
          <w:p w14:paraId="7EA2AE0E" w14:textId="1E35BA06" w:rsidR="00D04DB2" w:rsidRPr="00834B27" w:rsidRDefault="00D04DB2" w:rsidP="00A44FC4">
            <w:pPr>
              <w:spacing w:after="0" w:line="240" w:lineRule="auto"/>
              <w:jc w:val="right"/>
              <w:rPr>
                <w:rFonts w:ascii="Calibri" w:eastAsia="Times New Roman" w:hAnsi="Calibri" w:cs="Calibri"/>
                <w:color w:val="000000"/>
                <w:kern w:val="0"/>
                <w:sz w:val="21"/>
                <w:szCs w:val="21"/>
                <w:lang w:val="ro-RO"/>
                <w14:ligatures w14:val="none"/>
              </w:rPr>
            </w:pPr>
            <w:r w:rsidRPr="00834B27">
              <w:rPr>
                <w:rFonts w:ascii="Calibri" w:eastAsia="Times New Roman" w:hAnsi="Calibri" w:cs="Calibri"/>
                <w:color w:val="000000"/>
                <w:kern w:val="0"/>
                <w:sz w:val="21"/>
                <w:szCs w:val="21"/>
                <w:lang w:val="ro-RO"/>
                <w14:ligatures w14:val="none"/>
              </w:rPr>
              <w:t>-98</w:t>
            </w:r>
            <w:r w:rsidR="00DD6108" w:rsidRPr="00834B27">
              <w:rPr>
                <w:rFonts w:ascii="Calibri" w:eastAsia="Times New Roman" w:hAnsi="Calibri" w:cs="Calibri"/>
                <w:color w:val="000000"/>
                <w:kern w:val="0"/>
                <w:sz w:val="21"/>
                <w:szCs w:val="21"/>
                <w:lang w:val="ro-RO"/>
                <w14:ligatures w14:val="none"/>
              </w:rPr>
              <w:t>,</w:t>
            </w:r>
            <w:r w:rsidRPr="00834B27">
              <w:rPr>
                <w:rFonts w:ascii="Calibri" w:eastAsia="Times New Roman" w:hAnsi="Calibri" w:cs="Calibri"/>
                <w:color w:val="000000"/>
                <w:kern w:val="0"/>
                <w:sz w:val="21"/>
                <w:szCs w:val="21"/>
                <w:lang w:val="ro-RO"/>
                <w14:ligatures w14:val="none"/>
              </w:rPr>
              <w:t>80%</w:t>
            </w:r>
          </w:p>
        </w:tc>
        <w:tc>
          <w:tcPr>
            <w:tcW w:w="1503" w:type="dxa"/>
            <w:noWrap/>
            <w:vAlign w:val="bottom"/>
            <w:hideMark/>
          </w:tcPr>
          <w:p w14:paraId="41FC4B78" w14:textId="229527C0" w:rsidR="00D04DB2" w:rsidRPr="00834B27" w:rsidRDefault="00D04DB2" w:rsidP="00A44FC4">
            <w:pPr>
              <w:spacing w:after="0" w:line="240" w:lineRule="auto"/>
              <w:jc w:val="right"/>
              <w:rPr>
                <w:rFonts w:ascii="Calibri" w:eastAsia="Times New Roman" w:hAnsi="Calibri" w:cs="Calibri"/>
                <w:color w:val="000000"/>
                <w:kern w:val="0"/>
                <w:sz w:val="21"/>
                <w:szCs w:val="21"/>
                <w:lang w:val="ro-RO"/>
                <w14:ligatures w14:val="none"/>
              </w:rPr>
            </w:pPr>
            <w:r w:rsidRPr="00834B27">
              <w:rPr>
                <w:rFonts w:ascii="Calibri" w:eastAsia="Times New Roman" w:hAnsi="Calibri" w:cs="Calibri"/>
                <w:color w:val="000000"/>
                <w:kern w:val="0"/>
                <w:sz w:val="21"/>
                <w:szCs w:val="21"/>
                <w:lang w:val="ro-RO"/>
                <w14:ligatures w14:val="none"/>
              </w:rPr>
              <w:t>207</w:t>
            </w:r>
            <w:r w:rsidR="00DD6108" w:rsidRPr="00834B27">
              <w:rPr>
                <w:rFonts w:ascii="Calibri" w:eastAsia="Times New Roman" w:hAnsi="Calibri" w:cs="Calibri"/>
                <w:color w:val="000000"/>
                <w:kern w:val="0"/>
                <w:sz w:val="21"/>
                <w:szCs w:val="21"/>
                <w:lang w:val="ro-RO"/>
                <w14:ligatures w14:val="none"/>
              </w:rPr>
              <w:t>.</w:t>
            </w:r>
            <w:r w:rsidRPr="00834B27">
              <w:rPr>
                <w:rFonts w:ascii="Calibri" w:eastAsia="Times New Roman" w:hAnsi="Calibri" w:cs="Calibri"/>
                <w:color w:val="000000"/>
                <w:kern w:val="0"/>
                <w:sz w:val="21"/>
                <w:szCs w:val="21"/>
                <w:lang w:val="ro-RO"/>
                <w14:ligatures w14:val="none"/>
              </w:rPr>
              <w:t>913</w:t>
            </w:r>
            <w:r w:rsidR="00DD6108" w:rsidRPr="00834B27">
              <w:rPr>
                <w:rFonts w:ascii="Calibri" w:eastAsia="Times New Roman" w:hAnsi="Calibri" w:cs="Calibri"/>
                <w:color w:val="000000"/>
                <w:kern w:val="0"/>
                <w:sz w:val="21"/>
                <w:szCs w:val="21"/>
                <w:lang w:val="ro-RO"/>
                <w14:ligatures w14:val="none"/>
              </w:rPr>
              <w:t>.</w:t>
            </w:r>
            <w:r w:rsidRPr="00834B27">
              <w:rPr>
                <w:rFonts w:ascii="Calibri" w:eastAsia="Times New Roman" w:hAnsi="Calibri" w:cs="Calibri"/>
                <w:color w:val="000000"/>
                <w:kern w:val="0"/>
                <w:sz w:val="21"/>
                <w:szCs w:val="21"/>
                <w:lang w:val="ro-RO"/>
                <w14:ligatures w14:val="none"/>
              </w:rPr>
              <w:t>852</w:t>
            </w:r>
          </w:p>
        </w:tc>
        <w:tc>
          <w:tcPr>
            <w:tcW w:w="890" w:type="dxa"/>
            <w:noWrap/>
            <w:vAlign w:val="bottom"/>
            <w:hideMark/>
          </w:tcPr>
          <w:p w14:paraId="06E80227" w14:textId="27DAE140" w:rsidR="00D04DB2" w:rsidRPr="00834B27" w:rsidRDefault="00D04DB2" w:rsidP="00A44FC4">
            <w:pPr>
              <w:spacing w:after="0" w:line="240" w:lineRule="auto"/>
              <w:jc w:val="right"/>
              <w:rPr>
                <w:rFonts w:ascii="Calibri" w:eastAsia="Times New Roman" w:hAnsi="Calibri" w:cs="Calibri"/>
                <w:color w:val="000000"/>
                <w:kern w:val="0"/>
                <w:sz w:val="21"/>
                <w:szCs w:val="21"/>
                <w:lang w:val="ro-RO"/>
                <w14:ligatures w14:val="none"/>
              </w:rPr>
            </w:pPr>
            <w:r w:rsidRPr="00834B27">
              <w:rPr>
                <w:rFonts w:ascii="Calibri" w:eastAsia="Times New Roman" w:hAnsi="Calibri" w:cs="Calibri"/>
                <w:color w:val="000000"/>
                <w:kern w:val="0"/>
                <w:sz w:val="21"/>
                <w:szCs w:val="21"/>
                <w:lang w:val="ro-RO"/>
                <w14:ligatures w14:val="none"/>
              </w:rPr>
              <w:t>-1</w:t>
            </w:r>
            <w:r w:rsidR="00DD6108" w:rsidRPr="00834B27">
              <w:rPr>
                <w:rFonts w:ascii="Calibri" w:eastAsia="Times New Roman" w:hAnsi="Calibri" w:cs="Calibri"/>
                <w:color w:val="000000"/>
                <w:kern w:val="0"/>
                <w:sz w:val="21"/>
                <w:szCs w:val="21"/>
                <w:lang w:val="ro-RO"/>
                <w14:ligatures w14:val="none"/>
              </w:rPr>
              <w:t>,</w:t>
            </w:r>
            <w:r w:rsidRPr="00834B27">
              <w:rPr>
                <w:rFonts w:ascii="Calibri" w:eastAsia="Times New Roman" w:hAnsi="Calibri" w:cs="Calibri"/>
                <w:color w:val="000000"/>
                <w:kern w:val="0"/>
                <w:sz w:val="21"/>
                <w:szCs w:val="21"/>
                <w:lang w:val="ro-RO"/>
                <w14:ligatures w14:val="none"/>
              </w:rPr>
              <w:t>10%</w:t>
            </w:r>
          </w:p>
        </w:tc>
        <w:tc>
          <w:tcPr>
            <w:tcW w:w="1048" w:type="dxa"/>
            <w:noWrap/>
            <w:vAlign w:val="bottom"/>
            <w:hideMark/>
          </w:tcPr>
          <w:p w14:paraId="0DA7578E" w14:textId="009B1391" w:rsidR="00D04DB2" w:rsidRPr="00834B27" w:rsidRDefault="00D04DB2" w:rsidP="00A44FC4">
            <w:pPr>
              <w:spacing w:after="0" w:line="240" w:lineRule="auto"/>
              <w:jc w:val="right"/>
              <w:rPr>
                <w:rFonts w:ascii="Calibri" w:eastAsia="Times New Roman" w:hAnsi="Calibri" w:cs="Calibri"/>
                <w:color w:val="000000"/>
                <w:kern w:val="0"/>
                <w:sz w:val="21"/>
                <w:szCs w:val="21"/>
                <w:lang w:val="ro-RO"/>
                <w14:ligatures w14:val="none"/>
              </w:rPr>
            </w:pPr>
            <w:r w:rsidRPr="00834B27">
              <w:rPr>
                <w:rFonts w:ascii="Calibri" w:eastAsia="Times New Roman" w:hAnsi="Calibri" w:cs="Calibri"/>
                <w:color w:val="000000"/>
                <w:kern w:val="0"/>
                <w:sz w:val="21"/>
                <w:szCs w:val="21"/>
                <w:lang w:val="ro-RO"/>
                <w14:ligatures w14:val="none"/>
              </w:rPr>
              <w:t>244</w:t>
            </w:r>
            <w:r w:rsidR="00DD6108" w:rsidRPr="00834B27">
              <w:rPr>
                <w:rFonts w:ascii="Calibri" w:eastAsia="Times New Roman" w:hAnsi="Calibri" w:cs="Calibri"/>
                <w:color w:val="000000"/>
                <w:kern w:val="0"/>
                <w:sz w:val="21"/>
                <w:szCs w:val="21"/>
                <w:lang w:val="ro-RO"/>
                <w14:ligatures w14:val="none"/>
              </w:rPr>
              <w:t>.</w:t>
            </w:r>
            <w:r w:rsidRPr="00834B27">
              <w:rPr>
                <w:rFonts w:ascii="Calibri" w:eastAsia="Times New Roman" w:hAnsi="Calibri" w:cs="Calibri"/>
                <w:color w:val="000000"/>
                <w:kern w:val="0"/>
                <w:sz w:val="21"/>
                <w:szCs w:val="21"/>
                <w:lang w:val="ro-RO"/>
                <w14:ligatures w14:val="none"/>
              </w:rPr>
              <w:t>330</w:t>
            </w:r>
          </w:p>
        </w:tc>
      </w:tr>
      <w:tr w:rsidR="00D04DB2" w:rsidRPr="00834B27" w14:paraId="47E4F9F9" w14:textId="77777777" w:rsidTr="00D04DB2">
        <w:trPr>
          <w:trHeight w:val="285"/>
        </w:trPr>
        <w:tc>
          <w:tcPr>
            <w:tcW w:w="816" w:type="dxa"/>
            <w:noWrap/>
            <w:vAlign w:val="bottom"/>
            <w:hideMark/>
          </w:tcPr>
          <w:p w14:paraId="2F6CE84B" w14:textId="77777777" w:rsidR="00D04DB2" w:rsidRPr="00834B27" w:rsidRDefault="00D04DB2" w:rsidP="00A44FC4">
            <w:pPr>
              <w:spacing w:after="0" w:line="240" w:lineRule="auto"/>
              <w:rPr>
                <w:rFonts w:ascii="Calibri" w:eastAsia="Times New Roman" w:hAnsi="Calibri" w:cs="Calibri"/>
                <w:kern w:val="0"/>
                <w:sz w:val="21"/>
                <w:szCs w:val="21"/>
                <w:lang w:val="ro-RO"/>
                <w14:ligatures w14:val="none"/>
              </w:rPr>
            </w:pPr>
          </w:p>
        </w:tc>
        <w:tc>
          <w:tcPr>
            <w:tcW w:w="1039" w:type="dxa"/>
            <w:noWrap/>
            <w:vAlign w:val="bottom"/>
            <w:hideMark/>
          </w:tcPr>
          <w:p w14:paraId="0018604A" w14:textId="076C0A83" w:rsidR="00D04DB2" w:rsidRPr="00834B27" w:rsidRDefault="00D04DB2" w:rsidP="00A44FC4">
            <w:pPr>
              <w:spacing w:after="0" w:line="240" w:lineRule="auto"/>
              <w:jc w:val="right"/>
              <w:rPr>
                <w:rFonts w:ascii="Calibri" w:eastAsia="Times New Roman" w:hAnsi="Calibri" w:cs="Calibri"/>
                <w:color w:val="000000"/>
                <w:kern w:val="0"/>
                <w:sz w:val="21"/>
                <w:szCs w:val="21"/>
                <w:lang w:val="ro-RO"/>
                <w14:ligatures w14:val="none"/>
              </w:rPr>
            </w:pPr>
            <w:r w:rsidRPr="00834B27">
              <w:rPr>
                <w:rFonts w:ascii="Calibri" w:eastAsia="Times New Roman" w:hAnsi="Calibri" w:cs="Calibri"/>
                <w:color w:val="000000"/>
                <w:kern w:val="0"/>
                <w:sz w:val="21"/>
                <w:szCs w:val="21"/>
                <w:lang w:val="ro-RO"/>
                <w14:ligatures w14:val="none"/>
              </w:rPr>
              <w:t>702</w:t>
            </w:r>
            <w:r w:rsidR="00DD6108" w:rsidRPr="00834B27">
              <w:rPr>
                <w:rFonts w:ascii="Calibri" w:eastAsia="Times New Roman" w:hAnsi="Calibri" w:cs="Calibri"/>
                <w:color w:val="000000"/>
                <w:kern w:val="0"/>
                <w:sz w:val="21"/>
                <w:szCs w:val="21"/>
                <w:lang w:val="ro-RO"/>
                <w14:ligatures w14:val="none"/>
              </w:rPr>
              <w:t>.</w:t>
            </w:r>
            <w:r w:rsidRPr="00834B27">
              <w:rPr>
                <w:rFonts w:ascii="Calibri" w:eastAsia="Times New Roman" w:hAnsi="Calibri" w:cs="Calibri"/>
                <w:color w:val="000000"/>
                <w:kern w:val="0"/>
                <w:sz w:val="21"/>
                <w:szCs w:val="21"/>
                <w:lang w:val="ro-RO"/>
                <w14:ligatures w14:val="none"/>
              </w:rPr>
              <w:t>691</w:t>
            </w:r>
          </w:p>
        </w:tc>
        <w:tc>
          <w:tcPr>
            <w:tcW w:w="1653" w:type="dxa"/>
            <w:noWrap/>
            <w:vAlign w:val="bottom"/>
            <w:hideMark/>
          </w:tcPr>
          <w:p w14:paraId="42329E98" w14:textId="12A26DA1" w:rsidR="00D04DB2" w:rsidRPr="00834B27" w:rsidRDefault="00D04DB2" w:rsidP="00A44FC4">
            <w:pPr>
              <w:spacing w:after="0" w:line="240" w:lineRule="auto"/>
              <w:jc w:val="right"/>
              <w:rPr>
                <w:rFonts w:ascii="Calibri" w:eastAsia="Times New Roman" w:hAnsi="Calibri" w:cs="Calibri"/>
                <w:color w:val="000000"/>
                <w:kern w:val="0"/>
                <w:sz w:val="21"/>
                <w:szCs w:val="21"/>
                <w:lang w:val="ro-RO"/>
                <w14:ligatures w14:val="none"/>
              </w:rPr>
            </w:pPr>
            <w:r w:rsidRPr="00834B27">
              <w:rPr>
                <w:rFonts w:ascii="Calibri" w:eastAsia="Times New Roman" w:hAnsi="Calibri" w:cs="Calibri"/>
                <w:color w:val="000000"/>
                <w:kern w:val="0"/>
                <w:sz w:val="21"/>
                <w:szCs w:val="21"/>
                <w:lang w:val="ro-RO"/>
                <w14:ligatures w14:val="none"/>
              </w:rPr>
              <w:t>72</w:t>
            </w:r>
            <w:r w:rsidR="00DD6108" w:rsidRPr="00834B27">
              <w:rPr>
                <w:rFonts w:ascii="Calibri" w:eastAsia="Times New Roman" w:hAnsi="Calibri" w:cs="Calibri"/>
                <w:color w:val="000000"/>
                <w:kern w:val="0"/>
                <w:sz w:val="21"/>
                <w:szCs w:val="21"/>
                <w:lang w:val="ro-RO"/>
                <w14:ligatures w14:val="none"/>
              </w:rPr>
              <w:t>.</w:t>
            </w:r>
            <w:r w:rsidRPr="00834B27">
              <w:rPr>
                <w:rFonts w:ascii="Calibri" w:eastAsia="Times New Roman" w:hAnsi="Calibri" w:cs="Calibri"/>
                <w:color w:val="000000"/>
                <w:kern w:val="0"/>
                <w:sz w:val="21"/>
                <w:szCs w:val="21"/>
                <w:lang w:val="ro-RO"/>
                <w14:ligatures w14:val="none"/>
              </w:rPr>
              <w:t>985</w:t>
            </w:r>
            <w:r w:rsidR="00DD6108" w:rsidRPr="00834B27">
              <w:rPr>
                <w:rFonts w:ascii="Calibri" w:eastAsia="Times New Roman" w:hAnsi="Calibri" w:cs="Calibri"/>
                <w:color w:val="000000"/>
                <w:kern w:val="0"/>
                <w:sz w:val="21"/>
                <w:szCs w:val="21"/>
                <w:lang w:val="ro-RO"/>
                <w14:ligatures w14:val="none"/>
              </w:rPr>
              <w:t>.</w:t>
            </w:r>
            <w:r w:rsidRPr="00834B27">
              <w:rPr>
                <w:rFonts w:ascii="Calibri" w:eastAsia="Times New Roman" w:hAnsi="Calibri" w:cs="Calibri"/>
                <w:color w:val="000000"/>
                <w:kern w:val="0"/>
                <w:sz w:val="21"/>
                <w:szCs w:val="21"/>
                <w:lang w:val="ro-RO"/>
                <w14:ligatures w14:val="none"/>
              </w:rPr>
              <w:t>077</w:t>
            </w:r>
            <w:r w:rsidR="00DD6108" w:rsidRPr="00834B27">
              <w:rPr>
                <w:rFonts w:ascii="Calibri" w:eastAsia="Times New Roman" w:hAnsi="Calibri" w:cs="Calibri"/>
                <w:color w:val="000000"/>
                <w:kern w:val="0"/>
                <w:sz w:val="21"/>
                <w:szCs w:val="21"/>
                <w:lang w:val="ro-RO"/>
                <w14:ligatures w14:val="none"/>
              </w:rPr>
              <w:t>.</w:t>
            </w:r>
            <w:r w:rsidRPr="00834B27">
              <w:rPr>
                <w:rFonts w:ascii="Calibri" w:eastAsia="Times New Roman" w:hAnsi="Calibri" w:cs="Calibri"/>
                <w:color w:val="000000"/>
                <w:kern w:val="0"/>
                <w:sz w:val="21"/>
                <w:szCs w:val="21"/>
                <w:lang w:val="ro-RO"/>
                <w14:ligatures w14:val="none"/>
              </w:rPr>
              <w:t>498</w:t>
            </w:r>
          </w:p>
        </w:tc>
        <w:tc>
          <w:tcPr>
            <w:tcW w:w="1615" w:type="dxa"/>
            <w:noWrap/>
            <w:vAlign w:val="bottom"/>
            <w:hideMark/>
          </w:tcPr>
          <w:p w14:paraId="2AFB1167" w14:textId="75F8BE73" w:rsidR="00D04DB2" w:rsidRPr="00834B27" w:rsidRDefault="00D04DB2" w:rsidP="00A44FC4">
            <w:pPr>
              <w:spacing w:after="0" w:line="240" w:lineRule="auto"/>
              <w:jc w:val="right"/>
              <w:rPr>
                <w:rFonts w:ascii="Calibri" w:eastAsia="Times New Roman" w:hAnsi="Calibri" w:cs="Calibri"/>
                <w:color w:val="000000"/>
                <w:kern w:val="0"/>
                <w:sz w:val="21"/>
                <w:szCs w:val="21"/>
                <w:lang w:val="ro-RO"/>
                <w14:ligatures w14:val="none"/>
              </w:rPr>
            </w:pPr>
            <w:r w:rsidRPr="00834B27">
              <w:rPr>
                <w:rFonts w:ascii="Calibri" w:eastAsia="Times New Roman" w:hAnsi="Calibri" w:cs="Calibri"/>
                <w:color w:val="000000"/>
                <w:kern w:val="0"/>
                <w:sz w:val="21"/>
                <w:szCs w:val="21"/>
                <w:lang w:val="ro-RO"/>
                <w14:ligatures w14:val="none"/>
              </w:rPr>
              <w:t>3</w:t>
            </w:r>
            <w:r w:rsidR="00DD6108" w:rsidRPr="00834B27">
              <w:rPr>
                <w:rFonts w:ascii="Calibri" w:eastAsia="Times New Roman" w:hAnsi="Calibri" w:cs="Calibri"/>
                <w:color w:val="000000"/>
                <w:kern w:val="0"/>
                <w:sz w:val="21"/>
                <w:szCs w:val="21"/>
                <w:lang w:val="ro-RO"/>
                <w14:ligatures w14:val="none"/>
              </w:rPr>
              <w:t>.</w:t>
            </w:r>
            <w:r w:rsidRPr="00834B27">
              <w:rPr>
                <w:rFonts w:ascii="Calibri" w:eastAsia="Times New Roman" w:hAnsi="Calibri" w:cs="Calibri"/>
                <w:color w:val="000000"/>
                <w:kern w:val="0"/>
                <w:sz w:val="21"/>
                <w:szCs w:val="21"/>
                <w:lang w:val="ro-RO"/>
                <w14:ligatures w14:val="none"/>
              </w:rPr>
              <w:t>969</w:t>
            </w:r>
            <w:r w:rsidR="00DD6108" w:rsidRPr="00834B27">
              <w:rPr>
                <w:rFonts w:ascii="Calibri" w:eastAsia="Times New Roman" w:hAnsi="Calibri" w:cs="Calibri"/>
                <w:color w:val="000000"/>
                <w:kern w:val="0"/>
                <w:sz w:val="21"/>
                <w:szCs w:val="21"/>
                <w:lang w:val="ro-RO"/>
                <w14:ligatures w14:val="none"/>
              </w:rPr>
              <w:t>.</w:t>
            </w:r>
            <w:r w:rsidRPr="00834B27">
              <w:rPr>
                <w:rFonts w:ascii="Calibri" w:eastAsia="Times New Roman" w:hAnsi="Calibri" w:cs="Calibri"/>
                <w:color w:val="000000"/>
                <w:kern w:val="0"/>
                <w:sz w:val="21"/>
                <w:szCs w:val="21"/>
                <w:lang w:val="ro-RO"/>
                <w14:ligatures w14:val="none"/>
              </w:rPr>
              <w:t>633</w:t>
            </w:r>
            <w:r w:rsidR="00DD6108" w:rsidRPr="00834B27">
              <w:rPr>
                <w:rFonts w:ascii="Calibri" w:eastAsia="Times New Roman" w:hAnsi="Calibri" w:cs="Calibri"/>
                <w:color w:val="000000"/>
                <w:kern w:val="0"/>
                <w:sz w:val="21"/>
                <w:szCs w:val="21"/>
                <w:lang w:val="ro-RO"/>
                <w14:ligatures w14:val="none"/>
              </w:rPr>
              <w:t>.</w:t>
            </w:r>
            <w:r w:rsidRPr="00834B27">
              <w:rPr>
                <w:rFonts w:ascii="Calibri" w:eastAsia="Times New Roman" w:hAnsi="Calibri" w:cs="Calibri"/>
                <w:color w:val="000000"/>
                <w:kern w:val="0"/>
                <w:sz w:val="21"/>
                <w:szCs w:val="21"/>
                <w:lang w:val="ro-RO"/>
                <w14:ligatures w14:val="none"/>
              </w:rPr>
              <w:t>849</w:t>
            </w:r>
          </w:p>
        </w:tc>
        <w:tc>
          <w:tcPr>
            <w:tcW w:w="905" w:type="dxa"/>
            <w:noWrap/>
            <w:vAlign w:val="bottom"/>
            <w:hideMark/>
          </w:tcPr>
          <w:p w14:paraId="7CD757E8" w14:textId="77777777" w:rsidR="00D04DB2" w:rsidRPr="00834B27" w:rsidRDefault="00D04DB2" w:rsidP="00A44FC4">
            <w:pPr>
              <w:spacing w:after="0" w:line="240" w:lineRule="auto"/>
              <w:jc w:val="right"/>
              <w:rPr>
                <w:rFonts w:ascii="Calibri" w:eastAsia="Times New Roman" w:hAnsi="Calibri" w:cs="Calibri"/>
                <w:color w:val="000000"/>
                <w:kern w:val="0"/>
                <w:sz w:val="21"/>
                <w:szCs w:val="21"/>
                <w:lang w:val="ro-RO"/>
                <w14:ligatures w14:val="none"/>
              </w:rPr>
            </w:pPr>
          </w:p>
        </w:tc>
        <w:tc>
          <w:tcPr>
            <w:tcW w:w="1503" w:type="dxa"/>
            <w:noWrap/>
            <w:vAlign w:val="bottom"/>
            <w:hideMark/>
          </w:tcPr>
          <w:p w14:paraId="6C546806" w14:textId="77777777" w:rsidR="00D04DB2" w:rsidRPr="00834B27" w:rsidRDefault="00D04DB2" w:rsidP="00A44FC4">
            <w:pPr>
              <w:spacing w:after="0" w:line="240" w:lineRule="auto"/>
              <w:rPr>
                <w:rFonts w:ascii="Calibri" w:eastAsia="Times New Roman" w:hAnsi="Calibri" w:cs="Calibri"/>
                <w:kern w:val="0"/>
                <w:sz w:val="21"/>
                <w:szCs w:val="21"/>
                <w:lang w:val="ro-RO"/>
                <w14:ligatures w14:val="none"/>
              </w:rPr>
            </w:pPr>
          </w:p>
        </w:tc>
        <w:tc>
          <w:tcPr>
            <w:tcW w:w="890" w:type="dxa"/>
            <w:noWrap/>
            <w:vAlign w:val="bottom"/>
            <w:hideMark/>
          </w:tcPr>
          <w:p w14:paraId="7D279B0C" w14:textId="77777777" w:rsidR="00D04DB2" w:rsidRPr="00834B27" w:rsidRDefault="00D04DB2" w:rsidP="00A44FC4">
            <w:pPr>
              <w:spacing w:after="0" w:line="240" w:lineRule="auto"/>
              <w:rPr>
                <w:rFonts w:ascii="Calibri" w:eastAsia="Times New Roman" w:hAnsi="Calibri" w:cs="Calibri"/>
                <w:kern w:val="0"/>
                <w:sz w:val="21"/>
                <w:szCs w:val="21"/>
                <w:lang w:val="ro-RO"/>
                <w14:ligatures w14:val="none"/>
              </w:rPr>
            </w:pPr>
          </w:p>
        </w:tc>
        <w:tc>
          <w:tcPr>
            <w:tcW w:w="1048" w:type="dxa"/>
            <w:noWrap/>
            <w:vAlign w:val="bottom"/>
            <w:hideMark/>
          </w:tcPr>
          <w:p w14:paraId="737418B6" w14:textId="3439274B" w:rsidR="00D04DB2" w:rsidRPr="00834B27" w:rsidRDefault="00D04DB2" w:rsidP="00A44FC4">
            <w:pPr>
              <w:spacing w:after="0" w:line="240" w:lineRule="auto"/>
              <w:jc w:val="right"/>
              <w:rPr>
                <w:rFonts w:ascii="Calibri" w:eastAsia="Times New Roman" w:hAnsi="Calibri" w:cs="Calibri"/>
                <w:color w:val="000000"/>
                <w:kern w:val="0"/>
                <w:sz w:val="21"/>
                <w:szCs w:val="21"/>
                <w:lang w:val="ro-RO"/>
                <w14:ligatures w14:val="none"/>
              </w:rPr>
            </w:pPr>
            <w:r w:rsidRPr="00834B27">
              <w:rPr>
                <w:rFonts w:ascii="Calibri" w:eastAsia="Times New Roman" w:hAnsi="Calibri" w:cs="Calibri"/>
                <w:color w:val="000000"/>
                <w:kern w:val="0"/>
                <w:sz w:val="21"/>
                <w:szCs w:val="21"/>
                <w:lang w:val="ro-RO"/>
                <w14:ligatures w14:val="none"/>
              </w:rPr>
              <w:t>535</w:t>
            </w:r>
            <w:r w:rsidR="00DD6108" w:rsidRPr="00834B27">
              <w:rPr>
                <w:rFonts w:ascii="Calibri" w:eastAsia="Times New Roman" w:hAnsi="Calibri" w:cs="Calibri"/>
                <w:color w:val="000000"/>
                <w:kern w:val="0"/>
                <w:sz w:val="21"/>
                <w:szCs w:val="21"/>
                <w:lang w:val="ro-RO"/>
                <w14:ligatures w14:val="none"/>
              </w:rPr>
              <w:t>.</w:t>
            </w:r>
            <w:r w:rsidRPr="00834B27">
              <w:rPr>
                <w:rFonts w:ascii="Calibri" w:eastAsia="Times New Roman" w:hAnsi="Calibri" w:cs="Calibri"/>
                <w:color w:val="000000"/>
                <w:kern w:val="0"/>
                <w:sz w:val="21"/>
                <w:szCs w:val="21"/>
                <w:lang w:val="ro-RO"/>
                <w14:ligatures w14:val="none"/>
              </w:rPr>
              <w:t>706</w:t>
            </w:r>
          </w:p>
        </w:tc>
      </w:tr>
    </w:tbl>
    <w:p w14:paraId="5B22C8B3" w14:textId="4CBC5A29" w:rsidR="00E8138D" w:rsidRPr="00834B27" w:rsidRDefault="00907D9F" w:rsidP="00C75F3E">
      <w:pPr>
        <w:tabs>
          <w:tab w:val="left" w:pos="720"/>
        </w:tabs>
        <w:spacing w:line="276" w:lineRule="auto"/>
        <w:jc w:val="both"/>
        <w:rPr>
          <w:rFonts w:ascii="Calibri" w:hAnsi="Calibri" w:cs="Calibri"/>
          <w:i/>
          <w:iCs/>
          <w:lang w:val="ro-RO"/>
        </w:rPr>
      </w:pPr>
      <w:r w:rsidRPr="00834B27">
        <w:rPr>
          <w:rFonts w:ascii="Calibri" w:hAnsi="Calibri" w:cs="Calibri"/>
          <w:i/>
          <w:iCs/>
          <w:lang w:val="ro-RO"/>
        </w:rPr>
        <w:t>Sursa: B2APP</w:t>
      </w:r>
    </w:p>
    <w:p w14:paraId="52B467A7" w14:textId="15CA8D44" w:rsidR="00E8138D" w:rsidRPr="00834B27" w:rsidRDefault="0003306E" w:rsidP="00B43347">
      <w:pPr>
        <w:tabs>
          <w:tab w:val="left" w:pos="720"/>
        </w:tabs>
        <w:spacing w:line="276" w:lineRule="auto"/>
        <w:jc w:val="both"/>
        <w:rPr>
          <w:rFonts w:ascii="Calibri" w:hAnsi="Calibri" w:cs="Calibri"/>
          <w:b/>
          <w:bCs/>
          <w:lang w:val="ro-RO"/>
        </w:rPr>
      </w:pPr>
      <w:r w:rsidRPr="00834B27">
        <w:rPr>
          <w:rFonts w:ascii="Calibri" w:hAnsi="Calibri" w:cs="Calibri"/>
          <w:b/>
          <w:bCs/>
          <w:lang w:val="ro-RO"/>
        </w:rPr>
        <w:t>Ș</w:t>
      </w:r>
      <w:r w:rsidR="00E8138D" w:rsidRPr="00834B27">
        <w:rPr>
          <w:rFonts w:ascii="Calibri" w:hAnsi="Calibri" w:cs="Calibri"/>
          <w:b/>
          <w:bCs/>
          <w:lang w:val="ro-RO"/>
        </w:rPr>
        <w:t>i aici consider</w:t>
      </w:r>
      <w:r w:rsidRPr="00834B27">
        <w:rPr>
          <w:rFonts w:ascii="Calibri" w:hAnsi="Calibri" w:cs="Calibri"/>
          <w:b/>
          <w:bCs/>
          <w:lang w:val="ro-RO"/>
        </w:rPr>
        <w:t>ă</w:t>
      </w:r>
      <w:r w:rsidR="00E8138D" w:rsidRPr="00834B27">
        <w:rPr>
          <w:rFonts w:ascii="Calibri" w:hAnsi="Calibri" w:cs="Calibri"/>
          <w:b/>
          <w:bCs/>
          <w:lang w:val="ro-RO"/>
        </w:rPr>
        <w:t>m c</w:t>
      </w:r>
      <w:r w:rsidRPr="00834B27">
        <w:rPr>
          <w:rFonts w:ascii="Calibri" w:hAnsi="Calibri" w:cs="Calibri"/>
          <w:b/>
          <w:bCs/>
          <w:lang w:val="ro-RO"/>
        </w:rPr>
        <w:t>ă</w:t>
      </w:r>
      <w:r w:rsidR="00E8138D" w:rsidRPr="00834B27">
        <w:rPr>
          <w:rFonts w:ascii="Calibri" w:hAnsi="Calibri" w:cs="Calibri"/>
          <w:b/>
          <w:bCs/>
          <w:lang w:val="ro-RO"/>
        </w:rPr>
        <w:t xml:space="preserve"> se impun </w:t>
      </w:r>
      <w:r w:rsidRPr="00834B27">
        <w:rPr>
          <w:rFonts w:ascii="Calibri" w:hAnsi="Calibri" w:cs="Calibri"/>
          <w:b/>
          <w:bCs/>
          <w:lang w:val="ro-RO"/>
        </w:rPr>
        <w:t>atât</w:t>
      </w:r>
      <w:r w:rsidR="00E8138D" w:rsidRPr="00834B27">
        <w:rPr>
          <w:rFonts w:ascii="Calibri" w:hAnsi="Calibri" w:cs="Calibri"/>
          <w:b/>
          <w:bCs/>
          <w:lang w:val="ro-RO"/>
        </w:rPr>
        <w:t xml:space="preserve"> m</w:t>
      </w:r>
      <w:r w:rsidRPr="00834B27">
        <w:rPr>
          <w:rFonts w:ascii="Calibri" w:hAnsi="Calibri" w:cs="Calibri"/>
          <w:b/>
          <w:bCs/>
          <w:lang w:val="ro-RO"/>
        </w:rPr>
        <w:t>ă</w:t>
      </w:r>
      <w:r w:rsidR="00E8138D" w:rsidRPr="00834B27">
        <w:rPr>
          <w:rFonts w:ascii="Calibri" w:hAnsi="Calibri" w:cs="Calibri"/>
          <w:b/>
          <w:bCs/>
          <w:lang w:val="ro-RO"/>
        </w:rPr>
        <w:t>suri legislative</w:t>
      </w:r>
      <w:r w:rsidR="00C55DE8" w:rsidRPr="00834B27">
        <w:rPr>
          <w:rFonts w:ascii="Calibri" w:hAnsi="Calibri" w:cs="Calibri"/>
          <w:b/>
          <w:bCs/>
          <w:lang w:val="ro-RO"/>
        </w:rPr>
        <w:t>,</w:t>
      </w:r>
      <w:r w:rsidR="00E8138D" w:rsidRPr="00834B27">
        <w:rPr>
          <w:rFonts w:ascii="Calibri" w:hAnsi="Calibri" w:cs="Calibri"/>
          <w:b/>
          <w:bCs/>
          <w:lang w:val="ro-RO"/>
        </w:rPr>
        <w:t xml:space="preserve"> c</w:t>
      </w:r>
      <w:r w:rsidRPr="00834B27">
        <w:rPr>
          <w:rFonts w:ascii="Calibri" w:hAnsi="Calibri" w:cs="Calibri"/>
          <w:b/>
          <w:bCs/>
          <w:lang w:val="ro-RO"/>
        </w:rPr>
        <w:t>â</w:t>
      </w:r>
      <w:r w:rsidR="00E8138D" w:rsidRPr="00834B27">
        <w:rPr>
          <w:rFonts w:ascii="Calibri" w:hAnsi="Calibri" w:cs="Calibri"/>
          <w:b/>
          <w:bCs/>
          <w:lang w:val="ro-RO"/>
        </w:rPr>
        <w:t xml:space="preserve">t </w:t>
      </w:r>
      <w:r w:rsidRPr="00834B27">
        <w:rPr>
          <w:rFonts w:ascii="Calibri" w:hAnsi="Calibri" w:cs="Calibri"/>
          <w:b/>
          <w:bCs/>
          <w:lang w:val="ro-RO"/>
        </w:rPr>
        <w:t>ș</w:t>
      </w:r>
      <w:r w:rsidR="00E8138D" w:rsidRPr="00834B27">
        <w:rPr>
          <w:rFonts w:ascii="Calibri" w:hAnsi="Calibri" w:cs="Calibri"/>
          <w:b/>
          <w:bCs/>
          <w:lang w:val="ro-RO"/>
        </w:rPr>
        <w:t>i administrative pentru o mai bun</w:t>
      </w:r>
      <w:r w:rsidRPr="00834B27">
        <w:rPr>
          <w:rFonts w:ascii="Calibri" w:hAnsi="Calibri" w:cs="Calibri"/>
          <w:b/>
          <w:bCs/>
          <w:lang w:val="ro-RO"/>
        </w:rPr>
        <w:t>ă</w:t>
      </w:r>
      <w:r w:rsidR="00E8138D" w:rsidRPr="00834B27">
        <w:rPr>
          <w:rFonts w:ascii="Calibri" w:hAnsi="Calibri" w:cs="Calibri"/>
          <w:b/>
          <w:bCs/>
          <w:lang w:val="ro-RO"/>
        </w:rPr>
        <w:t xml:space="preserve"> conformare.</w:t>
      </w:r>
    </w:p>
    <w:p w14:paraId="20E2ED15" w14:textId="77777777" w:rsidR="00764973" w:rsidRPr="00834B27" w:rsidRDefault="00764973" w:rsidP="00764973">
      <w:pPr>
        <w:tabs>
          <w:tab w:val="left" w:pos="720"/>
        </w:tabs>
        <w:spacing w:line="276" w:lineRule="auto"/>
        <w:jc w:val="both"/>
        <w:rPr>
          <w:rFonts w:ascii="Calibri" w:hAnsi="Calibri" w:cs="Calibri"/>
          <w:lang w:val="ro-RO"/>
        </w:rPr>
      </w:pPr>
    </w:p>
    <w:p w14:paraId="2B4F60BE" w14:textId="08022F90" w:rsidR="00684B87" w:rsidRPr="00834B27" w:rsidRDefault="00F91966" w:rsidP="00A1202C">
      <w:pPr>
        <w:pStyle w:val="Listparagraf"/>
        <w:keepNext/>
        <w:numPr>
          <w:ilvl w:val="2"/>
          <w:numId w:val="45"/>
        </w:numPr>
        <w:tabs>
          <w:tab w:val="left" w:pos="720"/>
        </w:tabs>
        <w:spacing w:line="276" w:lineRule="auto"/>
        <w:ind w:left="720" w:hanging="720"/>
        <w:jc w:val="both"/>
        <w:rPr>
          <w:rFonts w:ascii="Calibri" w:hAnsi="Calibri" w:cs="Calibri"/>
          <w:b/>
          <w:bCs/>
          <w:lang w:val="ro-RO"/>
        </w:rPr>
      </w:pPr>
      <w:r w:rsidRPr="00834B27">
        <w:rPr>
          <w:rFonts w:ascii="Calibri" w:hAnsi="Calibri" w:cs="Calibri"/>
          <w:b/>
          <w:bCs/>
          <w:lang w:val="ro-RO"/>
        </w:rPr>
        <w:lastRenderedPageBreak/>
        <w:t xml:space="preserve">Baza de calcul al CAS, CASS </w:t>
      </w:r>
      <w:r w:rsidR="00F51C2B" w:rsidRPr="00834B27">
        <w:rPr>
          <w:rFonts w:ascii="Calibri" w:hAnsi="Calibri" w:cs="Calibri"/>
          <w:b/>
          <w:bCs/>
          <w:lang w:val="ro-RO"/>
        </w:rPr>
        <w:t>ș</w:t>
      </w:r>
      <w:r w:rsidRPr="00834B27">
        <w:rPr>
          <w:rFonts w:ascii="Calibri" w:hAnsi="Calibri" w:cs="Calibri"/>
          <w:b/>
          <w:bCs/>
          <w:lang w:val="ro-RO"/>
        </w:rPr>
        <w:t>i IV</w:t>
      </w:r>
    </w:p>
    <w:p w14:paraId="66C59394" w14:textId="1ED61ABD" w:rsidR="00226F25" w:rsidRPr="00834B27" w:rsidRDefault="006A1B2E" w:rsidP="00A1202C">
      <w:pPr>
        <w:pStyle w:val="Listparagraf"/>
        <w:keepNext/>
        <w:numPr>
          <w:ilvl w:val="0"/>
          <w:numId w:val="48"/>
        </w:numPr>
        <w:tabs>
          <w:tab w:val="left" w:pos="720"/>
        </w:tabs>
        <w:spacing w:line="276" w:lineRule="auto"/>
        <w:ind w:left="720"/>
        <w:jc w:val="both"/>
        <w:rPr>
          <w:rFonts w:ascii="Calibri" w:hAnsi="Calibri" w:cs="Calibri"/>
          <w:b/>
          <w:bCs/>
          <w:lang w:val="ro-RO"/>
        </w:rPr>
      </w:pPr>
      <w:r w:rsidRPr="00834B27">
        <w:rPr>
          <w:rFonts w:ascii="Calibri" w:hAnsi="Calibri" w:cs="Calibri"/>
          <w:b/>
          <w:bCs/>
          <w:lang w:val="ro-RO"/>
        </w:rPr>
        <w:t xml:space="preserve">Baza de calcul al </w:t>
      </w:r>
      <w:r w:rsidR="00E91D96" w:rsidRPr="00834B27">
        <w:rPr>
          <w:rFonts w:ascii="Calibri" w:hAnsi="Calibri" w:cs="Calibri"/>
          <w:b/>
          <w:bCs/>
          <w:lang w:val="ro-RO"/>
        </w:rPr>
        <w:t>CAS</w:t>
      </w:r>
    </w:p>
    <w:p w14:paraId="75B7DDEA" w14:textId="73187473" w:rsidR="00F907C5" w:rsidRPr="00834B27" w:rsidRDefault="0003306E" w:rsidP="00F87CBF">
      <w:pPr>
        <w:tabs>
          <w:tab w:val="left" w:pos="720"/>
        </w:tabs>
        <w:spacing w:line="276" w:lineRule="auto"/>
        <w:jc w:val="both"/>
        <w:rPr>
          <w:rFonts w:ascii="Calibri" w:hAnsi="Calibri" w:cs="Calibri"/>
          <w:lang w:val="ro-RO"/>
        </w:rPr>
      </w:pPr>
      <w:r w:rsidRPr="00834B27">
        <w:rPr>
          <w:rFonts w:ascii="Calibri" w:hAnsi="Calibri" w:cs="Calibri"/>
          <w:lang w:val="ro-RO"/>
        </w:rPr>
        <w:t>Așa</w:t>
      </w:r>
      <w:r w:rsidR="004F3C2A" w:rsidRPr="00834B27">
        <w:rPr>
          <w:rFonts w:ascii="Calibri" w:hAnsi="Calibri" w:cs="Calibri"/>
          <w:lang w:val="ro-RO"/>
        </w:rPr>
        <w:t xml:space="preserve"> cum am </w:t>
      </w:r>
      <w:r w:rsidRPr="00834B27">
        <w:rPr>
          <w:rFonts w:ascii="Calibri" w:hAnsi="Calibri" w:cs="Calibri"/>
          <w:lang w:val="ro-RO"/>
        </w:rPr>
        <w:t>men</w:t>
      </w:r>
      <w:r w:rsidR="00D77C4B" w:rsidRPr="00834B27">
        <w:rPr>
          <w:rFonts w:ascii="Calibri" w:hAnsi="Calibri" w:cs="Calibri"/>
          <w:lang w:val="ro-RO"/>
        </w:rPr>
        <w:t>ț</w:t>
      </w:r>
      <w:r w:rsidRPr="00834B27">
        <w:rPr>
          <w:rFonts w:ascii="Calibri" w:hAnsi="Calibri" w:cs="Calibri"/>
          <w:lang w:val="ro-RO"/>
        </w:rPr>
        <w:t>ionat</w:t>
      </w:r>
      <w:r w:rsidR="00977C77" w:rsidRPr="00834B27">
        <w:rPr>
          <w:rFonts w:ascii="Calibri" w:hAnsi="Calibri" w:cs="Calibri"/>
          <w:lang w:val="ro-RO"/>
        </w:rPr>
        <w:t xml:space="preserve"> anterior</w:t>
      </w:r>
      <w:r w:rsidR="00F7371B" w:rsidRPr="00834B27">
        <w:rPr>
          <w:rFonts w:ascii="Calibri" w:hAnsi="Calibri" w:cs="Calibri"/>
          <w:lang w:val="ro-RO"/>
        </w:rPr>
        <w:t>, reforma propus</w:t>
      </w:r>
      <w:r w:rsidRPr="00834B27">
        <w:rPr>
          <w:rFonts w:ascii="Calibri" w:hAnsi="Calibri" w:cs="Calibri"/>
          <w:lang w:val="ro-RO"/>
        </w:rPr>
        <w:t>ă</w:t>
      </w:r>
      <w:r w:rsidR="00F7371B" w:rsidRPr="00834B27">
        <w:rPr>
          <w:rFonts w:ascii="Calibri" w:hAnsi="Calibri" w:cs="Calibri"/>
          <w:lang w:val="ro-RO"/>
        </w:rPr>
        <w:t xml:space="preserve"> </w:t>
      </w:r>
      <w:r w:rsidR="00E60466" w:rsidRPr="00834B27">
        <w:rPr>
          <w:rFonts w:ascii="Calibri" w:hAnsi="Calibri" w:cs="Calibri"/>
          <w:lang w:val="ro-RO"/>
        </w:rPr>
        <w:t xml:space="preserve">se </w:t>
      </w:r>
      <w:r w:rsidRPr="00834B27">
        <w:rPr>
          <w:rFonts w:ascii="Calibri" w:hAnsi="Calibri" w:cs="Calibri"/>
          <w:lang w:val="ro-RO"/>
        </w:rPr>
        <w:t>bazează</w:t>
      </w:r>
      <w:r w:rsidR="00E60466" w:rsidRPr="00834B27">
        <w:rPr>
          <w:rFonts w:ascii="Calibri" w:hAnsi="Calibri" w:cs="Calibri"/>
          <w:lang w:val="ro-RO"/>
        </w:rPr>
        <w:t xml:space="preserve"> pe plafonarea bazei de calcul al CAS pe suma veniturilor din munc</w:t>
      </w:r>
      <w:r w:rsidRPr="00834B27">
        <w:rPr>
          <w:rFonts w:ascii="Calibri" w:hAnsi="Calibri" w:cs="Calibri"/>
          <w:lang w:val="ro-RO"/>
        </w:rPr>
        <w:t>ă</w:t>
      </w:r>
      <w:r w:rsidR="00D45877" w:rsidRPr="00834B27">
        <w:rPr>
          <w:rStyle w:val="Referinnotdesubsol"/>
          <w:rFonts w:ascii="Calibri" w:hAnsi="Calibri" w:cs="Calibri"/>
          <w:lang w:val="ro-RO"/>
        </w:rPr>
        <w:footnoteReference w:id="25"/>
      </w:r>
      <w:r w:rsidR="00646930" w:rsidRPr="00834B27">
        <w:rPr>
          <w:rFonts w:ascii="Calibri" w:hAnsi="Calibri" w:cs="Calibri"/>
          <w:lang w:val="ro-RO"/>
        </w:rPr>
        <w:t xml:space="preserve">. </w:t>
      </w:r>
      <w:r w:rsidR="00D77C4B" w:rsidRPr="00834B27">
        <w:rPr>
          <w:rFonts w:ascii="Calibri" w:hAnsi="Calibri" w:cs="Calibri"/>
          <w:lang w:val="ro-RO"/>
        </w:rPr>
        <w:t>Ț</w:t>
      </w:r>
      <w:r w:rsidRPr="00834B27">
        <w:rPr>
          <w:rFonts w:ascii="Calibri" w:hAnsi="Calibri" w:cs="Calibri"/>
          <w:lang w:val="ro-RO"/>
        </w:rPr>
        <w:t>inând</w:t>
      </w:r>
      <w:r w:rsidR="00646930" w:rsidRPr="00834B27">
        <w:rPr>
          <w:rFonts w:ascii="Calibri" w:hAnsi="Calibri" w:cs="Calibri"/>
          <w:lang w:val="ro-RO"/>
        </w:rPr>
        <w:t xml:space="preserve"> cont </w:t>
      </w:r>
      <w:r w:rsidR="00D8622C" w:rsidRPr="00834B27">
        <w:rPr>
          <w:rFonts w:ascii="Calibri" w:hAnsi="Calibri" w:cs="Calibri"/>
          <w:lang w:val="ro-RO"/>
        </w:rPr>
        <w:t>de faptul c</w:t>
      </w:r>
      <w:r w:rsidRPr="00834B27">
        <w:rPr>
          <w:rFonts w:ascii="Calibri" w:hAnsi="Calibri" w:cs="Calibri"/>
          <w:lang w:val="ro-RO"/>
        </w:rPr>
        <w:t>ă</w:t>
      </w:r>
      <w:r w:rsidR="00D8622C" w:rsidRPr="00834B27">
        <w:rPr>
          <w:rFonts w:ascii="Calibri" w:hAnsi="Calibri" w:cs="Calibri"/>
          <w:lang w:val="ro-RO"/>
        </w:rPr>
        <w:t xml:space="preserve"> ne dorim o reform</w:t>
      </w:r>
      <w:r w:rsidRPr="00834B27">
        <w:rPr>
          <w:rFonts w:ascii="Calibri" w:hAnsi="Calibri" w:cs="Calibri"/>
          <w:lang w:val="ro-RO"/>
        </w:rPr>
        <w:t>ă</w:t>
      </w:r>
      <w:r w:rsidR="00D8622C" w:rsidRPr="00834B27">
        <w:rPr>
          <w:rFonts w:ascii="Calibri" w:hAnsi="Calibri" w:cs="Calibri"/>
          <w:lang w:val="ro-RO"/>
        </w:rPr>
        <w:t xml:space="preserve"> </w:t>
      </w:r>
      <w:r w:rsidR="00F51C2B" w:rsidRPr="00834B27">
        <w:rPr>
          <w:rFonts w:ascii="Calibri" w:hAnsi="Calibri" w:cs="Calibri"/>
          <w:lang w:val="ro-RO"/>
        </w:rPr>
        <w:t>fundamentată</w:t>
      </w:r>
      <w:r w:rsidR="00D8622C" w:rsidRPr="00834B27">
        <w:rPr>
          <w:rFonts w:ascii="Calibri" w:hAnsi="Calibri" w:cs="Calibri"/>
          <w:lang w:val="ro-RO"/>
        </w:rPr>
        <w:t xml:space="preserve"> pe o </w:t>
      </w:r>
      <w:r w:rsidRPr="00834B27">
        <w:rPr>
          <w:rFonts w:ascii="Calibri" w:hAnsi="Calibri" w:cs="Calibri"/>
          <w:lang w:val="ro-RO"/>
        </w:rPr>
        <w:t>evolu</w:t>
      </w:r>
      <w:r w:rsidR="00D77C4B" w:rsidRPr="00834B27">
        <w:rPr>
          <w:rFonts w:ascii="Calibri" w:hAnsi="Calibri" w:cs="Calibri"/>
          <w:lang w:val="ro-RO"/>
        </w:rPr>
        <w:t>ț</w:t>
      </w:r>
      <w:r w:rsidRPr="00834B27">
        <w:rPr>
          <w:rFonts w:ascii="Calibri" w:hAnsi="Calibri" w:cs="Calibri"/>
          <w:lang w:val="ro-RO"/>
        </w:rPr>
        <w:t>ie</w:t>
      </w:r>
      <w:r w:rsidR="00F51C2B" w:rsidRPr="00834B27">
        <w:rPr>
          <w:rFonts w:ascii="Calibri" w:hAnsi="Calibri" w:cs="Calibri"/>
          <w:lang w:val="ro-RO"/>
        </w:rPr>
        <w:t>,</w:t>
      </w:r>
      <w:r w:rsidR="00D8622C" w:rsidRPr="00834B27">
        <w:rPr>
          <w:rFonts w:ascii="Calibri" w:hAnsi="Calibri" w:cs="Calibri"/>
          <w:lang w:val="ro-RO"/>
        </w:rPr>
        <w:t xml:space="preserve"> </w:t>
      </w:r>
      <w:r w:rsidRPr="00834B27">
        <w:rPr>
          <w:rFonts w:ascii="Calibri" w:hAnsi="Calibri" w:cs="Calibri"/>
          <w:lang w:val="ro-RO"/>
        </w:rPr>
        <w:t>ș</w:t>
      </w:r>
      <w:r w:rsidR="00F36B33" w:rsidRPr="00834B27">
        <w:rPr>
          <w:rFonts w:ascii="Calibri" w:hAnsi="Calibri" w:cs="Calibri"/>
          <w:lang w:val="ro-RO"/>
        </w:rPr>
        <w:t xml:space="preserve">i nu o </w:t>
      </w:r>
      <w:r w:rsidRPr="00834B27">
        <w:rPr>
          <w:rFonts w:ascii="Calibri" w:hAnsi="Calibri" w:cs="Calibri"/>
          <w:lang w:val="ro-RO"/>
        </w:rPr>
        <w:t>revolu</w:t>
      </w:r>
      <w:r w:rsidR="00D77C4B" w:rsidRPr="00834B27">
        <w:rPr>
          <w:rFonts w:ascii="Calibri" w:hAnsi="Calibri" w:cs="Calibri"/>
          <w:lang w:val="ro-RO"/>
        </w:rPr>
        <w:t>ț</w:t>
      </w:r>
      <w:r w:rsidRPr="00834B27">
        <w:rPr>
          <w:rFonts w:ascii="Calibri" w:hAnsi="Calibri" w:cs="Calibri"/>
          <w:lang w:val="ro-RO"/>
        </w:rPr>
        <w:t>ie</w:t>
      </w:r>
      <w:r w:rsidR="00F36B33" w:rsidRPr="00834B27">
        <w:rPr>
          <w:rFonts w:ascii="Calibri" w:hAnsi="Calibri" w:cs="Calibri"/>
          <w:lang w:val="ro-RO"/>
        </w:rPr>
        <w:t xml:space="preserve">, </w:t>
      </w:r>
      <w:r w:rsidR="00F51C2B" w:rsidRPr="00834B27">
        <w:rPr>
          <w:rFonts w:ascii="Calibri" w:hAnsi="Calibri" w:cs="Calibri"/>
          <w:lang w:val="ro-RO"/>
        </w:rPr>
        <w:t>plecând de la</w:t>
      </w:r>
      <w:r w:rsidR="00F36B33" w:rsidRPr="00834B27">
        <w:rPr>
          <w:rFonts w:ascii="Calibri" w:hAnsi="Calibri" w:cs="Calibri"/>
          <w:lang w:val="ro-RO"/>
        </w:rPr>
        <w:t xml:space="preserve"> </w:t>
      </w:r>
      <w:r w:rsidRPr="00834B27">
        <w:rPr>
          <w:rFonts w:ascii="Calibri" w:hAnsi="Calibri" w:cs="Calibri"/>
          <w:lang w:val="ro-RO"/>
        </w:rPr>
        <w:t>prevederile</w:t>
      </w:r>
      <w:r w:rsidR="00F907C5" w:rsidRPr="00834B27">
        <w:rPr>
          <w:rFonts w:ascii="Calibri" w:hAnsi="Calibri" w:cs="Calibri"/>
          <w:lang w:val="ro-RO"/>
        </w:rPr>
        <w:t xml:space="preserve"> existente deja </w:t>
      </w:r>
      <w:r w:rsidRPr="00834B27">
        <w:rPr>
          <w:rFonts w:ascii="Calibri" w:hAnsi="Calibri" w:cs="Calibri"/>
          <w:lang w:val="ro-RO"/>
        </w:rPr>
        <w:t>î</w:t>
      </w:r>
      <w:r w:rsidR="00F907C5" w:rsidRPr="00834B27">
        <w:rPr>
          <w:rFonts w:ascii="Calibri" w:hAnsi="Calibri" w:cs="Calibri"/>
          <w:lang w:val="ro-RO"/>
        </w:rPr>
        <w:t>n codul fiscal</w:t>
      </w:r>
      <w:r w:rsidR="00BA033F" w:rsidRPr="00834B27">
        <w:rPr>
          <w:rFonts w:ascii="Calibri" w:hAnsi="Calibri" w:cs="Calibri"/>
          <w:lang w:val="ro-RO"/>
        </w:rPr>
        <w:t>:</w:t>
      </w:r>
    </w:p>
    <w:p w14:paraId="49AF1F0E" w14:textId="0797A9CA" w:rsidR="00BA033F" w:rsidRPr="00834B27" w:rsidRDefault="00F51C2B" w:rsidP="00BA033F">
      <w:pPr>
        <w:pStyle w:val="Listparagraf"/>
        <w:numPr>
          <w:ilvl w:val="0"/>
          <w:numId w:val="1"/>
        </w:numPr>
        <w:tabs>
          <w:tab w:val="left" w:pos="720"/>
        </w:tabs>
        <w:spacing w:line="276" w:lineRule="auto"/>
        <w:contextualSpacing w:val="0"/>
        <w:jc w:val="both"/>
        <w:rPr>
          <w:rFonts w:ascii="Calibri" w:hAnsi="Calibri" w:cs="Calibri"/>
          <w:lang w:val="ro-RO"/>
        </w:rPr>
      </w:pPr>
      <w:r w:rsidRPr="00834B27">
        <w:rPr>
          <w:rFonts w:ascii="Calibri" w:hAnsi="Calibri" w:cs="Calibri"/>
          <w:lang w:val="ro-RO"/>
        </w:rPr>
        <w:t>l</w:t>
      </w:r>
      <w:r w:rsidR="00BA033F" w:rsidRPr="00834B27">
        <w:rPr>
          <w:rFonts w:ascii="Calibri" w:hAnsi="Calibri" w:cs="Calibri"/>
          <w:lang w:val="ro-RO"/>
        </w:rPr>
        <w:t xml:space="preserve">a </w:t>
      </w:r>
      <w:r w:rsidR="00D41548" w:rsidRPr="00834B27">
        <w:rPr>
          <w:rFonts w:ascii="Calibri" w:hAnsi="Calibri" w:cs="Calibri"/>
          <w:lang w:val="ro-RO"/>
        </w:rPr>
        <w:t xml:space="preserve">veniturile din salarii </w:t>
      </w:r>
      <w:r w:rsidR="0003306E" w:rsidRPr="00834B27">
        <w:rPr>
          <w:rFonts w:ascii="Calibri" w:hAnsi="Calibri" w:cs="Calibri"/>
          <w:lang w:val="ro-RO"/>
        </w:rPr>
        <w:t>ș</w:t>
      </w:r>
      <w:r w:rsidR="00D41548" w:rsidRPr="00834B27">
        <w:rPr>
          <w:rFonts w:ascii="Calibri" w:hAnsi="Calibri" w:cs="Calibri"/>
          <w:lang w:val="ro-RO"/>
        </w:rPr>
        <w:t>i asimilate salariilor</w:t>
      </w:r>
      <w:r w:rsidR="00BA033F" w:rsidRPr="00834B27">
        <w:rPr>
          <w:rFonts w:ascii="Calibri" w:hAnsi="Calibri" w:cs="Calibri"/>
          <w:lang w:val="ro-RO"/>
        </w:rPr>
        <w:t>, baza de calcul al CAS</w:t>
      </w:r>
      <w:r w:rsidR="00F24B4A" w:rsidRPr="00834B27">
        <w:rPr>
          <w:rFonts w:ascii="Calibri" w:hAnsi="Calibri" w:cs="Calibri"/>
          <w:lang w:val="ro-RO"/>
        </w:rPr>
        <w:t xml:space="preserve"> </w:t>
      </w:r>
      <w:r w:rsidR="00D41548" w:rsidRPr="00834B27">
        <w:rPr>
          <w:rFonts w:ascii="Calibri" w:hAnsi="Calibri" w:cs="Calibri"/>
          <w:lang w:val="ro-RO"/>
        </w:rPr>
        <w:t xml:space="preserve"> trebui</w:t>
      </w:r>
      <w:r w:rsidR="00CA1C3C" w:rsidRPr="00834B27">
        <w:rPr>
          <w:rFonts w:ascii="Calibri" w:hAnsi="Calibri" w:cs="Calibri"/>
          <w:lang w:val="ro-RO"/>
        </w:rPr>
        <w:t>e</w:t>
      </w:r>
      <w:r w:rsidR="00D41548" w:rsidRPr="00834B27">
        <w:rPr>
          <w:rFonts w:ascii="Calibri" w:hAnsi="Calibri" w:cs="Calibri"/>
          <w:lang w:val="ro-RO"/>
        </w:rPr>
        <w:t xml:space="preserve"> s</w:t>
      </w:r>
      <w:r w:rsidR="0003306E" w:rsidRPr="00834B27">
        <w:rPr>
          <w:rFonts w:ascii="Calibri" w:hAnsi="Calibri" w:cs="Calibri"/>
          <w:lang w:val="ro-RO"/>
        </w:rPr>
        <w:t>ă</w:t>
      </w:r>
      <w:r w:rsidR="00D41548" w:rsidRPr="00834B27">
        <w:rPr>
          <w:rFonts w:ascii="Calibri" w:hAnsi="Calibri" w:cs="Calibri"/>
          <w:lang w:val="ro-RO"/>
        </w:rPr>
        <w:t xml:space="preserve"> </w:t>
      </w:r>
      <w:r w:rsidR="00CA1C3C" w:rsidRPr="00834B27">
        <w:rPr>
          <w:rFonts w:ascii="Calibri" w:hAnsi="Calibri" w:cs="Calibri"/>
          <w:lang w:val="ro-RO"/>
        </w:rPr>
        <w:t>fie egal</w:t>
      </w:r>
      <w:r w:rsidR="00F37322" w:rsidRPr="00834B27">
        <w:rPr>
          <w:rFonts w:ascii="Calibri" w:hAnsi="Calibri" w:cs="Calibri"/>
          <w:lang w:val="ro-RO"/>
        </w:rPr>
        <w:t>ă cu minimul dintre salariul sau remuneratia brută și plafon</w:t>
      </w:r>
      <w:r w:rsidR="00CA1C3C" w:rsidRPr="00834B27">
        <w:rPr>
          <w:rFonts w:ascii="Calibri" w:hAnsi="Calibri" w:cs="Calibri"/>
          <w:lang w:val="ro-RO"/>
        </w:rPr>
        <w:t>-</w:t>
      </w:r>
      <w:r w:rsidR="00705179" w:rsidRPr="00834B27">
        <w:rPr>
          <w:rFonts w:ascii="Calibri" w:hAnsi="Calibri" w:cs="Calibri"/>
          <w:lang w:val="ro-RO"/>
        </w:rPr>
        <w:t>;</w:t>
      </w:r>
    </w:p>
    <w:p w14:paraId="5A15A1AC" w14:textId="20D4049C" w:rsidR="00705179" w:rsidRPr="00834B27" w:rsidRDefault="00F51C2B" w:rsidP="00BA033F">
      <w:pPr>
        <w:pStyle w:val="Listparagraf"/>
        <w:numPr>
          <w:ilvl w:val="0"/>
          <w:numId w:val="1"/>
        </w:numPr>
        <w:tabs>
          <w:tab w:val="left" w:pos="720"/>
        </w:tabs>
        <w:spacing w:line="276" w:lineRule="auto"/>
        <w:contextualSpacing w:val="0"/>
        <w:jc w:val="both"/>
        <w:rPr>
          <w:rFonts w:ascii="Calibri" w:hAnsi="Calibri" w:cs="Calibri"/>
          <w:lang w:val="ro-RO"/>
        </w:rPr>
      </w:pPr>
      <w:r w:rsidRPr="00834B27">
        <w:rPr>
          <w:rFonts w:ascii="Calibri" w:hAnsi="Calibri" w:cs="Calibri"/>
          <w:lang w:val="ro-RO"/>
        </w:rPr>
        <w:t>l</w:t>
      </w:r>
      <w:r w:rsidR="00705179" w:rsidRPr="00834B27">
        <w:rPr>
          <w:rFonts w:ascii="Calibri" w:hAnsi="Calibri" w:cs="Calibri"/>
          <w:lang w:val="ro-RO"/>
        </w:rPr>
        <w:t>a veniturile din cedarea drepturilor de proprietate intelectual</w:t>
      </w:r>
      <w:r w:rsidR="0003306E" w:rsidRPr="00834B27">
        <w:rPr>
          <w:rFonts w:ascii="Calibri" w:hAnsi="Calibri" w:cs="Calibri"/>
          <w:lang w:val="ro-RO"/>
        </w:rPr>
        <w:t>ă</w:t>
      </w:r>
      <w:r w:rsidR="00705179" w:rsidRPr="00834B27">
        <w:rPr>
          <w:rFonts w:ascii="Calibri" w:hAnsi="Calibri" w:cs="Calibri"/>
          <w:lang w:val="ro-RO"/>
        </w:rPr>
        <w:t>, consider</w:t>
      </w:r>
      <w:r w:rsidR="0003306E" w:rsidRPr="00834B27">
        <w:rPr>
          <w:rFonts w:ascii="Calibri" w:hAnsi="Calibri" w:cs="Calibri"/>
          <w:lang w:val="ro-RO"/>
        </w:rPr>
        <w:t>ă</w:t>
      </w:r>
      <w:r w:rsidR="00705179" w:rsidRPr="00834B27">
        <w:rPr>
          <w:rFonts w:ascii="Calibri" w:hAnsi="Calibri" w:cs="Calibri"/>
          <w:lang w:val="ro-RO"/>
        </w:rPr>
        <w:t>m c</w:t>
      </w:r>
      <w:r w:rsidR="0003306E" w:rsidRPr="00834B27">
        <w:rPr>
          <w:rFonts w:ascii="Calibri" w:hAnsi="Calibri" w:cs="Calibri"/>
          <w:lang w:val="ro-RO"/>
        </w:rPr>
        <w:t>ă</w:t>
      </w:r>
      <w:r w:rsidR="00705179" w:rsidRPr="00834B27">
        <w:rPr>
          <w:rFonts w:ascii="Calibri" w:hAnsi="Calibri" w:cs="Calibri"/>
          <w:lang w:val="ro-RO"/>
        </w:rPr>
        <w:t xml:space="preserve"> se justific</w:t>
      </w:r>
      <w:r w:rsidR="0003306E" w:rsidRPr="00834B27">
        <w:rPr>
          <w:rFonts w:ascii="Calibri" w:hAnsi="Calibri" w:cs="Calibri"/>
          <w:lang w:val="ro-RO"/>
        </w:rPr>
        <w:t>ă</w:t>
      </w:r>
      <w:r w:rsidR="00705179" w:rsidRPr="00834B27">
        <w:rPr>
          <w:rFonts w:ascii="Calibri" w:hAnsi="Calibri" w:cs="Calibri"/>
          <w:lang w:val="ro-RO"/>
        </w:rPr>
        <w:t xml:space="preserve"> </w:t>
      </w:r>
      <w:r w:rsidR="0003306E" w:rsidRPr="00834B27">
        <w:rPr>
          <w:rFonts w:ascii="Calibri" w:hAnsi="Calibri" w:cs="Calibri"/>
          <w:lang w:val="ro-RO"/>
        </w:rPr>
        <w:t>păstrarea</w:t>
      </w:r>
      <w:r w:rsidR="00705179" w:rsidRPr="00834B27">
        <w:rPr>
          <w:rFonts w:ascii="Calibri" w:hAnsi="Calibri" w:cs="Calibri"/>
          <w:lang w:val="ro-RO"/>
        </w:rPr>
        <w:t xml:space="preserve"> unei deduceri </w:t>
      </w:r>
      <w:r w:rsidR="00FF070F" w:rsidRPr="00834B27">
        <w:rPr>
          <w:rFonts w:ascii="Calibri" w:hAnsi="Calibri" w:cs="Calibri"/>
          <w:lang w:val="ro-RO"/>
        </w:rPr>
        <w:t xml:space="preserve">de 20% din venitul brut, pentru a compensa unele </w:t>
      </w:r>
      <w:r w:rsidRPr="00834B27">
        <w:rPr>
          <w:rFonts w:ascii="Calibri" w:hAnsi="Calibri" w:cs="Calibri"/>
          <w:lang w:val="ro-RO"/>
        </w:rPr>
        <w:t xml:space="preserve"> </w:t>
      </w:r>
      <w:r w:rsidR="00FF070F" w:rsidRPr="00834B27">
        <w:rPr>
          <w:rFonts w:ascii="Calibri" w:hAnsi="Calibri" w:cs="Calibri"/>
          <w:lang w:val="ro-RO"/>
        </w:rPr>
        <w:t xml:space="preserve">cheltuieli </w:t>
      </w:r>
      <w:r w:rsidR="0003306E" w:rsidRPr="00834B27">
        <w:rPr>
          <w:rFonts w:ascii="Calibri" w:hAnsi="Calibri" w:cs="Calibri"/>
          <w:lang w:val="ro-RO"/>
        </w:rPr>
        <w:t>făcute</w:t>
      </w:r>
      <w:r w:rsidR="004B1B44" w:rsidRPr="00834B27">
        <w:rPr>
          <w:rFonts w:ascii="Calibri" w:hAnsi="Calibri" w:cs="Calibri"/>
          <w:lang w:val="ro-RO"/>
        </w:rPr>
        <w:t xml:space="preserve"> </w:t>
      </w:r>
      <w:r w:rsidR="0003306E" w:rsidRPr="00834B27">
        <w:rPr>
          <w:rFonts w:ascii="Calibri" w:hAnsi="Calibri" w:cs="Calibri"/>
          <w:lang w:val="ro-RO"/>
        </w:rPr>
        <w:t>î</w:t>
      </w:r>
      <w:r w:rsidR="004B1B44" w:rsidRPr="00834B27">
        <w:rPr>
          <w:rFonts w:ascii="Calibri" w:hAnsi="Calibri" w:cs="Calibri"/>
          <w:lang w:val="ro-RO"/>
        </w:rPr>
        <w:t xml:space="preserve">n exercitarea </w:t>
      </w:r>
      <w:r w:rsidR="0003306E" w:rsidRPr="00834B27">
        <w:rPr>
          <w:rFonts w:ascii="Calibri" w:hAnsi="Calibri" w:cs="Calibri"/>
          <w:lang w:val="ro-RO"/>
        </w:rPr>
        <w:t>activită</w:t>
      </w:r>
      <w:r w:rsidR="00D77C4B" w:rsidRPr="00834B27">
        <w:rPr>
          <w:rFonts w:ascii="Calibri" w:hAnsi="Calibri" w:cs="Calibri"/>
          <w:lang w:val="ro-RO"/>
        </w:rPr>
        <w:t>ț</w:t>
      </w:r>
      <w:r w:rsidR="0003306E" w:rsidRPr="00834B27">
        <w:rPr>
          <w:rFonts w:ascii="Calibri" w:hAnsi="Calibri" w:cs="Calibri"/>
          <w:lang w:val="ro-RO"/>
        </w:rPr>
        <w:t>ii</w:t>
      </w:r>
      <w:r w:rsidR="00021E21" w:rsidRPr="00834B27">
        <w:rPr>
          <w:rFonts w:ascii="Calibri" w:hAnsi="Calibri" w:cs="Calibri"/>
          <w:lang w:val="ro-RO"/>
        </w:rPr>
        <w:t>. Consider</w:t>
      </w:r>
      <w:r w:rsidR="0003306E" w:rsidRPr="00834B27">
        <w:rPr>
          <w:rFonts w:ascii="Calibri" w:hAnsi="Calibri" w:cs="Calibri"/>
          <w:lang w:val="ro-RO"/>
        </w:rPr>
        <w:t>ă</w:t>
      </w:r>
      <w:r w:rsidR="00021E21" w:rsidRPr="00834B27">
        <w:rPr>
          <w:rFonts w:ascii="Calibri" w:hAnsi="Calibri" w:cs="Calibri"/>
          <w:lang w:val="ro-RO"/>
        </w:rPr>
        <w:t xml:space="preserve">m </w:t>
      </w:r>
      <w:r w:rsidR="0003306E" w:rsidRPr="00834B27">
        <w:rPr>
          <w:rFonts w:ascii="Calibri" w:hAnsi="Calibri" w:cs="Calibri"/>
          <w:lang w:val="ro-RO"/>
        </w:rPr>
        <w:t>însă</w:t>
      </w:r>
      <w:r w:rsidR="00021E21" w:rsidRPr="00834B27">
        <w:rPr>
          <w:rFonts w:ascii="Calibri" w:hAnsi="Calibri" w:cs="Calibri"/>
          <w:lang w:val="ro-RO"/>
        </w:rPr>
        <w:t xml:space="preserve"> c</w:t>
      </w:r>
      <w:r w:rsidR="0003306E" w:rsidRPr="00834B27">
        <w:rPr>
          <w:rFonts w:ascii="Calibri" w:hAnsi="Calibri" w:cs="Calibri"/>
          <w:lang w:val="ro-RO"/>
        </w:rPr>
        <w:t>ă</w:t>
      </w:r>
      <w:r w:rsidR="00021E21" w:rsidRPr="00834B27">
        <w:rPr>
          <w:rFonts w:ascii="Calibri" w:hAnsi="Calibri" w:cs="Calibri"/>
          <w:lang w:val="ro-RO"/>
        </w:rPr>
        <w:t xml:space="preserve"> deducerea de 40% poate fi justificat</w:t>
      </w:r>
      <w:r w:rsidR="0003306E" w:rsidRPr="00834B27">
        <w:rPr>
          <w:rFonts w:ascii="Calibri" w:hAnsi="Calibri" w:cs="Calibri"/>
          <w:lang w:val="ro-RO"/>
        </w:rPr>
        <w:t>ă</w:t>
      </w:r>
      <w:r w:rsidR="00021E21" w:rsidRPr="00834B27">
        <w:rPr>
          <w:rFonts w:ascii="Calibri" w:hAnsi="Calibri" w:cs="Calibri"/>
          <w:lang w:val="ro-RO"/>
        </w:rPr>
        <w:t xml:space="preserve"> doar </w:t>
      </w:r>
      <w:r w:rsidR="0003306E" w:rsidRPr="00834B27">
        <w:rPr>
          <w:rFonts w:ascii="Calibri" w:hAnsi="Calibri" w:cs="Calibri"/>
          <w:lang w:val="ro-RO"/>
        </w:rPr>
        <w:t>î</w:t>
      </w:r>
      <w:r w:rsidR="00021E21" w:rsidRPr="00834B27">
        <w:rPr>
          <w:rFonts w:ascii="Calibri" w:hAnsi="Calibri" w:cs="Calibri"/>
          <w:lang w:val="ro-RO"/>
        </w:rPr>
        <w:t>n cazul lucr</w:t>
      </w:r>
      <w:r w:rsidR="0003306E" w:rsidRPr="00834B27">
        <w:rPr>
          <w:rFonts w:ascii="Calibri" w:hAnsi="Calibri" w:cs="Calibri"/>
          <w:lang w:val="ro-RO"/>
        </w:rPr>
        <w:t>ă</w:t>
      </w:r>
      <w:r w:rsidR="00021E21" w:rsidRPr="00834B27">
        <w:rPr>
          <w:rFonts w:ascii="Calibri" w:hAnsi="Calibri" w:cs="Calibri"/>
          <w:lang w:val="ro-RO"/>
        </w:rPr>
        <w:t>rilor de art</w:t>
      </w:r>
      <w:r w:rsidR="0003306E" w:rsidRPr="00834B27">
        <w:rPr>
          <w:rFonts w:ascii="Calibri" w:hAnsi="Calibri" w:cs="Calibri"/>
          <w:lang w:val="ro-RO"/>
        </w:rPr>
        <w:t>ă</w:t>
      </w:r>
      <w:r w:rsidR="00021E21" w:rsidRPr="00834B27">
        <w:rPr>
          <w:rFonts w:ascii="Calibri" w:hAnsi="Calibri" w:cs="Calibri"/>
          <w:lang w:val="ro-RO"/>
        </w:rPr>
        <w:t xml:space="preserve"> monumental</w:t>
      </w:r>
      <w:r w:rsidRPr="00834B27">
        <w:rPr>
          <w:rFonts w:ascii="Calibri" w:hAnsi="Calibri" w:cs="Calibri"/>
          <w:lang w:val="ro-RO"/>
        </w:rPr>
        <w:t>ă</w:t>
      </w:r>
      <w:r w:rsidR="00021E21" w:rsidRPr="00834B27">
        <w:rPr>
          <w:rFonts w:ascii="Calibri" w:hAnsi="Calibri" w:cs="Calibri"/>
          <w:lang w:val="ro-RO"/>
        </w:rPr>
        <w:t xml:space="preserve"> (a</w:t>
      </w:r>
      <w:r w:rsidR="0003306E" w:rsidRPr="00834B27">
        <w:rPr>
          <w:rFonts w:ascii="Calibri" w:hAnsi="Calibri" w:cs="Calibri"/>
          <w:lang w:val="ro-RO"/>
        </w:rPr>
        <w:t>ș</w:t>
      </w:r>
      <w:r w:rsidR="00021E21" w:rsidRPr="00834B27">
        <w:rPr>
          <w:rFonts w:ascii="Calibri" w:hAnsi="Calibri" w:cs="Calibri"/>
          <w:lang w:val="ro-RO"/>
        </w:rPr>
        <w:t xml:space="preserve">a cum am mai avut </w:t>
      </w:r>
      <w:r w:rsidR="00F7055C" w:rsidRPr="00834B27">
        <w:rPr>
          <w:rFonts w:ascii="Calibri" w:hAnsi="Calibri" w:cs="Calibri"/>
          <w:lang w:val="ro-RO"/>
        </w:rPr>
        <w:t>p</w:t>
      </w:r>
      <w:r w:rsidR="00377AB8" w:rsidRPr="00834B27">
        <w:rPr>
          <w:rFonts w:ascii="Calibri" w:hAnsi="Calibri" w:cs="Calibri"/>
          <w:lang w:val="ro-RO"/>
        </w:rPr>
        <w:t>â</w:t>
      </w:r>
      <w:r w:rsidR="00F7055C" w:rsidRPr="00834B27">
        <w:rPr>
          <w:rFonts w:ascii="Calibri" w:hAnsi="Calibri" w:cs="Calibri"/>
          <w:lang w:val="ro-RO"/>
        </w:rPr>
        <w:t>n</w:t>
      </w:r>
      <w:r w:rsidR="00377AB8" w:rsidRPr="00834B27">
        <w:rPr>
          <w:rFonts w:ascii="Calibri" w:hAnsi="Calibri" w:cs="Calibri"/>
          <w:lang w:val="ro-RO"/>
        </w:rPr>
        <w:t>ă</w:t>
      </w:r>
      <w:r w:rsidR="00F7055C" w:rsidRPr="00834B27">
        <w:rPr>
          <w:rFonts w:ascii="Calibri" w:hAnsi="Calibri" w:cs="Calibri"/>
          <w:lang w:val="ro-RO"/>
        </w:rPr>
        <w:t xml:space="preserve"> </w:t>
      </w:r>
      <w:r w:rsidR="00377AB8" w:rsidRPr="00834B27">
        <w:rPr>
          <w:rFonts w:ascii="Calibri" w:hAnsi="Calibri" w:cs="Calibri"/>
          <w:lang w:val="ro-RO"/>
        </w:rPr>
        <w:t>î</w:t>
      </w:r>
      <w:r w:rsidR="00F7055C" w:rsidRPr="00834B27">
        <w:rPr>
          <w:rFonts w:ascii="Calibri" w:hAnsi="Calibri" w:cs="Calibri"/>
          <w:lang w:val="ro-RO"/>
        </w:rPr>
        <w:t xml:space="preserve">n </w:t>
      </w:r>
      <w:r w:rsidR="008A2AB7" w:rsidRPr="00834B27">
        <w:rPr>
          <w:rFonts w:ascii="Calibri" w:hAnsi="Calibri" w:cs="Calibri"/>
          <w:lang w:val="ro-RO"/>
        </w:rPr>
        <w:t>2018</w:t>
      </w:r>
      <w:r w:rsidR="00F7055C" w:rsidRPr="00834B27">
        <w:rPr>
          <w:rFonts w:ascii="Calibri" w:hAnsi="Calibri" w:cs="Calibri"/>
          <w:lang w:val="ro-RO"/>
        </w:rPr>
        <w:t>)</w:t>
      </w:r>
      <w:r w:rsidR="00021E21" w:rsidRPr="00834B27">
        <w:rPr>
          <w:rFonts w:ascii="Calibri" w:hAnsi="Calibri" w:cs="Calibri"/>
          <w:lang w:val="ro-RO"/>
        </w:rPr>
        <w:t xml:space="preserve">, mai ales </w:t>
      </w:r>
      <w:r w:rsidR="00377AB8" w:rsidRPr="00834B27">
        <w:rPr>
          <w:rFonts w:ascii="Calibri" w:hAnsi="Calibri" w:cs="Calibri"/>
          <w:lang w:val="ro-RO"/>
        </w:rPr>
        <w:t>î</w:t>
      </w:r>
      <w:r w:rsidR="00021E21" w:rsidRPr="00834B27">
        <w:rPr>
          <w:rFonts w:ascii="Calibri" w:hAnsi="Calibri" w:cs="Calibri"/>
          <w:lang w:val="ro-RO"/>
        </w:rPr>
        <w:t xml:space="preserve">n contextul </w:t>
      </w:r>
      <w:r w:rsidRPr="00834B27">
        <w:rPr>
          <w:rFonts w:ascii="Calibri" w:hAnsi="Calibri" w:cs="Calibri"/>
          <w:lang w:val="ro-RO"/>
        </w:rPr>
        <w:t>î</w:t>
      </w:r>
      <w:r w:rsidR="00F7055C" w:rsidRPr="00834B27">
        <w:rPr>
          <w:rFonts w:ascii="Calibri" w:hAnsi="Calibri" w:cs="Calibri"/>
          <w:lang w:val="ro-RO"/>
        </w:rPr>
        <w:t>n care deducerea la venitul din chirii este de doar 20%</w:t>
      </w:r>
      <w:r w:rsidR="00160844" w:rsidRPr="00834B27">
        <w:rPr>
          <w:rFonts w:ascii="Calibri" w:hAnsi="Calibri" w:cs="Calibri"/>
          <w:lang w:val="ro-RO"/>
        </w:rPr>
        <w:t xml:space="preserve">, chiar </w:t>
      </w:r>
      <w:r w:rsidR="00377AB8" w:rsidRPr="00834B27">
        <w:rPr>
          <w:rFonts w:ascii="Calibri" w:hAnsi="Calibri" w:cs="Calibri"/>
          <w:lang w:val="ro-RO"/>
        </w:rPr>
        <w:t>ș</w:t>
      </w:r>
      <w:r w:rsidR="00160844" w:rsidRPr="00834B27">
        <w:rPr>
          <w:rFonts w:ascii="Calibri" w:hAnsi="Calibri" w:cs="Calibri"/>
          <w:lang w:val="ro-RO"/>
        </w:rPr>
        <w:t xml:space="preserve">i </w:t>
      </w:r>
      <w:r w:rsidR="00377AB8" w:rsidRPr="00834B27">
        <w:rPr>
          <w:rFonts w:ascii="Calibri" w:hAnsi="Calibri" w:cs="Calibri"/>
          <w:lang w:val="ro-RO"/>
        </w:rPr>
        <w:t>î</w:t>
      </w:r>
      <w:r w:rsidR="00160844" w:rsidRPr="00834B27">
        <w:rPr>
          <w:rFonts w:ascii="Calibri" w:hAnsi="Calibri" w:cs="Calibri"/>
          <w:lang w:val="ro-RO"/>
        </w:rPr>
        <w:t xml:space="preserve">n contextul </w:t>
      </w:r>
      <w:r w:rsidR="00377AB8" w:rsidRPr="00834B27">
        <w:rPr>
          <w:rFonts w:ascii="Calibri" w:hAnsi="Calibri" w:cs="Calibri"/>
          <w:lang w:val="ro-RO"/>
        </w:rPr>
        <w:t>majorării</w:t>
      </w:r>
      <w:r w:rsidR="00160844" w:rsidRPr="00834B27">
        <w:rPr>
          <w:rFonts w:ascii="Calibri" w:hAnsi="Calibri" w:cs="Calibri"/>
          <w:lang w:val="ro-RO"/>
        </w:rPr>
        <w:t xml:space="preserve"> impozitului pe </w:t>
      </w:r>
      <w:r w:rsidR="00377AB8" w:rsidRPr="00834B27">
        <w:rPr>
          <w:rFonts w:ascii="Calibri" w:hAnsi="Calibri" w:cs="Calibri"/>
          <w:lang w:val="ro-RO"/>
        </w:rPr>
        <w:t>clădiri</w:t>
      </w:r>
      <w:r w:rsidR="00E83ACB" w:rsidRPr="00834B27">
        <w:rPr>
          <w:rFonts w:ascii="Calibri" w:hAnsi="Calibri" w:cs="Calibri"/>
          <w:lang w:val="ro-RO"/>
        </w:rPr>
        <w:t xml:space="preserve">. </w:t>
      </w:r>
      <w:r w:rsidR="00E75B4B" w:rsidRPr="00834B27">
        <w:rPr>
          <w:rFonts w:ascii="Calibri" w:hAnsi="Calibri" w:cs="Calibri"/>
          <w:lang w:val="ro-RO"/>
        </w:rPr>
        <w:t>Pentru a evita situația in care deduce</w:t>
      </w:r>
      <w:r w:rsidR="0067278F" w:rsidRPr="00834B27">
        <w:rPr>
          <w:rFonts w:ascii="Calibri" w:hAnsi="Calibri" w:cs="Calibri"/>
          <w:lang w:val="ro-RO"/>
        </w:rPr>
        <w:t xml:space="preserve">rea nu acopera cheltuielile reale, se impune </w:t>
      </w:r>
      <w:r w:rsidR="00FA4CE8" w:rsidRPr="00834B27">
        <w:rPr>
          <w:rFonts w:ascii="Calibri" w:hAnsi="Calibri" w:cs="Calibri"/>
          <w:lang w:val="ro-RO"/>
        </w:rPr>
        <w:t xml:space="preserve">acoradarea contribuabilulu a posibilității de opta </w:t>
      </w:r>
      <w:r w:rsidR="00DF2900" w:rsidRPr="00834B27">
        <w:rPr>
          <w:rFonts w:ascii="Calibri" w:hAnsi="Calibri" w:cs="Calibri"/>
          <w:lang w:val="ro-RO"/>
        </w:rPr>
        <w:t>pentru calcularea venitului net pe baza datelor din contabilitatea în partidă simplă</w:t>
      </w:r>
      <w:r w:rsidR="00160844" w:rsidRPr="00834B27">
        <w:rPr>
          <w:rFonts w:ascii="Calibri" w:hAnsi="Calibri" w:cs="Calibri"/>
          <w:lang w:val="ro-RO"/>
        </w:rPr>
        <w:t>;</w:t>
      </w:r>
    </w:p>
    <w:p w14:paraId="6B7287DF" w14:textId="149258AD" w:rsidR="00160844" w:rsidRPr="00834B27" w:rsidRDefault="00F51C2B" w:rsidP="00D51A7E">
      <w:pPr>
        <w:pStyle w:val="Listparagraf"/>
        <w:numPr>
          <w:ilvl w:val="0"/>
          <w:numId w:val="1"/>
        </w:numPr>
        <w:tabs>
          <w:tab w:val="left" w:pos="720"/>
        </w:tabs>
        <w:spacing w:line="276" w:lineRule="auto"/>
        <w:contextualSpacing w:val="0"/>
        <w:jc w:val="both"/>
        <w:rPr>
          <w:rFonts w:ascii="Calibri" w:hAnsi="Calibri" w:cs="Calibri"/>
          <w:lang w:val="ro-RO"/>
        </w:rPr>
      </w:pPr>
      <w:r w:rsidRPr="00834B27">
        <w:rPr>
          <w:rFonts w:ascii="Calibri" w:hAnsi="Calibri" w:cs="Calibri"/>
          <w:lang w:val="ro-RO"/>
        </w:rPr>
        <w:t>l</w:t>
      </w:r>
      <w:r w:rsidR="005C0B34" w:rsidRPr="00834B27">
        <w:rPr>
          <w:rFonts w:ascii="Calibri" w:hAnsi="Calibri" w:cs="Calibri"/>
          <w:lang w:val="ro-RO"/>
        </w:rPr>
        <w:t xml:space="preserve">a veniturile din </w:t>
      </w:r>
      <w:r w:rsidR="00377AB8" w:rsidRPr="00834B27">
        <w:rPr>
          <w:rFonts w:ascii="Calibri" w:hAnsi="Calibri" w:cs="Calibri"/>
          <w:lang w:val="ro-RO"/>
        </w:rPr>
        <w:t>activită</w:t>
      </w:r>
      <w:r w:rsidR="00D77C4B" w:rsidRPr="00834B27">
        <w:rPr>
          <w:rFonts w:ascii="Calibri" w:hAnsi="Calibri" w:cs="Calibri"/>
          <w:lang w:val="ro-RO"/>
        </w:rPr>
        <w:t>ț</w:t>
      </w:r>
      <w:r w:rsidR="00377AB8" w:rsidRPr="00834B27">
        <w:rPr>
          <w:rFonts w:ascii="Calibri" w:hAnsi="Calibri" w:cs="Calibri"/>
          <w:lang w:val="ro-RO"/>
        </w:rPr>
        <w:t>i</w:t>
      </w:r>
      <w:r w:rsidR="005C0B34" w:rsidRPr="00834B27">
        <w:rPr>
          <w:rFonts w:ascii="Calibri" w:hAnsi="Calibri" w:cs="Calibri"/>
          <w:lang w:val="ro-RO"/>
        </w:rPr>
        <w:t xml:space="preserve"> independente, </w:t>
      </w:r>
      <w:r w:rsidR="00595D65" w:rsidRPr="00834B27">
        <w:rPr>
          <w:rFonts w:ascii="Calibri" w:hAnsi="Calibri" w:cs="Calibri"/>
          <w:lang w:val="ro-RO"/>
        </w:rPr>
        <w:t>baza de calcul</w:t>
      </w:r>
      <w:r w:rsidR="00C02A0B" w:rsidRPr="00834B27">
        <w:rPr>
          <w:rFonts w:ascii="Calibri" w:hAnsi="Calibri" w:cs="Calibri"/>
          <w:lang w:val="ro-RO"/>
        </w:rPr>
        <w:t xml:space="preserve"> ar trebui s</w:t>
      </w:r>
      <w:r w:rsidR="00377AB8" w:rsidRPr="00834B27">
        <w:rPr>
          <w:rFonts w:ascii="Calibri" w:hAnsi="Calibri" w:cs="Calibri"/>
          <w:lang w:val="ro-RO"/>
        </w:rPr>
        <w:t>ă</w:t>
      </w:r>
      <w:r w:rsidR="00C02A0B" w:rsidRPr="00834B27">
        <w:rPr>
          <w:rFonts w:ascii="Calibri" w:hAnsi="Calibri" w:cs="Calibri"/>
          <w:lang w:val="ro-RO"/>
        </w:rPr>
        <w:t xml:space="preserve"> </w:t>
      </w:r>
      <w:r w:rsidR="00377AB8" w:rsidRPr="00834B27">
        <w:rPr>
          <w:rFonts w:ascii="Calibri" w:hAnsi="Calibri" w:cs="Calibri"/>
          <w:lang w:val="ro-RO"/>
        </w:rPr>
        <w:t>rămână</w:t>
      </w:r>
      <w:r w:rsidR="00C02A0B" w:rsidRPr="00834B27">
        <w:rPr>
          <w:rFonts w:ascii="Calibri" w:hAnsi="Calibri" w:cs="Calibri"/>
          <w:lang w:val="ro-RO"/>
        </w:rPr>
        <w:t xml:space="preserve"> venitul net calculat pe baza datelor din contabilitatea </w:t>
      </w:r>
      <w:r w:rsidR="00377AB8" w:rsidRPr="00834B27">
        <w:rPr>
          <w:rFonts w:ascii="Calibri" w:hAnsi="Calibri" w:cs="Calibri"/>
          <w:lang w:val="ro-RO"/>
        </w:rPr>
        <w:t>î</w:t>
      </w:r>
      <w:r w:rsidR="00C02A0B" w:rsidRPr="00834B27">
        <w:rPr>
          <w:rFonts w:ascii="Calibri" w:hAnsi="Calibri" w:cs="Calibri"/>
          <w:lang w:val="ro-RO"/>
        </w:rPr>
        <w:t>n partid</w:t>
      </w:r>
      <w:r w:rsidR="00377AB8" w:rsidRPr="00834B27">
        <w:rPr>
          <w:rFonts w:ascii="Calibri" w:hAnsi="Calibri" w:cs="Calibri"/>
          <w:lang w:val="ro-RO"/>
        </w:rPr>
        <w:t>ă</w:t>
      </w:r>
      <w:r w:rsidR="00C02A0B" w:rsidRPr="00834B27">
        <w:rPr>
          <w:rFonts w:ascii="Calibri" w:hAnsi="Calibri" w:cs="Calibri"/>
          <w:lang w:val="ro-RO"/>
        </w:rPr>
        <w:t xml:space="preserve"> simpl</w:t>
      </w:r>
      <w:r w:rsidR="00377AB8" w:rsidRPr="00834B27">
        <w:rPr>
          <w:rFonts w:ascii="Calibri" w:hAnsi="Calibri" w:cs="Calibri"/>
          <w:lang w:val="ro-RO"/>
        </w:rPr>
        <w:t>ă</w:t>
      </w:r>
      <w:r w:rsidR="00C80418" w:rsidRPr="00834B27">
        <w:rPr>
          <w:rFonts w:ascii="Calibri" w:hAnsi="Calibri" w:cs="Calibri"/>
          <w:lang w:val="ro-RO"/>
        </w:rPr>
        <w:t xml:space="preserve">, </w:t>
      </w:r>
      <w:r w:rsidR="00377AB8" w:rsidRPr="00834B27">
        <w:rPr>
          <w:rFonts w:ascii="Calibri" w:hAnsi="Calibri" w:cs="Calibri"/>
          <w:lang w:val="ro-RO"/>
        </w:rPr>
        <w:t>fără</w:t>
      </w:r>
      <w:r w:rsidR="00C80418" w:rsidRPr="00834B27">
        <w:rPr>
          <w:rFonts w:ascii="Calibri" w:hAnsi="Calibri" w:cs="Calibri"/>
          <w:lang w:val="ro-RO"/>
        </w:rPr>
        <w:t xml:space="preserve"> posibilitatea </w:t>
      </w:r>
      <w:r w:rsidR="00377AB8" w:rsidRPr="00834B27">
        <w:rPr>
          <w:rFonts w:ascii="Calibri" w:hAnsi="Calibri" w:cs="Calibri"/>
          <w:lang w:val="ro-RO"/>
        </w:rPr>
        <w:t>calculării</w:t>
      </w:r>
      <w:r w:rsidR="00AA7F1E" w:rsidRPr="00834B27">
        <w:rPr>
          <w:rFonts w:ascii="Calibri" w:hAnsi="Calibri" w:cs="Calibri"/>
          <w:lang w:val="ro-RO"/>
        </w:rPr>
        <w:t xml:space="preserve"> venitului net pe baz</w:t>
      </w:r>
      <w:r w:rsidR="00377AB8" w:rsidRPr="00834B27">
        <w:rPr>
          <w:rFonts w:ascii="Calibri" w:hAnsi="Calibri" w:cs="Calibri"/>
          <w:lang w:val="ro-RO"/>
        </w:rPr>
        <w:t>ă</w:t>
      </w:r>
      <w:r w:rsidR="00AA7F1E" w:rsidRPr="00834B27">
        <w:rPr>
          <w:rFonts w:ascii="Calibri" w:hAnsi="Calibri" w:cs="Calibri"/>
          <w:lang w:val="ro-RO"/>
        </w:rPr>
        <w:t xml:space="preserve"> de norme de venit, cu </w:t>
      </w:r>
      <w:r w:rsidR="00377AB8" w:rsidRPr="00834B27">
        <w:rPr>
          <w:rFonts w:ascii="Calibri" w:hAnsi="Calibri" w:cs="Calibri"/>
          <w:lang w:val="ro-RO"/>
        </w:rPr>
        <w:t>excep</w:t>
      </w:r>
      <w:r w:rsidR="00D77C4B" w:rsidRPr="00834B27">
        <w:rPr>
          <w:rFonts w:ascii="Calibri" w:hAnsi="Calibri" w:cs="Calibri"/>
          <w:lang w:val="ro-RO"/>
        </w:rPr>
        <w:t>ț</w:t>
      </w:r>
      <w:r w:rsidR="00377AB8" w:rsidRPr="00834B27">
        <w:rPr>
          <w:rFonts w:ascii="Calibri" w:hAnsi="Calibri" w:cs="Calibri"/>
          <w:lang w:val="ro-RO"/>
        </w:rPr>
        <w:t>ia</w:t>
      </w:r>
      <w:r w:rsidR="00AA7F1E" w:rsidRPr="00834B27">
        <w:rPr>
          <w:rFonts w:ascii="Calibri" w:hAnsi="Calibri" w:cs="Calibri"/>
          <w:lang w:val="ro-RO"/>
        </w:rPr>
        <w:t xml:space="preserve">veniturilor din </w:t>
      </w:r>
      <w:r w:rsidR="00377AB8" w:rsidRPr="00834B27">
        <w:rPr>
          <w:rFonts w:ascii="Calibri" w:hAnsi="Calibri" w:cs="Calibri"/>
          <w:lang w:val="ro-RO"/>
        </w:rPr>
        <w:t>activită</w:t>
      </w:r>
      <w:r w:rsidR="00D77C4B" w:rsidRPr="00834B27">
        <w:rPr>
          <w:rFonts w:ascii="Calibri" w:hAnsi="Calibri" w:cs="Calibri"/>
          <w:lang w:val="ro-RO"/>
        </w:rPr>
        <w:t>ț</w:t>
      </w:r>
      <w:r w:rsidR="00377AB8" w:rsidRPr="00834B27">
        <w:rPr>
          <w:rFonts w:ascii="Calibri" w:hAnsi="Calibri" w:cs="Calibri"/>
          <w:lang w:val="ro-RO"/>
        </w:rPr>
        <w:t>i</w:t>
      </w:r>
      <w:r w:rsidR="00AA7F1E" w:rsidRPr="00834B27">
        <w:rPr>
          <w:rFonts w:ascii="Calibri" w:hAnsi="Calibri" w:cs="Calibri"/>
          <w:lang w:val="ro-RO"/>
        </w:rPr>
        <w:t xml:space="preserve"> agricole, </w:t>
      </w:r>
      <w:r w:rsidR="001F2898" w:rsidRPr="00834B27">
        <w:rPr>
          <w:rFonts w:ascii="Calibri" w:hAnsi="Calibri" w:cs="Calibri"/>
          <w:lang w:val="ro-RO"/>
        </w:rPr>
        <w:t>unde consider</w:t>
      </w:r>
      <w:r w:rsidR="00377AB8" w:rsidRPr="00834B27">
        <w:rPr>
          <w:rFonts w:ascii="Calibri" w:hAnsi="Calibri" w:cs="Calibri"/>
          <w:lang w:val="ro-RO"/>
        </w:rPr>
        <w:t>ă</w:t>
      </w:r>
      <w:r w:rsidR="001F2898" w:rsidRPr="00834B27">
        <w:rPr>
          <w:rFonts w:ascii="Calibri" w:hAnsi="Calibri" w:cs="Calibri"/>
          <w:lang w:val="ro-RO"/>
        </w:rPr>
        <w:t>m c</w:t>
      </w:r>
      <w:r w:rsidR="00377AB8" w:rsidRPr="00834B27">
        <w:rPr>
          <w:rFonts w:ascii="Calibri" w:hAnsi="Calibri" w:cs="Calibri"/>
          <w:lang w:val="ro-RO"/>
        </w:rPr>
        <w:t>ă</w:t>
      </w:r>
      <w:r w:rsidR="001F2898" w:rsidRPr="00834B27">
        <w:rPr>
          <w:rFonts w:ascii="Calibri" w:hAnsi="Calibri" w:cs="Calibri"/>
          <w:lang w:val="ro-RO"/>
        </w:rPr>
        <w:t xml:space="preserve"> impozitarea pe baza normelor de venit trebuie </w:t>
      </w:r>
      <w:r w:rsidR="00377AB8" w:rsidRPr="00834B27">
        <w:rPr>
          <w:rFonts w:ascii="Calibri" w:hAnsi="Calibri" w:cs="Calibri"/>
          <w:lang w:val="ro-RO"/>
        </w:rPr>
        <w:t>păstrată</w:t>
      </w:r>
      <w:r w:rsidR="00064187" w:rsidRPr="00834B27">
        <w:rPr>
          <w:rFonts w:ascii="Calibri" w:hAnsi="Calibri" w:cs="Calibri"/>
          <w:lang w:val="ro-RO"/>
        </w:rPr>
        <w:t>,</w:t>
      </w:r>
      <w:r w:rsidR="00C449B4" w:rsidRPr="00834B27">
        <w:rPr>
          <w:rFonts w:ascii="Calibri" w:hAnsi="Calibri" w:cs="Calibri"/>
          <w:lang w:val="ro-RO"/>
        </w:rPr>
        <w:t xml:space="preserve"> dar normele de venit reevaluate, </w:t>
      </w:r>
      <w:r w:rsidR="00377AB8" w:rsidRPr="00834B27">
        <w:rPr>
          <w:rFonts w:ascii="Calibri" w:hAnsi="Calibri" w:cs="Calibri"/>
          <w:lang w:val="ro-RO"/>
        </w:rPr>
        <w:t>măcar</w:t>
      </w:r>
      <w:r w:rsidR="00C04768" w:rsidRPr="00834B27">
        <w:rPr>
          <w:rFonts w:ascii="Calibri" w:hAnsi="Calibri" w:cs="Calibri"/>
          <w:lang w:val="ro-RO"/>
        </w:rPr>
        <w:t xml:space="preserve"> </w:t>
      </w:r>
      <w:r w:rsidR="00377AB8" w:rsidRPr="00834B27">
        <w:rPr>
          <w:rFonts w:ascii="Calibri" w:hAnsi="Calibri" w:cs="Calibri"/>
          <w:lang w:val="ro-RO"/>
        </w:rPr>
        <w:t>î</w:t>
      </w:r>
      <w:r w:rsidR="00C04768" w:rsidRPr="00834B27">
        <w:rPr>
          <w:rFonts w:ascii="Calibri" w:hAnsi="Calibri" w:cs="Calibri"/>
          <w:lang w:val="ro-RO"/>
        </w:rPr>
        <w:t xml:space="preserve">n </w:t>
      </w:r>
      <w:r w:rsidR="00377AB8" w:rsidRPr="00834B27">
        <w:rPr>
          <w:rFonts w:ascii="Calibri" w:hAnsi="Calibri" w:cs="Calibri"/>
          <w:lang w:val="ro-RO"/>
        </w:rPr>
        <w:t>func</w:t>
      </w:r>
      <w:r w:rsidR="00D77C4B" w:rsidRPr="00834B27">
        <w:rPr>
          <w:rFonts w:ascii="Calibri" w:hAnsi="Calibri" w:cs="Calibri"/>
          <w:lang w:val="ro-RO"/>
        </w:rPr>
        <w:t>ț</w:t>
      </w:r>
      <w:r w:rsidR="00377AB8" w:rsidRPr="00834B27">
        <w:rPr>
          <w:rFonts w:ascii="Calibri" w:hAnsi="Calibri" w:cs="Calibri"/>
          <w:lang w:val="ro-RO"/>
        </w:rPr>
        <w:t>ie</w:t>
      </w:r>
      <w:r w:rsidR="00C04768" w:rsidRPr="00834B27">
        <w:rPr>
          <w:rFonts w:ascii="Calibri" w:hAnsi="Calibri" w:cs="Calibri"/>
          <w:lang w:val="ro-RO"/>
        </w:rPr>
        <w:t xml:space="preserve"> de </w:t>
      </w:r>
      <w:r w:rsidR="00377AB8" w:rsidRPr="00834B27">
        <w:rPr>
          <w:rFonts w:ascii="Calibri" w:hAnsi="Calibri" w:cs="Calibri"/>
          <w:lang w:val="ro-RO"/>
        </w:rPr>
        <w:t>infla</w:t>
      </w:r>
      <w:r w:rsidR="00D77C4B" w:rsidRPr="00834B27">
        <w:rPr>
          <w:rFonts w:ascii="Calibri" w:hAnsi="Calibri" w:cs="Calibri"/>
          <w:lang w:val="ro-RO"/>
        </w:rPr>
        <w:t>ț</w:t>
      </w:r>
      <w:r w:rsidR="00377AB8" w:rsidRPr="00834B27">
        <w:rPr>
          <w:rFonts w:ascii="Calibri" w:hAnsi="Calibri" w:cs="Calibri"/>
          <w:lang w:val="ro-RO"/>
        </w:rPr>
        <w:t>ie</w:t>
      </w:r>
      <w:r w:rsidR="00C04768" w:rsidRPr="00834B27">
        <w:rPr>
          <w:rFonts w:ascii="Calibri" w:hAnsi="Calibri" w:cs="Calibri"/>
          <w:lang w:val="ro-RO"/>
        </w:rPr>
        <w:t xml:space="preserve"> (acestea </w:t>
      </w:r>
      <w:r w:rsidR="00377AB8" w:rsidRPr="00834B27">
        <w:rPr>
          <w:rFonts w:ascii="Calibri" w:hAnsi="Calibri" w:cs="Calibri"/>
          <w:lang w:val="ro-RO"/>
        </w:rPr>
        <w:t>rămânând</w:t>
      </w:r>
      <w:r w:rsidR="00B16EB2" w:rsidRPr="00834B27">
        <w:rPr>
          <w:rFonts w:ascii="Calibri" w:hAnsi="Calibri" w:cs="Calibri"/>
          <w:lang w:val="ro-RO"/>
        </w:rPr>
        <w:t xml:space="preserve"> nemodificate </w:t>
      </w:r>
      <w:r w:rsidR="00AE23E3" w:rsidRPr="00834B27">
        <w:rPr>
          <w:rFonts w:ascii="Calibri" w:hAnsi="Calibri" w:cs="Calibri"/>
          <w:lang w:val="ro-RO"/>
        </w:rPr>
        <w:t xml:space="preserve">din </w:t>
      </w:r>
      <w:r w:rsidR="008A2AB7" w:rsidRPr="00834B27">
        <w:rPr>
          <w:rFonts w:ascii="Calibri" w:hAnsi="Calibri" w:cs="Calibri"/>
          <w:lang w:val="ro-RO"/>
        </w:rPr>
        <w:t>2019</w:t>
      </w:r>
      <w:r w:rsidR="00AE23E3" w:rsidRPr="00834B27">
        <w:rPr>
          <w:rFonts w:ascii="Calibri" w:hAnsi="Calibri" w:cs="Calibri"/>
          <w:lang w:val="ro-RO"/>
        </w:rPr>
        <w:t>)</w:t>
      </w:r>
      <w:r w:rsidR="00383303" w:rsidRPr="00834B27">
        <w:rPr>
          <w:rFonts w:ascii="Calibri" w:hAnsi="Calibri" w:cs="Calibri"/>
          <w:lang w:val="ro-RO"/>
        </w:rPr>
        <w:t>.</w:t>
      </w:r>
    </w:p>
    <w:p w14:paraId="59DA3D8D" w14:textId="2DED75D8" w:rsidR="004B1B44" w:rsidRPr="00834B27" w:rsidRDefault="004B1B44" w:rsidP="005B6AE2">
      <w:pPr>
        <w:pStyle w:val="Listparagraf"/>
        <w:numPr>
          <w:ilvl w:val="0"/>
          <w:numId w:val="1"/>
        </w:numPr>
        <w:tabs>
          <w:tab w:val="left" w:pos="720"/>
        </w:tabs>
        <w:spacing w:line="276" w:lineRule="auto"/>
        <w:contextualSpacing w:val="0"/>
        <w:jc w:val="both"/>
        <w:rPr>
          <w:rFonts w:ascii="Calibri" w:hAnsi="Calibri" w:cs="Calibri"/>
          <w:lang w:val="ro-RO"/>
        </w:rPr>
      </w:pPr>
      <w:r w:rsidRPr="00834B27">
        <w:rPr>
          <w:rFonts w:ascii="Calibri" w:hAnsi="Calibri" w:cs="Calibri"/>
          <w:lang w:val="ro-RO"/>
        </w:rPr>
        <w:t xml:space="preserve">La veniturile din contracte sportive, </w:t>
      </w:r>
      <w:r w:rsidR="00402791" w:rsidRPr="00834B27">
        <w:rPr>
          <w:rFonts w:ascii="Calibri" w:hAnsi="Calibri" w:cs="Calibri"/>
          <w:lang w:val="ro-RO"/>
        </w:rPr>
        <w:t xml:space="preserve">baza de calcul ar trebui să fie </w:t>
      </w:r>
      <w:r w:rsidR="002646D9" w:rsidRPr="00834B27">
        <w:rPr>
          <w:rFonts w:ascii="Calibri" w:hAnsi="Calibri" w:cs="Calibri"/>
          <w:lang w:val="ro-RO"/>
        </w:rPr>
        <w:t xml:space="preserve">venitul brut </w:t>
      </w:r>
      <w:r w:rsidR="00377AB8" w:rsidRPr="00834B27">
        <w:rPr>
          <w:rFonts w:ascii="Calibri" w:hAnsi="Calibri" w:cs="Calibri"/>
          <w:lang w:val="ro-RO"/>
        </w:rPr>
        <w:t>ob</w:t>
      </w:r>
      <w:r w:rsidR="00D77C4B" w:rsidRPr="00834B27">
        <w:rPr>
          <w:rFonts w:ascii="Calibri" w:hAnsi="Calibri" w:cs="Calibri"/>
          <w:lang w:val="ro-RO"/>
        </w:rPr>
        <w:t>ț</w:t>
      </w:r>
      <w:r w:rsidR="00377AB8" w:rsidRPr="00834B27">
        <w:rPr>
          <w:rFonts w:ascii="Calibri" w:hAnsi="Calibri" w:cs="Calibri"/>
          <w:lang w:val="ro-RO"/>
        </w:rPr>
        <w:t>inut</w:t>
      </w:r>
      <w:r w:rsidR="002646D9" w:rsidRPr="00834B27">
        <w:rPr>
          <w:rFonts w:ascii="Calibri" w:hAnsi="Calibri" w:cs="Calibri"/>
          <w:lang w:val="ro-RO"/>
        </w:rPr>
        <w:t xml:space="preserve"> </w:t>
      </w:r>
      <w:r w:rsidR="00377AB8" w:rsidRPr="00834B27">
        <w:rPr>
          <w:rFonts w:ascii="Calibri" w:hAnsi="Calibri" w:cs="Calibri"/>
          <w:lang w:val="ro-RO"/>
        </w:rPr>
        <w:t>î</w:t>
      </w:r>
      <w:r w:rsidR="002646D9" w:rsidRPr="00834B27">
        <w:rPr>
          <w:rFonts w:ascii="Calibri" w:hAnsi="Calibri" w:cs="Calibri"/>
          <w:lang w:val="ro-RO"/>
        </w:rPr>
        <w:t xml:space="preserve">n baza contractului. Sportivii </w:t>
      </w:r>
      <w:r w:rsidR="00377AB8" w:rsidRPr="00834B27">
        <w:rPr>
          <w:rFonts w:ascii="Calibri" w:hAnsi="Calibri" w:cs="Calibri"/>
          <w:lang w:val="ro-RO"/>
        </w:rPr>
        <w:t>profesioniști</w:t>
      </w:r>
      <w:r w:rsidR="002646D9" w:rsidRPr="00834B27">
        <w:rPr>
          <w:rFonts w:ascii="Calibri" w:hAnsi="Calibri" w:cs="Calibri"/>
          <w:lang w:val="ro-RO"/>
        </w:rPr>
        <w:t xml:space="preserve"> sunt practic </w:t>
      </w:r>
      <w:r w:rsidR="00377AB8" w:rsidRPr="00834B27">
        <w:rPr>
          <w:rFonts w:ascii="Calibri" w:hAnsi="Calibri" w:cs="Calibri"/>
          <w:lang w:val="ro-RO"/>
        </w:rPr>
        <w:t>angaja</w:t>
      </w:r>
      <w:r w:rsidR="00D77C4B" w:rsidRPr="00834B27">
        <w:rPr>
          <w:rFonts w:ascii="Calibri" w:hAnsi="Calibri" w:cs="Calibri"/>
          <w:lang w:val="ro-RO"/>
        </w:rPr>
        <w:t>ț</w:t>
      </w:r>
      <w:r w:rsidR="00377AB8" w:rsidRPr="00834B27">
        <w:rPr>
          <w:rFonts w:ascii="Calibri" w:hAnsi="Calibri" w:cs="Calibri"/>
          <w:lang w:val="ro-RO"/>
        </w:rPr>
        <w:t>i</w:t>
      </w:r>
      <w:r w:rsidR="002646D9" w:rsidRPr="00834B27">
        <w:rPr>
          <w:rFonts w:ascii="Calibri" w:hAnsi="Calibri" w:cs="Calibri"/>
          <w:lang w:val="ro-RO"/>
        </w:rPr>
        <w:t xml:space="preserve"> ai cluburilor unde </w:t>
      </w:r>
      <w:r w:rsidR="00377AB8" w:rsidRPr="00834B27">
        <w:rPr>
          <w:rFonts w:ascii="Calibri" w:hAnsi="Calibri" w:cs="Calibri"/>
          <w:lang w:val="ro-RO"/>
        </w:rPr>
        <w:t>își</w:t>
      </w:r>
      <w:r w:rsidR="002646D9" w:rsidRPr="00834B27">
        <w:rPr>
          <w:rFonts w:ascii="Calibri" w:hAnsi="Calibri" w:cs="Calibri"/>
          <w:lang w:val="ro-RO"/>
        </w:rPr>
        <w:t xml:space="preserve"> </w:t>
      </w:r>
      <w:r w:rsidR="00377AB8" w:rsidRPr="00834B27">
        <w:rPr>
          <w:rFonts w:ascii="Calibri" w:hAnsi="Calibri" w:cs="Calibri"/>
          <w:lang w:val="ro-RO"/>
        </w:rPr>
        <w:t>desfășoară</w:t>
      </w:r>
      <w:r w:rsidR="002646D9" w:rsidRPr="00834B27">
        <w:rPr>
          <w:rFonts w:ascii="Calibri" w:hAnsi="Calibri" w:cs="Calibri"/>
          <w:lang w:val="ro-RO"/>
        </w:rPr>
        <w:t xml:space="preserve"> activitatea.</w:t>
      </w:r>
    </w:p>
    <w:p w14:paraId="30FA6B69" w14:textId="56C9B3D7" w:rsidR="00A32828" w:rsidRPr="00834B27" w:rsidRDefault="00C4474D" w:rsidP="0074522C">
      <w:pPr>
        <w:tabs>
          <w:tab w:val="left" w:pos="720"/>
        </w:tabs>
        <w:spacing w:line="276" w:lineRule="auto"/>
        <w:jc w:val="both"/>
        <w:rPr>
          <w:rFonts w:ascii="Calibri" w:hAnsi="Calibri" w:cs="Calibri"/>
          <w:lang w:val="ro-RO"/>
        </w:rPr>
      </w:pPr>
      <w:r w:rsidRPr="00834B27">
        <w:rPr>
          <w:rFonts w:ascii="Calibri" w:hAnsi="Calibri" w:cs="Calibri"/>
          <w:lang w:val="ro-RO"/>
        </w:rPr>
        <w:lastRenderedPageBreak/>
        <w:t>Propunem, de asemenea, separarea juridică a contribuției CAS pentru Pilonul I, care se calculează pe baza plafonată</w:t>
      </w:r>
      <w:r w:rsidR="00C55DE8" w:rsidRPr="00834B27">
        <w:rPr>
          <w:rFonts w:ascii="Calibri" w:hAnsi="Calibri" w:cs="Calibri"/>
          <w:lang w:val="ro-RO"/>
        </w:rPr>
        <w:t>,</w:t>
      </w:r>
      <w:r w:rsidR="00A32828" w:rsidRPr="00834B27">
        <w:rPr>
          <w:rFonts w:ascii="Calibri" w:hAnsi="Calibri" w:cs="Calibri"/>
          <w:lang w:val="ro-RO"/>
        </w:rPr>
        <w:t xml:space="preserve"> </w:t>
      </w:r>
      <w:r w:rsidRPr="00834B27">
        <w:rPr>
          <w:rFonts w:ascii="Calibri" w:hAnsi="Calibri" w:cs="Calibri"/>
          <w:lang w:val="ro-RO"/>
        </w:rPr>
        <w:t xml:space="preserve">de contribuția la Pilonul II, care să se calculeze pe venitul brut integral, fără plafon. Aceasta asigură că plafonarea protejează sustenabilitatea Pilonului I fără a sacrifica acumularea în Pilonul II — singurul instrument de economisire pe termen lung accesibil majorității românilor. </w:t>
      </w:r>
      <w:r w:rsidR="00A32828" w:rsidRPr="00834B27">
        <w:rPr>
          <w:rFonts w:ascii="Calibri" w:hAnsi="Calibri" w:cs="Calibri"/>
          <w:lang w:val="ro-RO"/>
        </w:rPr>
        <w:t>Astfel, contribuția la Pilonul II va continua să se calculeze pe venitul brut integral, fără plafon, aceasta fiind o contribuție la un cont individual propriu, nu generează obligații pentru stat, deci nu există rațiune pentru plafonare.</w:t>
      </w:r>
    </w:p>
    <w:p w14:paraId="091E82BD" w14:textId="15335C7C" w:rsidR="00A32828" w:rsidRPr="00834B27" w:rsidRDefault="00A32828" w:rsidP="0074522C">
      <w:pPr>
        <w:tabs>
          <w:tab w:val="left" w:pos="720"/>
        </w:tabs>
        <w:spacing w:line="276" w:lineRule="auto"/>
        <w:jc w:val="both"/>
        <w:rPr>
          <w:rFonts w:ascii="Calibri" w:hAnsi="Calibri" w:cs="Calibri"/>
          <w:lang w:val="ro-RO"/>
        </w:rPr>
      </w:pPr>
      <w:r w:rsidRPr="00834B27">
        <w:rPr>
          <w:rFonts w:ascii="Calibri" w:hAnsi="Calibri" w:cs="Calibri"/>
          <w:lang w:val="ro-RO"/>
        </w:rPr>
        <w:t>Aceasta este practica standard europeană: în Germania, contribuțiile la pensiile private ocupaționale (betriebliche Altersvorsorge) funcționează independent de plafonul contribuțiilor publice (</w:t>
      </w:r>
      <w:r w:rsidRPr="00834B27">
        <w:rPr>
          <w:rFonts w:ascii="Calibri" w:hAnsi="Calibri" w:cs="Calibri"/>
          <w:i/>
          <w:iCs/>
          <w:lang w:val="ro-RO"/>
        </w:rPr>
        <w:t>Beitragsbemessungsgrenze</w:t>
      </w:r>
      <w:r w:rsidRPr="00834B27">
        <w:rPr>
          <w:rFonts w:ascii="Calibri" w:hAnsi="Calibri" w:cs="Calibri"/>
          <w:lang w:val="ro-RO"/>
        </w:rPr>
        <w:t xml:space="preserve">). În Suedia, contribuția de 2,5% la </w:t>
      </w:r>
      <w:r w:rsidRPr="00834B27">
        <w:rPr>
          <w:rFonts w:ascii="Calibri" w:hAnsi="Calibri" w:cs="Calibri"/>
          <w:i/>
          <w:iCs/>
          <w:lang w:val="ro-RO"/>
        </w:rPr>
        <w:t>premiepension</w:t>
      </w:r>
      <w:r w:rsidRPr="00834B27">
        <w:rPr>
          <w:rFonts w:ascii="Calibri" w:hAnsi="Calibri" w:cs="Calibri"/>
          <w:lang w:val="ro-RO"/>
        </w:rPr>
        <w:t xml:space="preserve"> se aplică pe întregul venit, iar pensia ocupațională compensează </w:t>
      </w:r>
      <w:r w:rsidR="00DB213F" w:rsidRPr="00834B27">
        <w:rPr>
          <w:rFonts w:ascii="Calibri" w:hAnsi="Calibri" w:cs="Calibri"/>
          <w:lang w:val="ro-RO"/>
        </w:rPr>
        <w:t xml:space="preserve">prin contribuții </w:t>
      </w:r>
      <w:r w:rsidRPr="00834B27">
        <w:rPr>
          <w:rFonts w:ascii="Calibri" w:hAnsi="Calibri" w:cs="Calibri"/>
          <w:lang w:val="ro-RO"/>
        </w:rPr>
        <w:t>suplimentar</w:t>
      </w:r>
      <w:r w:rsidR="00DB213F" w:rsidRPr="00834B27">
        <w:rPr>
          <w:rFonts w:ascii="Calibri" w:hAnsi="Calibri" w:cs="Calibri"/>
          <w:lang w:val="ro-RO"/>
        </w:rPr>
        <w:t>e</w:t>
      </w:r>
      <w:r w:rsidRPr="00834B27">
        <w:rPr>
          <w:rFonts w:ascii="Calibri" w:hAnsi="Calibri" w:cs="Calibri"/>
          <w:lang w:val="ro-RO"/>
        </w:rPr>
        <w:t xml:space="preserve"> peste plafon, cu până la 30% din venitul care depășește pragul.</w:t>
      </w:r>
    </w:p>
    <w:p w14:paraId="39BA8CDC" w14:textId="26838323" w:rsidR="002646D9" w:rsidRPr="00834B27" w:rsidRDefault="00BD08EE" w:rsidP="00B43347">
      <w:pPr>
        <w:tabs>
          <w:tab w:val="left" w:pos="720"/>
        </w:tabs>
        <w:spacing w:line="276" w:lineRule="auto"/>
        <w:jc w:val="both"/>
        <w:rPr>
          <w:rFonts w:ascii="Calibri" w:hAnsi="Calibri" w:cs="Calibri"/>
          <w:lang w:val="ro-RO"/>
        </w:rPr>
      </w:pPr>
      <w:r w:rsidRPr="00834B27">
        <w:rPr>
          <w:rFonts w:ascii="Calibri" w:hAnsi="Calibri" w:cs="Calibri"/>
          <w:lang w:val="ro-RO"/>
        </w:rPr>
        <w:t>De menționat că, pentru a asigura predictibilitate și a evita intervenții politice ad-hoc, plafonul bazei de calcul ar trebui indexat automat, anual, în funcție de evoluția salariului mediu, similar cu mecanismul german (</w:t>
      </w:r>
      <w:r w:rsidRPr="00834B27">
        <w:rPr>
          <w:rFonts w:ascii="Calibri" w:hAnsi="Calibri" w:cs="Calibri"/>
          <w:i/>
          <w:iCs/>
          <w:lang w:val="ro-RO"/>
        </w:rPr>
        <w:t>Sozialversicherungs</w:t>
      </w:r>
      <w:r w:rsidRPr="00834B27">
        <w:rPr>
          <w:rFonts w:ascii="Calibri" w:hAnsi="Calibri" w:cs="Calibri"/>
          <w:lang w:val="ro-RO"/>
        </w:rPr>
        <w:t>-</w:t>
      </w:r>
      <w:r w:rsidRPr="00834B27">
        <w:rPr>
          <w:rFonts w:ascii="Calibri" w:hAnsi="Calibri" w:cs="Calibri"/>
          <w:i/>
          <w:iCs/>
          <w:lang w:val="ro-RO"/>
        </w:rPr>
        <w:t>Rechengrössenverordnung</w:t>
      </w:r>
      <w:r w:rsidRPr="00834B27">
        <w:rPr>
          <w:rFonts w:ascii="Calibri" w:hAnsi="Calibri" w:cs="Calibri"/>
          <w:lang w:val="ro-RO"/>
        </w:rPr>
        <w:t>), prin care Guvernul federal ajustează anual toate plafoanele de contribuții sociale în funcție de dinamica salariilor</w:t>
      </w:r>
      <w:r w:rsidRPr="00834B27">
        <w:rPr>
          <w:rStyle w:val="Referinnotdesubsol"/>
          <w:rFonts w:ascii="Calibri" w:hAnsi="Calibri" w:cs="Calibri"/>
          <w:lang w:val="ro-RO"/>
        </w:rPr>
        <w:footnoteReference w:id="26"/>
      </w:r>
      <w:r w:rsidRPr="00834B27">
        <w:rPr>
          <w:rFonts w:ascii="Calibri" w:hAnsi="Calibri" w:cs="Calibri"/>
          <w:lang w:val="ro-RO"/>
        </w:rPr>
        <w:t xml:space="preserve"> din anul precedent, asigurând actualizarea automată a plafoanelor fără a fi necesară o modificare legislativă de fiecare dată.</w:t>
      </w:r>
      <w:r w:rsidR="009B3567" w:rsidRPr="00834B27">
        <w:rPr>
          <w:rFonts w:ascii="Calibri" w:hAnsi="Calibri" w:cs="Calibri"/>
          <w:lang w:val="ro-RO"/>
        </w:rPr>
        <w:t xml:space="preserve">Suplimentar, </w:t>
      </w:r>
      <w:r w:rsidR="00141B25" w:rsidRPr="00834B27">
        <w:rPr>
          <w:rFonts w:ascii="Calibri" w:hAnsi="Calibri" w:cs="Calibri"/>
          <w:lang w:val="ro-RO"/>
        </w:rPr>
        <w:t>pentru asigurarea unui tratament egal, consider</w:t>
      </w:r>
      <w:r w:rsidR="00377AB8" w:rsidRPr="00834B27">
        <w:rPr>
          <w:rFonts w:ascii="Calibri" w:hAnsi="Calibri" w:cs="Calibri"/>
          <w:lang w:val="ro-RO"/>
        </w:rPr>
        <w:t>ă</w:t>
      </w:r>
      <w:r w:rsidR="00141B25" w:rsidRPr="00834B27">
        <w:rPr>
          <w:rFonts w:ascii="Calibri" w:hAnsi="Calibri" w:cs="Calibri"/>
          <w:lang w:val="ro-RO"/>
        </w:rPr>
        <w:t>m c</w:t>
      </w:r>
      <w:r w:rsidR="00377AB8" w:rsidRPr="00834B27">
        <w:rPr>
          <w:rFonts w:ascii="Calibri" w:hAnsi="Calibri" w:cs="Calibri"/>
          <w:lang w:val="ro-RO"/>
        </w:rPr>
        <w:t>ă</w:t>
      </w:r>
      <w:r w:rsidR="00141B25" w:rsidRPr="00834B27">
        <w:rPr>
          <w:rFonts w:ascii="Calibri" w:hAnsi="Calibri" w:cs="Calibri"/>
          <w:lang w:val="ro-RO"/>
        </w:rPr>
        <w:t xml:space="preserve"> se impune </w:t>
      </w:r>
      <w:r w:rsidR="00377AB8" w:rsidRPr="00834B27">
        <w:rPr>
          <w:rFonts w:ascii="Calibri" w:hAnsi="Calibri" w:cs="Calibri"/>
          <w:lang w:val="ro-RO"/>
        </w:rPr>
        <w:t>renun</w:t>
      </w:r>
      <w:r w:rsidR="00D77C4B" w:rsidRPr="00834B27">
        <w:rPr>
          <w:rFonts w:ascii="Calibri" w:hAnsi="Calibri" w:cs="Calibri"/>
          <w:lang w:val="ro-RO"/>
        </w:rPr>
        <w:t>ț</w:t>
      </w:r>
      <w:r w:rsidR="00377AB8" w:rsidRPr="00834B27">
        <w:rPr>
          <w:rFonts w:ascii="Calibri" w:hAnsi="Calibri" w:cs="Calibri"/>
          <w:lang w:val="ro-RO"/>
        </w:rPr>
        <w:t>area</w:t>
      </w:r>
      <w:r w:rsidR="00141B25" w:rsidRPr="00834B27">
        <w:rPr>
          <w:rFonts w:ascii="Calibri" w:hAnsi="Calibri" w:cs="Calibri"/>
          <w:lang w:val="ro-RO"/>
        </w:rPr>
        <w:t xml:space="preserve"> la impozitul pe venitul </w:t>
      </w:r>
      <w:r w:rsidR="00377AB8" w:rsidRPr="00834B27">
        <w:rPr>
          <w:rFonts w:ascii="Calibri" w:hAnsi="Calibri" w:cs="Calibri"/>
          <w:lang w:val="ro-RO"/>
        </w:rPr>
        <w:t>microîntreprinderilor</w:t>
      </w:r>
      <w:r w:rsidR="00141B25" w:rsidRPr="00834B27">
        <w:rPr>
          <w:rFonts w:ascii="Calibri" w:hAnsi="Calibri" w:cs="Calibri"/>
          <w:lang w:val="ro-RO"/>
        </w:rPr>
        <w:t xml:space="preserve"> </w:t>
      </w:r>
      <w:r w:rsidR="00377AB8" w:rsidRPr="00834B27">
        <w:rPr>
          <w:rFonts w:ascii="Calibri" w:hAnsi="Calibri" w:cs="Calibri"/>
          <w:lang w:val="ro-RO"/>
        </w:rPr>
        <w:t>ș</w:t>
      </w:r>
      <w:r w:rsidR="00141B25" w:rsidRPr="00834B27">
        <w:rPr>
          <w:rFonts w:ascii="Calibri" w:hAnsi="Calibri" w:cs="Calibri"/>
          <w:lang w:val="ro-RO"/>
        </w:rPr>
        <w:t xml:space="preserve">i transparentizarea acestora </w:t>
      </w:r>
      <w:r w:rsidR="00377AB8" w:rsidRPr="00834B27">
        <w:rPr>
          <w:rFonts w:ascii="Calibri" w:hAnsi="Calibri" w:cs="Calibri"/>
          <w:lang w:val="ro-RO"/>
        </w:rPr>
        <w:t>î</w:t>
      </w:r>
      <w:r w:rsidR="00141B25" w:rsidRPr="00834B27">
        <w:rPr>
          <w:rFonts w:ascii="Calibri" w:hAnsi="Calibri" w:cs="Calibri"/>
          <w:lang w:val="ro-RO"/>
        </w:rPr>
        <w:t>n scop fiscal (</w:t>
      </w:r>
      <w:r w:rsidR="00377AB8" w:rsidRPr="00834B27">
        <w:rPr>
          <w:rFonts w:ascii="Calibri" w:hAnsi="Calibri" w:cs="Calibri"/>
          <w:lang w:val="ro-RO"/>
        </w:rPr>
        <w:t>câștigul</w:t>
      </w:r>
      <w:r w:rsidR="00141B25" w:rsidRPr="00834B27">
        <w:rPr>
          <w:rFonts w:ascii="Calibri" w:hAnsi="Calibri" w:cs="Calibri"/>
          <w:lang w:val="ro-RO"/>
        </w:rPr>
        <w:t xml:space="preserve"> </w:t>
      </w:r>
      <w:r w:rsidR="00377AB8" w:rsidRPr="00834B27">
        <w:rPr>
          <w:rFonts w:ascii="Calibri" w:hAnsi="Calibri" w:cs="Calibri"/>
          <w:lang w:val="ro-RO"/>
        </w:rPr>
        <w:t>microîntreprinderii</w:t>
      </w:r>
      <w:r w:rsidR="00141B25" w:rsidRPr="00834B27">
        <w:rPr>
          <w:rFonts w:ascii="Calibri" w:hAnsi="Calibri" w:cs="Calibri"/>
          <w:lang w:val="ro-RO"/>
        </w:rPr>
        <w:t xml:space="preserve"> = venit al asociatului), similar cu prevederile existente </w:t>
      </w:r>
      <w:r w:rsidR="00377AB8" w:rsidRPr="00834B27">
        <w:rPr>
          <w:rFonts w:ascii="Calibri" w:hAnsi="Calibri" w:cs="Calibri"/>
          <w:lang w:val="ro-RO"/>
        </w:rPr>
        <w:t>î</w:t>
      </w:r>
      <w:r w:rsidR="00141B25" w:rsidRPr="00834B27">
        <w:rPr>
          <w:rFonts w:ascii="Calibri" w:hAnsi="Calibri" w:cs="Calibri"/>
          <w:lang w:val="ro-RO"/>
        </w:rPr>
        <w:t xml:space="preserve">n cazul </w:t>
      </w:r>
      <w:r w:rsidR="00377AB8" w:rsidRPr="00834B27">
        <w:rPr>
          <w:rFonts w:ascii="Calibri" w:hAnsi="Calibri" w:cs="Calibri"/>
          <w:lang w:val="ro-RO"/>
        </w:rPr>
        <w:t>societă</w:t>
      </w:r>
      <w:r w:rsidR="00D77C4B" w:rsidRPr="00834B27">
        <w:rPr>
          <w:rFonts w:ascii="Calibri" w:hAnsi="Calibri" w:cs="Calibri"/>
          <w:lang w:val="ro-RO"/>
        </w:rPr>
        <w:t>ț</w:t>
      </w:r>
      <w:r w:rsidR="00377AB8" w:rsidRPr="00834B27">
        <w:rPr>
          <w:rFonts w:ascii="Calibri" w:hAnsi="Calibri" w:cs="Calibri"/>
          <w:lang w:val="ro-RO"/>
        </w:rPr>
        <w:t>ilor</w:t>
      </w:r>
      <w:r w:rsidR="00141B25" w:rsidRPr="00834B27">
        <w:rPr>
          <w:rFonts w:ascii="Calibri" w:hAnsi="Calibri" w:cs="Calibri"/>
          <w:lang w:val="ro-RO"/>
        </w:rPr>
        <w:t xml:space="preserve"> civile profesionale (</w:t>
      </w:r>
      <w:r w:rsidR="00377AB8" w:rsidRPr="00834B27">
        <w:rPr>
          <w:rFonts w:ascii="Calibri" w:hAnsi="Calibri" w:cs="Calibri"/>
          <w:lang w:val="ro-RO"/>
        </w:rPr>
        <w:t>de avoca</w:t>
      </w:r>
      <w:r w:rsidR="00D77C4B" w:rsidRPr="00834B27">
        <w:rPr>
          <w:rFonts w:ascii="Calibri" w:hAnsi="Calibri" w:cs="Calibri"/>
          <w:lang w:val="ro-RO"/>
        </w:rPr>
        <w:t>ț</w:t>
      </w:r>
      <w:r w:rsidR="00377AB8" w:rsidRPr="00834B27">
        <w:rPr>
          <w:rFonts w:ascii="Calibri" w:hAnsi="Calibri" w:cs="Calibri"/>
          <w:lang w:val="ro-RO"/>
        </w:rPr>
        <w:t>i</w:t>
      </w:r>
      <w:r w:rsidR="00141B25" w:rsidRPr="00834B27">
        <w:rPr>
          <w:rFonts w:ascii="Calibri" w:hAnsi="Calibri" w:cs="Calibri"/>
          <w:lang w:val="ro-RO"/>
        </w:rPr>
        <w:t xml:space="preserve">, notari, practicieni </w:t>
      </w:r>
      <w:r w:rsidR="00377AB8" w:rsidRPr="00834B27">
        <w:rPr>
          <w:rFonts w:ascii="Calibri" w:hAnsi="Calibri" w:cs="Calibri"/>
          <w:lang w:val="ro-RO"/>
        </w:rPr>
        <w:t>î</w:t>
      </w:r>
      <w:r w:rsidR="00141B25" w:rsidRPr="00834B27">
        <w:rPr>
          <w:rFonts w:ascii="Calibri" w:hAnsi="Calibri" w:cs="Calibri"/>
          <w:lang w:val="ro-RO"/>
        </w:rPr>
        <w:t>n insolven</w:t>
      </w:r>
      <w:r w:rsidR="00D77C4B" w:rsidRPr="00834B27">
        <w:rPr>
          <w:rFonts w:ascii="Calibri" w:hAnsi="Calibri" w:cs="Calibri"/>
          <w:lang w:val="ro-RO"/>
        </w:rPr>
        <w:t>ț</w:t>
      </w:r>
      <w:r w:rsidR="00377AB8" w:rsidRPr="00834B27">
        <w:rPr>
          <w:rFonts w:ascii="Calibri" w:hAnsi="Calibri" w:cs="Calibri"/>
          <w:lang w:val="ro-RO"/>
        </w:rPr>
        <w:t>ă</w:t>
      </w:r>
      <w:r w:rsidR="00141B25" w:rsidRPr="00834B27">
        <w:rPr>
          <w:rFonts w:ascii="Calibri" w:hAnsi="Calibri" w:cs="Calibri"/>
          <w:lang w:val="ro-RO"/>
        </w:rPr>
        <w:t>, etc</w:t>
      </w:r>
      <w:r w:rsidR="00377AB8" w:rsidRPr="00834B27">
        <w:rPr>
          <w:rFonts w:ascii="Calibri" w:hAnsi="Calibri" w:cs="Calibri"/>
          <w:lang w:val="ro-RO"/>
        </w:rPr>
        <w:t>.</w:t>
      </w:r>
      <w:r w:rsidR="00141B25" w:rsidRPr="00834B27">
        <w:rPr>
          <w:rFonts w:ascii="Calibri" w:hAnsi="Calibri" w:cs="Calibri"/>
          <w:lang w:val="ro-RO"/>
        </w:rPr>
        <w:t>)</w:t>
      </w:r>
      <w:r w:rsidR="009F7732" w:rsidRPr="00834B27">
        <w:rPr>
          <w:rFonts w:ascii="Calibri" w:hAnsi="Calibri" w:cs="Calibri"/>
          <w:lang w:val="ro-RO"/>
        </w:rPr>
        <w:t xml:space="preserve">, </w:t>
      </w:r>
      <w:r w:rsidR="00377AB8" w:rsidRPr="00834B27">
        <w:rPr>
          <w:rFonts w:ascii="Calibri" w:hAnsi="Calibri" w:cs="Calibri"/>
          <w:lang w:val="ro-RO"/>
        </w:rPr>
        <w:t>entită</w:t>
      </w:r>
      <w:r w:rsidR="00D77C4B" w:rsidRPr="00834B27">
        <w:rPr>
          <w:rFonts w:ascii="Calibri" w:hAnsi="Calibri" w:cs="Calibri"/>
          <w:lang w:val="ro-RO"/>
        </w:rPr>
        <w:t>ț</w:t>
      </w:r>
      <w:r w:rsidR="00377AB8" w:rsidRPr="00834B27">
        <w:rPr>
          <w:rFonts w:ascii="Calibri" w:hAnsi="Calibri" w:cs="Calibri"/>
          <w:lang w:val="ro-RO"/>
        </w:rPr>
        <w:t>i</w:t>
      </w:r>
      <w:r w:rsidR="009F7732" w:rsidRPr="00834B27">
        <w:rPr>
          <w:rFonts w:ascii="Calibri" w:hAnsi="Calibri" w:cs="Calibri"/>
          <w:lang w:val="ro-RO"/>
        </w:rPr>
        <w:t xml:space="preserve"> care sunt „tra</w:t>
      </w:r>
      <w:r w:rsidR="00912B80" w:rsidRPr="00834B27">
        <w:rPr>
          <w:rFonts w:ascii="Calibri" w:hAnsi="Calibri" w:cs="Calibri"/>
          <w:lang w:val="ro-RO"/>
        </w:rPr>
        <w:t>nsparente fiscal”</w:t>
      </w:r>
      <w:r w:rsidR="00141B25" w:rsidRPr="00834B27">
        <w:rPr>
          <w:rFonts w:ascii="Calibri" w:hAnsi="Calibri" w:cs="Calibri"/>
          <w:lang w:val="ro-RO"/>
        </w:rPr>
        <w:t>.</w:t>
      </w:r>
      <w:r w:rsidR="0083328B" w:rsidRPr="00834B27">
        <w:rPr>
          <w:rStyle w:val="Referinnotdesubsol"/>
          <w:rFonts w:ascii="Calibri" w:hAnsi="Calibri" w:cs="Calibri"/>
          <w:lang w:val="ro-RO"/>
        </w:rPr>
        <w:footnoteReference w:id="27"/>
      </w:r>
      <w:r w:rsidR="00924DAC" w:rsidRPr="00834B27">
        <w:rPr>
          <w:rFonts w:ascii="Calibri" w:hAnsi="Calibri" w:cs="Calibri"/>
          <w:lang w:val="ro-RO"/>
        </w:rPr>
        <w:t xml:space="preserve"> O astfel de abordare ar </w:t>
      </w:r>
      <w:r w:rsidR="00170E7B" w:rsidRPr="00834B27">
        <w:rPr>
          <w:rFonts w:ascii="Calibri" w:hAnsi="Calibri" w:cs="Calibri"/>
          <w:lang w:val="ro-RO"/>
        </w:rPr>
        <w:t>elimina și necesitatea evaluării aplicabilității regimul</w:t>
      </w:r>
      <w:r w:rsidR="00E1077F" w:rsidRPr="00834B27">
        <w:rPr>
          <w:rFonts w:ascii="Calibri" w:hAnsi="Calibri" w:cs="Calibri"/>
          <w:lang w:val="ro-RO"/>
        </w:rPr>
        <w:t>ui și în funcție de venitul companiilor legate, cerinț</w:t>
      </w:r>
      <w:r w:rsidRPr="00834B27">
        <w:rPr>
          <w:rFonts w:ascii="Calibri" w:hAnsi="Calibri" w:cs="Calibri"/>
          <w:lang w:val="ro-RO"/>
        </w:rPr>
        <w:t>ă relativ dificil de administrat.</w:t>
      </w:r>
    </w:p>
    <w:p w14:paraId="45C8CB84" w14:textId="77777777" w:rsidR="00C55DE8" w:rsidRPr="00834B27" w:rsidRDefault="00C55DE8" w:rsidP="00402791">
      <w:pPr>
        <w:tabs>
          <w:tab w:val="left" w:pos="720"/>
        </w:tabs>
        <w:spacing w:line="276" w:lineRule="auto"/>
        <w:jc w:val="both"/>
        <w:rPr>
          <w:rFonts w:ascii="Calibri" w:hAnsi="Calibri" w:cs="Calibri"/>
          <w:lang w:val="ro-RO"/>
        </w:rPr>
      </w:pPr>
    </w:p>
    <w:p w14:paraId="218471E0" w14:textId="5D417888" w:rsidR="00977C77" w:rsidRPr="00834B27" w:rsidRDefault="00977C77" w:rsidP="00A1202C">
      <w:pPr>
        <w:pStyle w:val="Listparagraf"/>
        <w:numPr>
          <w:ilvl w:val="0"/>
          <w:numId w:val="48"/>
        </w:numPr>
        <w:tabs>
          <w:tab w:val="left" w:pos="720"/>
        </w:tabs>
        <w:spacing w:line="276" w:lineRule="auto"/>
        <w:ind w:left="720"/>
        <w:jc w:val="both"/>
        <w:rPr>
          <w:rFonts w:ascii="Calibri" w:hAnsi="Calibri" w:cs="Calibri"/>
          <w:b/>
          <w:bCs/>
          <w:lang w:val="ro-RO"/>
        </w:rPr>
      </w:pPr>
      <w:r w:rsidRPr="00834B27">
        <w:rPr>
          <w:rFonts w:ascii="Calibri" w:hAnsi="Calibri" w:cs="Calibri"/>
          <w:b/>
          <w:bCs/>
          <w:lang w:val="ro-RO"/>
        </w:rPr>
        <w:t>Baza de calcul al CASS</w:t>
      </w:r>
    </w:p>
    <w:p w14:paraId="1A11CA6C" w14:textId="7E60B89A" w:rsidR="007D74B1" w:rsidRPr="00834B27" w:rsidRDefault="001F013F" w:rsidP="00B43347">
      <w:pPr>
        <w:tabs>
          <w:tab w:val="left" w:pos="720"/>
        </w:tabs>
        <w:spacing w:line="276" w:lineRule="auto"/>
        <w:jc w:val="both"/>
        <w:rPr>
          <w:rFonts w:ascii="Calibri" w:hAnsi="Calibri" w:cs="Calibri"/>
          <w:lang w:val="ro-RO"/>
        </w:rPr>
      </w:pPr>
      <w:r w:rsidRPr="00834B27">
        <w:rPr>
          <w:rFonts w:ascii="Calibri" w:hAnsi="Calibri" w:cs="Calibri"/>
          <w:lang w:val="ro-RO"/>
        </w:rPr>
        <w:t xml:space="preserve">La fel, </w:t>
      </w:r>
      <w:r w:rsidR="00377AB8" w:rsidRPr="00834B27">
        <w:rPr>
          <w:rFonts w:ascii="Calibri" w:hAnsi="Calibri" w:cs="Calibri"/>
          <w:lang w:val="ro-RO"/>
        </w:rPr>
        <w:t>așa</w:t>
      </w:r>
      <w:r w:rsidR="00E6325B" w:rsidRPr="00834B27">
        <w:rPr>
          <w:rFonts w:ascii="Calibri" w:hAnsi="Calibri" w:cs="Calibri"/>
          <w:lang w:val="ro-RO"/>
        </w:rPr>
        <w:t xml:space="preserve"> cum am </w:t>
      </w:r>
      <w:r w:rsidR="00377AB8" w:rsidRPr="00834B27">
        <w:rPr>
          <w:rFonts w:ascii="Calibri" w:hAnsi="Calibri" w:cs="Calibri"/>
          <w:lang w:val="ro-RO"/>
        </w:rPr>
        <w:t>men</w:t>
      </w:r>
      <w:r w:rsidR="00D77C4B" w:rsidRPr="00834B27">
        <w:rPr>
          <w:rFonts w:ascii="Calibri" w:hAnsi="Calibri" w:cs="Calibri"/>
          <w:lang w:val="ro-RO"/>
        </w:rPr>
        <w:t>ț</w:t>
      </w:r>
      <w:r w:rsidR="00377AB8" w:rsidRPr="00834B27">
        <w:rPr>
          <w:rFonts w:ascii="Calibri" w:hAnsi="Calibri" w:cs="Calibri"/>
          <w:lang w:val="ro-RO"/>
        </w:rPr>
        <w:t>ionat</w:t>
      </w:r>
      <w:r w:rsidR="00E6325B" w:rsidRPr="00834B27">
        <w:rPr>
          <w:rFonts w:ascii="Calibri" w:hAnsi="Calibri" w:cs="Calibri"/>
          <w:lang w:val="ro-RO"/>
        </w:rPr>
        <w:t xml:space="preserve"> anterior, reforma propus</w:t>
      </w:r>
      <w:r w:rsidR="00377AB8" w:rsidRPr="00834B27">
        <w:rPr>
          <w:rFonts w:ascii="Calibri" w:hAnsi="Calibri" w:cs="Calibri"/>
          <w:lang w:val="ro-RO"/>
        </w:rPr>
        <w:t>ă</w:t>
      </w:r>
      <w:r w:rsidR="00E6325B" w:rsidRPr="00834B27">
        <w:rPr>
          <w:rFonts w:ascii="Calibri" w:hAnsi="Calibri" w:cs="Calibri"/>
          <w:lang w:val="ro-RO"/>
        </w:rPr>
        <w:t xml:space="preserve"> se </w:t>
      </w:r>
      <w:r w:rsidR="00377AB8" w:rsidRPr="00834B27">
        <w:rPr>
          <w:rFonts w:ascii="Calibri" w:hAnsi="Calibri" w:cs="Calibri"/>
          <w:lang w:val="ro-RO"/>
        </w:rPr>
        <w:t>bazează</w:t>
      </w:r>
      <w:r w:rsidR="00E6325B" w:rsidRPr="00834B27">
        <w:rPr>
          <w:rFonts w:ascii="Calibri" w:hAnsi="Calibri" w:cs="Calibri"/>
          <w:lang w:val="ro-RO"/>
        </w:rPr>
        <w:t xml:space="preserve"> pe plafonarea bazei de calcul al CAS</w:t>
      </w:r>
      <w:r w:rsidR="004A17FD" w:rsidRPr="00834B27">
        <w:rPr>
          <w:rFonts w:ascii="Calibri" w:hAnsi="Calibri" w:cs="Calibri"/>
          <w:lang w:val="ro-RO"/>
        </w:rPr>
        <w:t>S</w:t>
      </w:r>
      <w:r w:rsidR="00E6325B" w:rsidRPr="00834B27">
        <w:rPr>
          <w:rFonts w:ascii="Calibri" w:hAnsi="Calibri" w:cs="Calibri"/>
          <w:lang w:val="ro-RO"/>
        </w:rPr>
        <w:t xml:space="preserve"> pe suma tuturor veniturilor</w:t>
      </w:r>
      <w:r w:rsidR="00C660F0" w:rsidRPr="00834B27">
        <w:rPr>
          <w:rFonts w:ascii="Calibri" w:hAnsi="Calibri" w:cs="Calibri"/>
          <w:lang w:val="ro-RO"/>
        </w:rPr>
        <w:t xml:space="preserve">, </w:t>
      </w:r>
      <w:r w:rsidR="00377AB8" w:rsidRPr="00834B27">
        <w:rPr>
          <w:rFonts w:ascii="Calibri" w:hAnsi="Calibri" w:cs="Calibri"/>
          <w:lang w:val="ro-RO"/>
        </w:rPr>
        <w:t>atât</w:t>
      </w:r>
      <w:r w:rsidR="00C660F0" w:rsidRPr="00834B27">
        <w:rPr>
          <w:rFonts w:ascii="Calibri" w:hAnsi="Calibri" w:cs="Calibri"/>
          <w:lang w:val="ro-RO"/>
        </w:rPr>
        <w:t xml:space="preserve"> a celor din munc</w:t>
      </w:r>
      <w:r w:rsidR="00377AB8" w:rsidRPr="00834B27">
        <w:rPr>
          <w:rFonts w:ascii="Calibri" w:hAnsi="Calibri" w:cs="Calibri"/>
          <w:lang w:val="ro-RO"/>
        </w:rPr>
        <w:t>ă,</w:t>
      </w:r>
      <w:r w:rsidR="00C660F0" w:rsidRPr="00834B27">
        <w:rPr>
          <w:rFonts w:ascii="Calibri" w:hAnsi="Calibri" w:cs="Calibri"/>
          <w:lang w:val="ro-RO"/>
        </w:rPr>
        <w:t xml:space="preserve"> </w:t>
      </w:r>
      <w:r w:rsidR="00F51C2B" w:rsidRPr="00834B27">
        <w:rPr>
          <w:rFonts w:ascii="Calibri" w:hAnsi="Calibri" w:cs="Calibri"/>
          <w:lang w:val="ro-RO"/>
        </w:rPr>
        <w:t>cât</w:t>
      </w:r>
      <w:r w:rsidR="00C660F0" w:rsidRPr="00834B27">
        <w:rPr>
          <w:rFonts w:ascii="Calibri" w:hAnsi="Calibri" w:cs="Calibri"/>
          <w:lang w:val="ro-RO"/>
        </w:rPr>
        <w:t xml:space="preserve"> </w:t>
      </w:r>
      <w:r w:rsidR="00377AB8" w:rsidRPr="00834B27">
        <w:rPr>
          <w:rFonts w:ascii="Calibri" w:hAnsi="Calibri" w:cs="Calibri"/>
          <w:lang w:val="ro-RO"/>
        </w:rPr>
        <w:t>ș</w:t>
      </w:r>
      <w:r w:rsidR="00C660F0" w:rsidRPr="00834B27">
        <w:rPr>
          <w:rFonts w:ascii="Calibri" w:hAnsi="Calibri" w:cs="Calibri"/>
          <w:lang w:val="ro-RO"/>
        </w:rPr>
        <w:t xml:space="preserve">i a </w:t>
      </w:r>
      <w:r w:rsidR="00167AC6" w:rsidRPr="00834B27">
        <w:rPr>
          <w:rFonts w:ascii="Calibri" w:hAnsi="Calibri" w:cs="Calibri"/>
          <w:lang w:val="ro-RO"/>
        </w:rPr>
        <w:t>celorlalte venituri.</w:t>
      </w:r>
    </w:p>
    <w:p w14:paraId="13FC04CB" w14:textId="77777777" w:rsidR="00B43347" w:rsidRPr="00834B27" w:rsidRDefault="00B43347" w:rsidP="00B43347">
      <w:pPr>
        <w:tabs>
          <w:tab w:val="left" w:pos="720"/>
        </w:tabs>
        <w:spacing w:line="276" w:lineRule="auto"/>
        <w:jc w:val="both"/>
        <w:rPr>
          <w:rFonts w:ascii="Calibri" w:hAnsi="Calibri" w:cs="Calibri"/>
          <w:lang w:val="ro-RO"/>
        </w:rPr>
      </w:pPr>
    </w:p>
    <w:p w14:paraId="7AA83840" w14:textId="15297FE8" w:rsidR="00C660F0" w:rsidRPr="00834B27" w:rsidRDefault="00167AC6" w:rsidP="00B43347">
      <w:pPr>
        <w:pStyle w:val="Listparagraf"/>
        <w:keepNext/>
        <w:numPr>
          <w:ilvl w:val="6"/>
          <w:numId w:val="23"/>
        </w:numPr>
        <w:spacing w:line="276" w:lineRule="auto"/>
        <w:ind w:left="1260" w:hanging="540"/>
        <w:jc w:val="both"/>
        <w:rPr>
          <w:rFonts w:ascii="Calibri" w:hAnsi="Calibri" w:cs="Calibri"/>
          <w:b/>
          <w:bCs/>
          <w:lang w:val="ro-RO"/>
        </w:rPr>
      </w:pPr>
      <w:r w:rsidRPr="00834B27">
        <w:rPr>
          <w:rFonts w:ascii="Calibri" w:hAnsi="Calibri" w:cs="Calibri"/>
          <w:b/>
          <w:bCs/>
          <w:lang w:val="ro-RO"/>
        </w:rPr>
        <w:t>Venituri din munc</w:t>
      </w:r>
      <w:r w:rsidR="00377AB8" w:rsidRPr="00834B27">
        <w:rPr>
          <w:rFonts w:ascii="Calibri" w:hAnsi="Calibri" w:cs="Calibri"/>
          <w:b/>
          <w:bCs/>
          <w:lang w:val="ro-RO"/>
        </w:rPr>
        <w:t>ă</w:t>
      </w:r>
    </w:p>
    <w:p w14:paraId="7EDBC9E2" w14:textId="3235E968" w:rsidR="002E7B5B" w:rsidRPr="00834B27" w:rsidRDefault="00377AB8" w:rsidP="00B43347">
      <w:pPr>
        <w:keepNext/>
        <w:tabs>
          <w:tab w:val="left" w:pos="720"/>
        </w:tabs>
        <w:spacing w:line="276" w:lineRule="auto"/>
        <w:jc w:val="both"/>
        <w:rPr>
          <w:rFonts w:ascii="Calibri" w:hAnsi="Calibri" w:cs="Calibri"/>
          <w:lang w:val="ro-RO"/>
        </w:rPr>
      </w:pPr>
      <w:r w:rsidRPr="00834B27">
        <w:rPr>
          <w:rFonts w:ascii="Calibri" w:hAnsi="Calibri" w:cs="Calibri"/>
          <w:lang w:val="ro-RO"/>
        </w:rPr>
        <w:t>Considerăm că, p</w:t>
      </w:r>
      <w:r w:rsidR="002E7B5B" w:rsidRPr="00834B27">
        <w:rPr>
          <w:rFonts w:ascii="Calibri" w:hAnsi="Calibri" w:cs="Calibri"/>
          <w:lang w:val="ro-RO"/>
        </w:rPr>
        <w:t>entru veniturile din munc</w:t>
      </w:r>
      <w:r w:rsidRPr="00834B27">
        <w:rPr>
          <w:rFonts w:ascii="Calibri" w:hAnsi="Calibri" w:cs="Calibri"/>
          <w:lang w:val="ro-RO"/>
        </w:rPr>
        <w:t>ă</w:t>
      </w:r>
      <w:r w:rsidR="002E7B5B" w:rsidRPr="00834B27">
        <w:rPr>
          <w:rFonts w:ascii="Calibri" w:hAnsi="Calibri" w:cs="Calibri"/>
          <w:lang w:val="ro-RO"/>
        </w:rPr>
        <w:t>, baza de calcul al CASS</w:t>
      </w:r>
      <w:r w:rsidR="002E100D" w:rsidRPr="00834B27">
        <w:rPr>
          <w:rFonts w:ascii="Calibri" w:hAnsi="Calibri" w:cs="Calibri"/>
          <w:lang w:val="ro-RO"/>
        </w:rPr>
        <w:t>,</w:t>
      </w:r>
      <w:r w:rsidR="002E7B5B" w:rsidRPr="00834B27">
        <w:rPr>
          <w:rFonts w:ascii="Calibri" w:hAnsi="Calibri" w:cs="Calibri"/>
          <w:lang w:val="ro-RO"/>
        </w:rPr>
        <w:t xml:space="preserve"> </w:t>
      </w:r>
      <w:r w:rsidR="00C64779" w:rsidRPr="00834B27">
        <w:rPr>
          <w:rFonts w:ascii="Calibri" w:hAnsi="Calibri" w:cs="Calibri"/>
          <w:lang w:val="ro-RO"/>
        </w:rPr>
        <w:t>ar trebui s</w:t>
      </w:r>
      <w:r w:rsidRPr="00834B27">
        <w:rPr>
          <w:rFonts w:ascii="Calibri" w:hAnsi="Calibri" w:cs="Calibri"/>
          <w:lang w:val="ro-RO"/>
        </w:rPr>
        <w:t>ă</w:t>
      </w:r>
      <w:r w:rsidR="00C64779" w:rsidRPr="00834B27">
        <w:rPr>
          <w:rFonts w:ascii="Calibri" w:hAnsi="Calibri" w:cs="Calibri"/>
          <w:lang w:val="ro-RO"/>
        </w:rPr>
        <w:t xml:space="preserve"> fie </w:t>
      </w:r>
      <w:r w:rsidR="00F51C2B" w:rsidRPr="00834B27">
        <w:rPr>
          <w:rFonts w:ascii="Calibri" w:hAnsi="Calibri" w:cs="Calibri"/>
          <w:lang w:val="ro-RO"/>
        </w:rPr>
        <w:t>determinată</w:t>
      </w:r>
      <w:r w:rsidR="00E541F4" w:rsidRPr="00834B27">
        <w:rPr>
          <w:rFonts w:ascii="Calibri" w:hAnsi="Calibri" w:cs="Calibri"/>
          <w:lang w:val="ro-RO"/>
        </w:rPr>
        <w:t xml:space="preserve"> la fel ca </w:t>
      </w:r>
      <w:r w:rsidRPr="00834B27">
        <w:rPr>
          <w:rFonts w:ascii="Calibri" w:hAnsi="Calibri" w:cs="Calibri"/>
          <w:lang w:val="ro-RO"/>
        </w:rPr>
        <w:t>î</w:t>
      </w:r>
      <w:r w:rsidR="00E541F4" w:rsidRPr="00834B27">
        <w:rPr>
          <w:rFonts w:ascii="Calibri" w:hAnsi="Calibri" w:cs="Calibri"/>
          <w:lang w:val="ro-RO"/>
        </w:rPr>
        <w:t>n cazul bazei de calcul al CAS, conform celor explicate anterior.</w:t>
      </w:r>
    </w:p>
    <w:p w14:paraId="184F1FB9" w14:textId="7632ADE2" w:rsidR="00D168F6" w:rsidRPr="00834B27" w:rsidRDefault="00D168F6" w:rsidP="007D74B1">
      <w:pPr>
        <w:tabs>
          <w:tab w:val="left" w:pos="720"/>
        </w:tabs>
        <w:spacing w:line="276" w:lineRule="auto"/>
        <w:jc w:val="both"/>
        <w:rPr>
          <w:rFonts w:ascii="Calibri" w:hAnsi="Calibri" w:cs="Calibri"/>
          <w:lang w:val="ro-RO"/>
        </w:rPr>
      </w:pPr>
      <w:r w:rsidRPr="00834B27">
        <w:rPr>
          <w:rFonts w:ascii="Calibri" w:hAnsi="Calibri" w:cs="Calibri"/>
          <w:lang w:val="ro-RO"/>
        </w:rPr>
        <w:t xml:space="preserve">Suplimentar, </w:t>
      </w:r>
      <w:r w:rsidR="00790875" w:rsidRPr="00834B27">
        <w:rPr>
          <w:rFonts w:ascii="Calibri" w:hAnsi="Calibri" w:cs="Calibri"/>
          <w:lang w:val="ro-RO"/>
        </w:rPr>
        <w:t>consider</w:t>
      </w:r>
      <w:r w:rsidR="00377AB8" w:rsidRPr="00834B27">
        <w:rPr>
          <w:rFonts w:ascii="Calibri" w:hAnsi="Calibri" w:cs="Calibri"/>
          <w:lang w:val="ro-RO"/>
        </w:rPr>
        <w:t>ă</w:t>
      </w:r>
      <w:r w:rsidR="00790875" w:rsidRPr="00834B27">
        <w:rPr>
          <w:rFonts w:ascii="Calibri" w:hAnsi="Calibri" w:cs="Calibri"/>
          <w:lang w:val="ro-RO"/>
        </w:rPr>
        <w:t>m c</w:t>
      </w:r>
      <w:r w:rsidR="00377AB8" w:rsidRPr="00834B27">
        <w:rPr>
          <w:rFonts w:ascii="Calibri" w:hAnsi="Calibri" w:cs="Calibri"/>
          <w:lang w:val="ro-RO"/>
        </w:rPr>
        <w:t>ă</w:t>
      </w:r>
      <w:r w:rsidR="00790875" w:rsidRPr="00834B27">
        <w:rPr>
          <w:rFonts w:ascii="Calibri" w:hAnsi="Calibri" w:cs="Calibri"/>
          <w:lang w:val="ro-RO"/>
        </w:rPr>
        <w:t xml:space="preserve"> SFT total</w:t>
      </w:r>
      <w:r w:rsidR="00377AB8" w:rsidRPr="00834B27">
        <w:rPr>
          <w:rFonts w:ascii="Calibri" w:hAnsi="Calibri" w:cs="Calibri"/>
          <w:lang w:val="ro-RO"/>
        </w:rPr>
        <w:t>ă</w:t>
      </w:r>
      <w:r w:rsidR="00790875" w:rsidRPr="00834B27">
        <w:rPr>
          <w:rFonts w:ascii="Calibri" w:hAnsi="Calibri" w:cs="Calibri"/>
          <w:lang w:val="ro-RO"/>
        </w:rPr>
        <w:t xml:space="preserve"> </w:t>
      </w:r>
      <w:r w:rsidR="00EB0597" w:rsidRPr="00834B27">
        <w:rPr>
          <w:rFonts w:ascii="Calibri" w:hAnsi="Calibri" w:cs="Calibri"/>
          <w:lang w:val="ro-RO"/>
        </w:rPr>
        <w:t xml:space="preserve">pentru </w:t>
      </w:r>
      <w:r w:rsidR="00A24CA3" w:rsidRPr="00834B27">
        <w:rPr>
          <w:rFonts w:ascii="Calibri" w:hAnsi="Calibri" w:cs="Calibri"/>
          <w:lang w:val="ro-RO"/>
        </w:rPr>
        <w:t>salariile</w:t>
      </w:r>
      <w:r w:rsidR="00EB0597" w:rsidRPr="00834B27">
        <w:rPr>
          <w:rFonts w:ascii="Calibri" w:hAnsi="Calibri" w:cs="Calibri"/>
          <w:lang w:val="ro-RO"/>
        </w:rPr>
        <w:t xml:space="preserve"> mici </w:t>
      </w:r>
      <w:r w:rsidR="00377AB8" w:rsidRPr="00834B27">
        <w:rPr>
          <w:rFonts w:ascii="Calibri" w:hAnsi="Calibri" w:cs="Calibri"/>
          <w:lang w:val="ro-RO"/>
        </w:rPr>
        <w:t>ș</w:t>
      </w:r>
      <w:r w:rsidR="00EB0597" w:rsidRPr="00834B27">
        <w:rPr>
          <w:rFonts w:ascii="Calibri" w:hAnsi="Calibri" w:cs="Calibri"/>
          <w:lang w:val="ro-RO"/>
        </w:rPr>
        <w:t>i foarte mici trebuie redus</w:t>
      </w:r>
      <w:r w:rsidR="00377AB8" w:rsidRPr="00834B27">
        <w:rPr>
          <w:rFonts w:ascii="Calibri" w:hAnsi="Calibri" w:cs="Calibri"/>
          <w:lang w:val="ro-RO"/>
        </w:rPr>
        <w:t>ă</w:t>
      </w:r>
      <w:r w:rsidR="00A24CA3" w:rsidRPr="00834B27">
        <w:rPr>
          <w:rFonts w:ascii="Calibri" w:hAnsi="Calibri" w:cs="Calibri"/>
          <w:lang w:val="ro-RO"/>
        </w:rPr>
        <w:t xml:space="preserve">. Acest lucru se poate face prin </w:t>
      </w:r>
      <w:r w:rsidR="00377AB8" w:rsidRPr="00834B27">
        <w:rPr>
          <w:rFonts w:ascii="Calibri" w:hAnsi="Calibri" w:cs="Calibri"/>
          <w:lang w:val="ro-RO"/>
        </w:rPr>
        <w:t>scăderea</w:t>
      </w:r>
      <w:r w:rsidR="00622957" w:rsidRPr="00834B27">
        <w:rPr>
          <w:rFonts w:ascii="Calibri" w:hAnsi="Calibri" w:cs="Calibri"/>
          <w:lang w:val="ro-RO"/>
        </w:rPr>
        <w:t xml:space="preserve"> din baza de calcul al CASS a deducerii personale </w:t>
      </w:r>
      <w:r w:rsidR="00377AB8" w:rsidRPr="00834B27">
        <w:rPr>
          <w:rFonts w:ascii="Calibri" w:hAnsi="Calibri" w:cs="Calibri"/>
          <w:lang w:val="ro-RO"/>
        </w:rPr>
        <w:t>prevăzute</w:t>
      </w:r>
      <w:r w:rsidR="00622957" w:rsidRPr="00834B27">
        <w:rPr>
          <w:rFonts w:ascii="Calibri" w:hAnsi="Calibri" w:cs="Calibri"/>
          <w:lang w:val="ro-RO"/>
        </w:rPr>
        <w:t xml:space="preserve"> </w:t>
      </w:r>
      <w:r w:rsidR="00377AB8" w:rsidRPr="00834B27">
        <w:rPr>
          <w:rFonts w:ascii="Calibri" w:hAnsi="Calibri" w:cs="Calibri"/>
          <w:lang w:val="ro-RO"/>
        </w:rPr>
        <w:t>î</w:t>
      </w:r>
      <w:r w:rsidR="00622957" w:rsidRPr="00834B27">
        <w:rPr>
          <w:rFonts w:ascii="Calibri" w:hAnsi="Calibri" w:cs="Calibri"/>
          <w:lang w:val="ro-RO"/>
        </w:rPr>
        <w:t xml:space="preserve">n </w:t>
      </w:r>
      <w:r w:rsidR="00E24E97" w:rsidRPr="00834B27">
        <w:rPr>
          <w:rFonts w:ascii="Calibri" w:hAnsi="Calibri" w:cs="Calibri"/>
          <w:lang w:val="ro-RO"/>
        </w:rPr>
        <w:t xml:space="preserve">cazul impozitului pe salarii: degresiv, </w:t>
      </w:r>
      <w:r w:rsidR="00377AB8" w:rsidRPr="00834B27">
        <w:rPr>
          <w:rFonts w:ascii="Calibri" w:hAnsi="Calibri" w:cs="Calibri"/>
          <w:lang w:val="ro-RO"/>
        </w:rPr>
        <w:t>î</w:t>
      </w:r>
      <w:r w:rsidR="00E24E97" w:rsidRPr="00834B27">
        <w:rPr>
          <w:rFonts w:ascii="Calibri" w:hAnsi="Calibri" w:cs="Calibri"/>
          <w:lang w:val="ro-RO"/>
        </w:rPr>
        <w:t xml:space="preserve">n </w:t>
      </w:r>
      <w:r w:rsidR="00377AB8" w:rsidRPr="00834B27">
        <w:rPr>
          <w:rFonts w:ascii="Calibri" w:hAnsi="Calibri" w:cs="Calibri"/>
          <w:lang w:val="ro-RO"/>
        </w:rPr>
        <w:t>func</w:t>
      </w:r>
      <w:r w:rsidR="00D77C4B" w:rsidRPr="00834B27">
        <w:rPr>
          <w:rFonts w:ascii="Calibri" w:hAnsi="Calibri" w:cs="Calibri"/>
          <w:lang w:val="ro-RO"/>
        </w:rPr>
        <w:t>ț</w:t>
      </w:r>
      <w:r w:rsidR="00377AB8" w:rsidRPr="00834B27">
        <w:rPr>
          <w:rFonts w:ascii="Calibri" w:hAnsi="Calibri" w:cs="Calibri"/>
          <w:lang w:val="ro-RO"/>
        </w:rPr>
        <w:t>ie</w:t>
      </w:r>
      <w:r w:rsidR="001F29DF" w:rsidRPr="00834B27">
        <w:rPr>
          <w:rFonts w:ascii="Calibri" w:hAnsi="Calibri" w:cs="Calibri"/>
          <w:lang w:val="ro-RO"/>
        </w:rPr>
        <w:t xml:space="preserve"> de salariu </w:t>
      </w:r>
      <w:r w:rsidR="00377AB8" w:rsidRPr="00834B27">
        <w:rPr>
          <w:rFonts w:ascii="Calibri" w:hAnsi="Calibri" w:cs="Calibri"/>
          <w:lang w:val="ro-RO"/>
        </w:rPr>
        <w:t>ș</w:t>
      </w:r>
      <w:r w:rsidR="001F29DF" w:rsidRPr="00834B27">
        <w:rPr>
          <w:rFonts w:ascii="Calibri" w:hAnsi="Calibri" w:cs="Calibri"/>
          <w:lang w:val="ro-RO"/>
        </w:rPr>
        <w:t>i</w:t>
      </w:r>
      <w:r w:rsidR="00E24E97" w:rsidRPr="00834B27">
        <w:rPr>
          <w:rFonts w:ascii="Calibri" w:hAnsi="Calibri" w:cs="Calibri"/>
          <w:lang w:val="ro-RO"/>
        </w:rPr>
        <w:t xml:space="preserve"> de </w:t>
      </w:r>
      <w:r w:rsidR="00377AB8" w:rsidRPr="00834B27">
        <w:rPr>
          <w:rFonts w:ascii="Calibri" w:hAnsi="Calibri" w:cs="Calibri"/>
          <w:lang w:val="ro-RO"/>
        </w:rPr>
        <w:t>situa</w:t>
      </w:r>
      <w:r w:rsidR="00D77C4B" w:rsidRPr="00834B27">
        <w:rPr>
          <w:rFonts w:ascii="Calibri" w:hAnsi="Calibri" w:cs="Calibri"/>
          <w:lang w:val="ro-RO"/>
        </w:rPr>
        <w:t>ț</w:t>
      </w:r>
      <w:r w:rsidR="00377AB8" w:rsidRPr="00834B27">
        <w:rPr>
          <w:rFonts w:ascii="Calibri" w:hAnsi="Calibri" w:cs="Calibri"/>
          <w:lang w:val="ro-RO"/>
        </w:rPr>
        <w:t>ia</w:t>
      </w:r>
      <w:r w:rsidR="00E24E97" w:rsidRPr="00834B27">
        <w:rPr>
          <w:rFonts w:ascii="Calibri" w:hAnsi="Calibri" w:cs="Calibri"/>
          <w:lang w:val="ro-RO"/>
        </w:rPr>
        <w:t xml:space="preserve"> personal</w:t>
      </w:r>
      <w:r w:rsidR="00377AB8" w:rsidRPr="00834B27">
        <w:rPr>
          <w:rFonts w:ascii="Calibri" w:hAnsi="Calibri" w:cs="Calibri"/>
          <w:lang w:val="ro-RO"/>
        </w:rPr>
        <w:t>ă</w:t>
      </w:r>
      <w:r w:rsidR="00E24E97" w:rsidRPr="00834B27">
        <w:rPr>
          <w:rFonts w:ascii="Calibri" w:hAnsi="Calibri" w:cs="Calibri"/>
          <w:lang w:val="ro-RO"/>
        </w:rPr>
        <w:t xml:space="preserve"> (</w:t>
      </w:r>
      <w:r w:rsidR="00377AB8" w:rsidRPr="00834B27">
        <w:rPr>
          <w:rFonts w:ascii="Calibri" w:hAnsi="Calibri" w:cs="Calibri"/>
          <w:lang w:val="ro-RO"/>
        </w:rPr>
        <w:t>număr</w:t>
      </w:r>
      <w:r w:rsidR="001F29DF" w:rsidRPr="00834B27">
        <w:rPr>
          <w:rFonts w:ascii="Calibri" w:hAnsi="Calibri" w:cs="Calibri"/>
          <w:lang w:val="ro-RO"/>
        </w:rPr>
        <w:t xml:space="preserve"> de persoane aflate </w:t>
      </w:r>
      <w:r w:rsidR="00377AB8" w:rsidRPr="00834B27">
        <w:rPr>
          <w:rFonts w:ascii="Calibri" w:hAnsi="Calibri" w:cs="Calibri"/>
          <w:lang w:val="ro-RO"/>
        </w:rPr>
        <w:t>î</w:t>
      </w:r>
      <w:r w:rsidR="001F29DF" w:rsidRPr="00834B27">
        <w:rPr>
          <w:rFonts w:ascii="Calibri" w:hAnsi="Calibri" w:cs="Calibri"/>
          <w:lang w:val="ro-RO"/>
        </w:rPr>
        <w:t xml:space="preserve">n </w:t>
      </w:r>
      <w:r w:rsidR="00377AB8" w:rsidRPr="00834B27">
        <w:rPr>
          <w:rFonts w:ascii="Calibri" w:hAnsi="Calibri" w:cs="Calibri"/>
          <w:lang w:val="ro-RO"/>
        </w:rPr>
        <w:t>între</w:t>
      </w:r>
      <w:r w:rsidR="00D77C4B" w:rsidRPr="00834B27">
        <w:rPr>
          <w:rFonts w:ascii="Calibri" w:hAnsi="Calibri" w:cs="Calibri"/>
          <w:lang w:val="ro-RO"/>
        </w:rPr>
        <w:t>ț</w:t>
      </w:r>
      <w:r w:rsidR="00377AB8" w:rsidRPr="00834B27">
        <w:rPr>
          <w:rFonts w:ascii="Calibri" w:hAnsi="Calibri" w:cs="Calibri"/>
          <w:lang w:val="ro-RO"/>
        </w:rPr>
        <w:t>inere</w:t>
      </w:r>
      <w:r w:rsidR="001F29DF" w:rsidRPr="00834B27">
        <w:rPr>
          <w:rFonts w:ascii="Calibri" w:hAnsi="Calibri" w:cs="Calibri"/>
          <w:lang w:val="ro-RO"/>
        </w:rPr>
        <w:t>).</w:t>
      </w:r>
    </w:p>
    <w:p w14:paraId="6146AFF7" w14:textId="65D4802C" w:rsidR="001F29DF" w:rsidRPr="00834B27" w:rsidRDefault="00221196" w:rsidP="007D74B1">
      <w:pPr>
        <w:tabs>
          <w:tab w:val="left" w:pos="720"/>
        </w:tabs>
        <w:spacing w:line="276" w:lineRule="auto"/>
        <w:jc w:val="both"/>
        <w:rPr>
          <w:rFonts w:ascii="Calibri" w:hAnsi="Calibri" w:cs="Calibri"/>
          <w:lang w:val="ro-RO"/>
        </w:rPr>
      </w:pPr>
      <w:r w:rsidRPr="00834B27">
        <w:rPr>
          <w:rFonts w:ascii="Calibri" w:hAnsi="Calibri" w:cs="Calibri"/>
          <w:lang w:val="ro-RO"/>
        </w:rPr>
        <w:t xml:space="preserve">O astfel de </w:t>
      </w:r>
      <w:r w:rsidR="00377AB8" w:rsidRPr="00834B27">
        <w:rPr>
          <w:rFonts w:ascii="Calibri" w:hAnsi="Calibri" w:cs="Calibri"/>
          <w:lang w:val="ro-RO"/>
        </w:rPr>
        <w:t>măsură</w:t>
      </w:r>
      <w:r w:rsidR="00310FA7" w:rsidRPr="00834B27">
        <w:rPr>
          <w:rFonts w:ascii="Calibri" w:hAnsi="Calibri" w:cs="Calibri"/>
          <w:lang w:val="ro-RO"/>
        </w:rPr>
        <w:t xml:space="preserve"> ar reduce </w:t>
      </w:r>
      <w:r w:rsidR="00F1073D" w:rsidRPr="00834B27">
        <w:rPr>
          <w:rFonts w:ascii="Calibri" w:hAnsi="Calibri" w:cs="Calibri"/>
          <w:lang w:val="ro-RO"/>
        </w:rPr>
        <w:t xml:space="preserve">SFT </w:t>
      </w:r>
      <w:r w:rsidR="00382B5A" w:rsidRPr="00834B27">
        <w:rPr>
          <w:rFonts w:ascii="Calibri" w:hAnsi="Calibri" w:cs="Calibri"/>
          <w:lang w:val="ro-RO"/>
        </w:rPr>
        <w:t>pentru o persoan</w:t>
      </w:r>
      <w:r w:rsidR="00377AB8" w:rsidRPr="00834B27">
        <w:rPr>
          <w:rFonts w:ascii="Calibri" w:hAnsi="Calibri" w:cs="Calibri"/>
          <w:lang w:val="ro-RO"/>
        </w:rPr>
        <w:t>ă</w:t>
      </w:r>
      <w:r w:rsidR="00382B5A" w:rsidRPr="00834B27">
        <w:rPr>
          <w:rFonts w:ascii="Calibri" w:hAnsi="Calibri" w:cs="Calibri"/>
          <w:lang w:val="ro-RO"/>
        </w:rPr>
        <w:t xml:space="preserve"> care </w:t>
      </w:r>
      <w:r w:rsidR="00377AB8" w:rsidRPr="00834B27">
        <w:rPr>
          <w:rFonts w:ascii="Calibri" w:hAnsi="Calibri" w:cs="Calibri"/>
          <w:lang w:val="ro-RO"/>
        </w:rPr>
        <w:t>ob</w:t>
      </w:r>
      <w:r w:rsidR="00D77C4B" w:rsidRPr="00834B27">
        <w:rPr>
          <w:rFonts w:ascii="Calibri" w:hAnsi="Calibri" w:cs="Calibri"/>
          <w:lang w:val="ro-RO"/>
        </w:rPr>
        <w:t>ț</w:t>
      </w:r>
      <w:r w:rsidR="00377AB8" w:rsidRPr="00834B27">
        <w:rPr>
          <w:rFonts w:ascii="Calibri" w:hAnsi="Calibri" w:cs="Calibri"/>
          <w:lang w:val="ro-RO"/>
        </w:rPr>
        <w:t>ine</w:t>
      </w:r>
      <w:r w:rsidR="00382B5A" w:rsidRPr="00834B27">
        <w:rPr>
          <w:rFonts w:ascii="Calibri" w:hAnsi="Calibri" w:cs="Calibri"/>
          <w:lang w:val="ro-RO"/>
        </w:rPr>
        <w:t xml:space="preserve"> </w:t>
      </w:r>
      <w:r w:rsidR="00912B80" w:rsidRPr="00834B27">
        <w:rPr>
          <w:rFonts w:ascii="Calibri" w:hAnsi="Calibri" w:cs="Calibri"/>
          <w:lang w:val="ro-RO"/>
        </w:rPr>
        <w:t>SM</w:t>
      </w:r>
      <w:r w:rsidR="00A835D5" w:rsidRPr="00834B27">
        <w:rPr>
          <w:rFonts w:ascii="Calibri" w:hAnsi="Calibri" w:cs="Calibri"/>
          <w:lang w:val="ro-RO"/>
        </w:rPr>
        <w:t xml:space="preserve"> (4.050 lei)</w:t>
      </w:r>
      <w:r w:rsidR="00395408" w:rsidRPr="00834B27">
        <w:rPr>
          <w:rFonts w:ascii="Calibri" w:hAnsi="Calibri" w:cs="Calibri"/>
          <w:lang w:val="ro-RO"/>
        </w:rPr>
        <w:t xml:space="preserve"> </w:t>
      </w:r>
      <w:r w:rsidR="00377AB8" w:rsidRPr="00834B27">
        <w:rPr>
          <w:rFonts w:ascii="Calibri" w:hAnsi="Calibri" w:cs="Calibri"/>
          <w:lang w:val="ro-RO"/>
        </w:rPr>
        <w:t>ș</w:t>
      </w:r>
      <w:r w:rsidR="00395408" w:rsidRPr="00834B27">
        <w:rPr>
          <w:rFonts w:ascii="Calibri" w:hAnsi="Calibri" w:cs="Calibri"/>
          <w:lang w:val="ro-RO"/>
        </w:rPr>
        <w:t xml:space="preserve">i are 2 persoane </w:t>
      </w:r>
      <w:r w:rsidR="00377AB8" w:rsidRPr="00834B27">
        <w:rPr>
          <w:rFonts w:ascii="Calibri" w:hAnsi="Calibri" w:cs="Calibri"/>
          <w:lang w:val="ro-RO"/>
        </w:rPr>
        <w:t>î</w:t>
      </w:r>
      <w:r w:rsidR="00395408" w:rsidRPr="00834B27">
        <w:rPr>
          <w:rFonts w:ascii="Calibri" w:hAnsi="Calibri" w:cs="Calibri"/>
          <w:lang w:val="ro-RO"/>
        </w:rPr>
        <w:t xml:space="preserve">n </w:t>
      </w:r>
      <w:r w:rsidR="00377AB8" w:rsidRPr="00834B27">
        <w:rPr>
          <w:rFonts w:ascii="Calibri" w:hAnsi="Calibri" w:cs="Calibri"/>
          <w:lang w:val="ro-RO"/>
        </w:rPr>
        <w:t>între</w:t>
      </w:r>
      <w:r w:rsidR="00D77C4B" w:rsidRPr="00834B27">
        <w:rPr>
          <w:rFonts w:ascii="Calibri" w:hAnsi="Calibri" w:cs="Calibri"/>
          <w:lang w:val="ro-RO"/>
        </w:rPr>
        <w:t>ț</w:t>
      </w:r>
      <w:r w:rsidR="00377AB8" w:rsidRPr="00834B27">
        <w:rPr>
          <w:rFonts w:ascii="Calibri" w:hAnsi="Calibri" w:cs="Calibri"/>
          <w:lang w:val="ro-RO"/>
        </w:rPr>
        <w:t>inere</w:t>
      </w:r>
      <w:r w:rsidR="00395408" w:rsidRPr="00834B27">
        <w:rPr>
          <w:rFonts w:ascii="Calibri" w:hAnsi="Calibri" w:cs="Calibri"/>
          <w:lang w:val="ro-RO"/>
        </w:rPr>
        <w:t xml:space="preserve"> de la 38,5% </w:t>
      </w:r>
      <w:r w:rsidR="00F9553A" w:rsidRPr="00834B27">
        <w:rPr>
          <w:rFonts w:ascii="Calibri" w:hAnsi="Calibri" w:cs="Calibri"/>
          <w:lang w:val="ro-RO"/>
        </w:rPr>
        <w:t>la 35,8% (+1</w:t>
      </w:r>
      <w:r w:rsidR="005A0897" w:rsidRPr="00834B27">
        <w:rPr>
          <w:rFonts w:ascii="Calibri" w:hAnsi="Calibri" w:cs="Calibri"/>
          <w:lang w:val="ro-RO"/>
        </w:rPr>
        <w:t>1</w:t>
      </w:r>
      <w:r w:rsidR="00F9553A" w:rsidRPr="00834B27">
        <w:rPr>
          <w:rFonts w:ascii="Calibri" w:hAnsi="Calibri" w:cs="Calibri"/>
          <w:lang w:val="ro-RO"/>
        </w:rPr>
        <w:t>0 lei la salariul net</w:t>
      </w:r>
      <w:r w:rsidR="005A0897" w:rsidRPr="00834B27">
        <w:rPr>
          <w:rFonts w:ascii="Calibri" w:hAnsi="Calibri" w:cs="Calibri"/>
          <w:lang w:val="ro-RO"/>
        </w:rPr>
        <w:t xml:space="preserve">, </w:t>
      </w:r>
      <w:r w:rsidR="00377AB8" w:rsidRPr="00834B27">
        <w:rPr>
          <w:rFonts w:ascii="Calibri" w:hAnsi="Calibri" w:cs="Calibri"/>
          <w:lang w:val="ro-RO"/>
        </w:rPr>
        <w:t>adică</w:t>
      </w:r>
      <w:r w:rsidR="005A0897" w:rsidRPr="00834B27">
        <w:rPr>
          <w:rFonts w:ascii="Calibri" w:hAnsi="Calibri" w:cs="Calibri"/>
          <w:lang w:val="ro-RO"/>
        </w:rPr>
        <w:t xml:space="preserve"> +</w:t>
      </w:r>
      <w:r w:rsidR="00A03EA5" w:rsidRPr="00834B27">
        <w:rPr>
          <w:rFonts w:ascii="Calibri" w:hAnsi="Calibri" w:cs="Calibri"/>
          <w:lang w:val="ro-RO"/>
        </w:rPr>
        <w:t xml:space="preserve">4,4% </w:t>
      </w:r>
      <w:r w:rsidR="00C55DE8" w:rsidRPr="00834B27">
        <w:rPr>
          <w:rFonts w:ascii="Calibri" w:hAnsi="Calibri" w:cs="Calibri"/>
          <w:lang w:val="ro-RO"/>
        </w:rPr>
        <w:t xml:space="preserve">în </w:t>
      </w:r>
      <w:r w:rsidR="00A03EA5" w:rsidRPr="00834B27">
        <w:rPr>
          <w:rFonts w:ascii="Calibri" w:hAnsi="Calibri" w:cs="Calibri"/>
          <w:lang w:val="ro-RO"/>
        </w:rPr>
        <w:t>plus la net</w:t>
      </w:r>
      <w:r w:rsidR="00F9553A" w:rsidRPr="00834B27">
        <w:rPr>
          <w:rFonts w:ascii="Calibri" w:hAnsi="Calibri" w:cs="Calibri"/>
          <w:lang w:val="ro-RO"/>
        </w:rPr>
        <w:t>)</w:t>
      </w:r>
      <w:r w:rsidR="00A117B6" w:rsidRPr="00834B27">
        <w:rPr>
          <w:rFonts w:ascii="Calibri" w:hAnsi="Calibri" w:cs="Calibri"/>
          <w:lang w:val="ro-RO"/>
        </w:rPr>
        <w:t xml:space="preserve">. </w:t>
      </w:r>
    </w:p>
    <w:p w14:paraId="7CAE701E" w14:textId="2D353966" w:rsidR="00A117B6" w:rsidRPr="00834B27" w:rsidRDefault="00377AB8" w:rsidP="007D74B1">
      <w:pPr>
        <w:tabs>
          <w:tab w:val="left" w:pos="720"/>
        </w:tabs>
        <w:spacing w:line="276" w:lineRule="auto"/>
        <w:jc w:val="both"/>
        <w:rPr>
          <w:rFonts w:ascii="Calibri" w:hAnsi="Calibri" w:cs="Calibri"/>
          <w:lang w:val="ro-RO"/>
        </w:rPr>
      </w:pPr>
      <w:r w:rsidRPr="00834B27">
        <w:rPr>
          <w:rFonts w:ascii="Calibri" w:hAnsi="Calibri" w:cs="Calibri"/>
          <w:lang w:val="ro-RO"/>
        </w:rPr>
        <w:t>Men</w:t>
      </w:r>
      <w:r w:rsidR="00D77C4B" w:rsidRPr="00834B27">
        <w:rPr>
          <w:rFonts w:ascii="Calibri" w:hAnsi="Calibri" w:cs="Calibri"/>
          <w:lang w:val="ro-RO"/>
        </w:rPr>
        <w:t>ț</w:t>
      </w:r>
      <w:r w:rsidRPr="00834B27">
        <w:rPr>
          <w:rFonts w:ascii="Calibri" w:hAnsi="Calibri" w:cs="Calibri"/>
          <w:lang w:val="ro-RO"/>
        </w:rPr>
        <w:t>ionăm</w:t>
      </w:r>
      <w:r w:rsidR="00A117B6" w:rsidRPr="00834B27">
        <w:rPr>
          <w:rFonts w:ascii="Calibri" w:hAnsi="Calibri" w:cs="Calibri"/>
          <w:lang w:val="ro-RO"/>
        </w:rPr>
        <w:t xml:space="preserve"> c</w:t>
      </w:r>
      <w:r w:rsidRPr="00834B27">
        <w:rPr>
          <w:rFonts w:ascii="Calibri" w:hAnsi="Calibri" w:cs="Calibri"/>
          <w:lang w:val="ro-RO"/>
        </w:rPr>
        <w:t>ă</w:t>
      </w:r>
      <w:r w:rsidR="00A117B6" w:rsidRPr="00834B27">
        <w:rPr>
          <w:rFonts w:ascii="Calibri" w:hAnsi="Calibri" w:cs="Calibri"/>
          <w:lang w:val="ro-RO"/>
        </w:rPr>
        <w:t xml:space="preserve"> am luat </w:t>
      </w:r>
      <w:r w:rsidRPr="00834B27">
        <w:rPr>
          <w:rFonts w:ascii="Calibri" w:hAnsi="Calibri" w:cs="Calibri"/>
          <w:lang w:val="ro-RO"/>
        </w:rPr>
        <w:t>î</w:t>
      </w:r>
      <w:r w:rsidR="00A117B6" w:rsidRPr="00834B27">
        <w:rPr>
          <w:rFonts w:ascii="Calibri" w:hAnsi="Calibri" w:cs="Calibri"/>
          <w:lang w:val="ro-RO"/>
        </w:rPr>
        <w:t xml:space="preserve">n calcul </w:t>
      </w:r>
      <w:r w:rsidRPr="00834B27">
        <w:rPr>
          <w:rFonts w:ascii="Calibri" w:hAnsi="Calibri" w:cs="Calibri"/>
          <w:lang w:val="ro-RO"/>
        </w:rPr>
        <w:t>ș</w:t>
      </w:r>
      <w:r w:rsidR="00A117B6" w:rsidRPr="00834B27">
        <w:rPr>
          <w:rFonts w:ascii="Calibri" w:hAnsi="Calibri" w:cs="Calibri"/>
          <w:lang w:val="ro-RO"/>
        </w:rPr>
        <w:t xml:space="preserve">i </w:t>
      </w:r>
      <w:r w:rsidR="00F51C2B" w:rsidRPr="00834B27">
        <w:rPr>
          <w:rFonts w:ascii="Calibri" w:hAnsi="Calibri" w:cs="Calibri"/>
          <w:lang w:val="ro-RO"/>
        </w:rPr>
        <w:t>scenariul</w:t>
      </w:r>
      <w:r w:rsidR="00A117B6" w:rsidRPr="00834B27">
        <w:rPr>
          <w:rFonts w:ascii="Calibri" w:hAnsi="Calibri" w:cs="Calibri"/>
          <w:lang w:val="ro-RO"/>
        </w:rPr>
        <w:t xml:space="preserve"> de a </w:t>
      </w:r>
      <w:r w:rsidRPr="00834B27">
        <w:rPr>
          <w:rFonts w:ascii="Calibri" w:hAnsi="Calibri" w:cs="Calibri"/>
          <w:lang w:val="ro-RO"/>
        </w:rPr>
        <w:t>scădea</w:t>
      </w:r>
      <w:r w:rsidR="00A117B6" w:rsidRPr="00834B27">
        <w:rPr>
          <w:rFonts w:ascii="Calibri" w:hAnsi="Calibri" w:cs="Calibri"/>
          <w:lang w:val="ro-RO"/>
        </w:rPr>
        <w:t xml:space="preserve"> deducerea personal</w:t>
      </w:r>
      <w:r w:rsidRPr="00834B27">
        <w:rPr>
          <w:rFonts w:ascii="Calibri" w:hAnsi="Calibri" w:cs="Calibri"/>
          <w:lang w:val="ro-RO"/>
        </w:rPr>
        <w:t>ă</w:t>
      </w:r>
      <w:r w:rsidR="00A117B6" w:rsidRPr="00834B27">
        <w:rPr>
          <w:rFonts w:ascii="Calibri" w:hAnsi="Calibri" w:cs="Calibri"/>
          <w:lang w:val="ro-RO"/>
        </w:rPr>
        <w:t xml:space="preserve"> </w:t>
      </w:r>
      <w:r w:rsidRPr="00834B27">
        <w:rPr>
          <w:rFonts w:ascii="Calibri" w:hAnsi="Calibri" w:cs="Calibri"/>
          <w:lang w:val="ro-RO"/>
        </w:rPr>
        <w:t>ș</w:t>
      </w:r>
      <w:r w:rsidR="00A117B6" w:rsidRPr="00834B27">
        <w:rPr>
          <w:rFonts w:ascii="Calibri" w:hAnsi="Calibri" w:cs="Calibri"/>
          <w:lang w:val="ro-RO"/>
        </w:rPr>
        <w:t xml:space="preserve">i din baza de calcul al CAS, dar acest lucru ar afecta </w:t>
      </w:r>
      <w:r w:rsidR="00312884" w:rsidRPr="00834B27">
        <w:rPr>
          <w:rFonts w:ascii="Calibri" w:hAnsi="Calibri" w:cs="Calibri"/>
          <w:lang w:val="ro-RO"/>
        </w:rPr>
        <w:t>principiul contributivit</w:t>
      </w:r>
      <w:r w:rsidRPr="00834B27">
        <w:rPr>
          <w:rFonts w:ascii="Calibri" w:hAnsi="Calibri" w:cs="Calibri"/>
          <w:lang w:val="ro-RO"/>
        </w:rPr>
        <w:t>ă</w:t>
      </w:r>
      <w:r w:rsidR="00D77C4B" w:rsidRPr="00834B27">
        <w:rPr>
          <w:rFonts w:ascii="Calibri" w:hAnsi="Calibri" w:cs="Calibri"/>
          <w:lang w:val="ro-RO"/>
        </w:rPr>
        <w:t>ț</w:t>
      </w:r>
      <w:r w:rsidR="00312884" w:rsidRPr="00834B27">
        <w:rPr>
          <w:rFonts w:ascii="Calibri" w:hAnsi="Calibri" w:cs="Calibri"/>
          <w:lang w:val="ro-RO"/>
        </w:rPr>
        <w:t>ii, iar impactul bugetar ar fi</w:t>
      </w:r>
      <w:r w:rsidR="00E04013" w:rsidRPr="00834B27">
        <w:rPr>
          <w:rFonts w:ascii="Calibri" w:hAnsi="Calibri" w:cs="Calibri"/>
          <w:lang w:val="ro-RO"/>
        </w:rPr>
        <w:t xml:space="preserve"> </w:t>
      </w:r>
      <w:r w:rsidR="00F51C2B" w:rsidRPr="00834B27">
        <w:rPr>
          <w:rFonts w:ascii="Calibri" w:hAnsi="Calibri" w:cs="Calibri"/>
          <w:lang w:val="ro-RO"/>
        </w:rPr>
        <w:t>semnificativ</w:t>
      </w:r>
      <w:r w:rsidR="00312884" w:rsidRPr="00834B27">
        <w:rPr>
          <w:rFonts w:ascii="Calibri" w:hAnsi="Calibri" w:cs="Calibri"/>
          <w:lang w:val="ro-RO"/>
        </w:rPr>
        <w:t xml:space="preserve">. </w:t>
      </w:r>
      <w:r w:rsidRPr="00834B27">
        <w:rPr>
          <w:rFonts w:ascii="Calibri" w:hAnsi="Calibri" w:cs="Calibri"/>
          <w:lang w:val="ro-RO"/>
        </w:rPr>
        <w:t>Măsura</w:t>
      </w:r>
      <w:r w:rsidR="00312884" w:rsidRPr="00834B27">
        <w:rPr>
          <w:rFonts w:ascii="Calibri" w:hAnsi="Calibri" w:cs="Calibri"/>
          <w:lang w:val="ro-RO"/>
        </w:rPr>
        <w:t xml:space="preserve"> poate fi luat</w:t>
      </w:r>
      <w:r w:rsidRPr="00834B27">
        <w:rPr>
          <w:rFonts w:ascii="Calibri" w:hAnsi="Calibri" w:cs="Calibri"/>
          <w:lang w:val="ro-RO"/>
        </w:rPr>
        <w:t>ă</w:t>
      </w:r>
      <w:r w:rsidR="00312884" w:rsidRPr="00834B27">
        <w:rPr>
          <w:rFonts w:ascii="Calibri" w:hAnsi="Calibri" w:cs="Calibri"/>
          <w:lang w:val="ro-RO"/>
        </w:rPr>
        <w:t xml:space="preserve"> </w:t>
      </w:r>
      <w:r w:rsidRPr="00834B27">
        <w:rPr>
          <w:rFonts w:ascii="Calibri" w:hAnsi="Calibri" w:cs="Calibri"/>
          <w:lang w:val="ro-RO"/>
        </w:rPr>
        <w:t>însă</w:t>
      </w:r>
      <w:r w:rsidR="00312884" w:rsidRPr="00834B27">
        <w:rPr>
          <w:rFonts w:ascii="Calibri" w:hAnsi="Calibri" w:cs="Calibri"/>
          <w:lang w:val="ro-RO"/>
        </w:rPr>
        <w:t xml:space="preserve"> </w:t>
      </w:r>
      <w:r w:rsidRPr="00834B27">
        <w:rPr>
          <w:rFonts w:ascii="Calibri" w:hAnsi="Calibri" w:cs="Calibri"/>
          <w:lang w:val="ro-RO"/>
        </w:rPr>
        <w:t>î</w:t>
      </w:r>
      <w:r w:rsidR="00312884" w:rsidRPr="00834B27">
        <w:rPr>
          <w:rFonts w:ascii="Calibri" w:hAnsi="Calibri" w:cs="Calibri"/>
          <w:lang w:val="ro-RO"/>
        </w:rPr>
        <w:t xml:space="preserve">n calcul </w:t>
      </w:r>
      <w:r w:rsidRPr="00834B27">
        <w:rPr>
          <w:rFonts w:ascii="Calibri" w:hAnsi="Calibri" w:cs="Calibri"/>
          <w:lang w:val="ro-RO"/>
        </w:rPr>
        <w:t>într-o</w:t>
      </w:r>
      <w:r w:rsidR="00343A17" w:rsidRPr="00834B27">
        <w:rPr>
          <w:rFonts w:ascii="Calibri" w:hAnsi="Calibri" w:cs="Calibri"/>
          <w:lang w:val="ro-RO"/>
        </w:rPr>
        <w:t xml:space="preserve"> etap</w:t>
      </w:r>
      <w:r w:rsidRPr="00834B27">
        <w:rPr>
          <w:rFonts w:ascii="Calibri" w:hAnsi="Calibri" w:cs="Calibri"/>
          <w:lang w:val="ro-RO"/>
        </w:rPr>
        <w:t>ă</w:t>
      </w:r>
      <w:r w:rsidR="00343A17" w:rsidRPr="00834B27">
        <w:rPr>
          <w:rFonts w:ascii="Calibri" w:hAnsi="Calibri" w:cs="Calibri"/>
          <w:lang w:val="ro-RO"/>
        </w:rPr>
        <w:t xml:space="preserve"> ulterioar</w:t>
      </w:r>
      <w:r w:rsidRPr="00834B27">
        <w:rPr>
          <w:rFonts w:ascii="Calibri" w:hAnsi="Calibri" w:cs="Calibri"/>
          <w:lang w:val="ro-RO"/>
        </w:rPr>
        <w:t>ă</w:t>
      </w:r>
      <w:r w:rsidR="00343A17" w:rsidRPr="00834B27">
        <w:rPr>
          <w:rFonts w:ascii="Calibri" w:hAnsi="Calibri" w:cs="Calibri"/>
          <w:lang w:val="ro-RO"/>
        </w:rPr>
        <w:t xml:space="preserve">, </w:t>
      </w:r>
      <w:r w:rsidRPr="00834B27">
        <w:rPr>
          <w:rFonts w:ascii="Calibri" w:hAnsi="Calibri" w:cs="Calibri"/>
          <w:lang w:val="ro-RO"/>
        </w:rPr>
        <w:t>după</w:t>
      </w:r>
      <w:r w:rsidR="00343A17" w:rsidRPr="00834B27">
        <w:rPr>
          <w:rFonts w:ascii="Calibri" w:hAnsi="Calibri" w:cs="Calibri"/>
          <w:lang w:val="ro-RO"/>
        </w:rPr>
        <w:t xml:space="preserve"> ce punerea </w:t>
      </w:r>
      <w:r w:rsidRPr="00834B27">
        <w:rPr>
          <w:rFonts w:ascii="Calibri" w:hAnsi="Calibri" w:cs="Calibri"/>
          <w:lang w:val="ro-RO"/>
        </w:rPr>
        <w:t>î</w:t>
      </w:r>
      <w:r w:rsidR="00343A17" w:rsidRPr="00834B27">
        <w:rPr>
          <w:rFonts w:ascii="Calibri" w:hAnsi="Calibri" w:cs="Calibri"/>
          <w:lang w:val="ro-RO"/>
        </w:rPr>
        <w:t xml:space="preserve">n ordine a </w:t>
      </w:r>
      <w:r w:rsidRPr="00834B27">
        <w:rPr>
          <w:rFonts w:ascii="Calibri" w:hAnsi="Calibri" w:cs="Calibri"/>
          <w:lang w:val="ro-RO"/>
        </w:rPr>
        <w:t>impozitării</w:t>
      </w:r>
      <w:r w:rsidR="00343A17" w:rsidRPr="00834B27">
        <w:rPr>
          <w:rFonts w:ascii="Calibri" w:hAnsi="Calibri" w:cs="Calibri"/>
          <w:lang w:val="ro-RO"/>
        </w:rPr>
        <w:t xml:space="preserve"> veniturilor persoanelor fizice va fi produs </w:t>
      </w:r>
      <w:r w:rsidR="00D53973" w:rsidRPr="00834B27">
        <w:rPr>
          <w:rFonts w:ascii="Calibri" w:hAnsi="Calibri" w:cs="Calibri"/>
          <w:lang w:val="ro-RO"/>
        </w:rPr>
        <w:t xml:space="preserve">efectele </w:t>
      </w:r>
      <w:r w:rsidRPr="00834B27">
        <w:rPr>
          <w:rFonts w:ascii="Calibri" w:hAnsi="Calibri" w:cs="Calibri"/>
          <w:lang w:val="ro-RO"/>
        </w:rPr>
        <w:t>așteptate</w:t>
      </w:r>
      <w:r w:rsidR="00D53973" w:rsidRPr="00834B27">
        <w:rPr>
          <w:rFonts w:ascii="Calibri" w:hAnsi="Calibri" w:cs="Calibri"/>
          <w:lang w:val="ro-RO"/>
        </w:rPr>
        <w:t xml:space="preserve"> asupra </w:t>
      </w:r>
      <w:r w:rsidRPr="00834B27">
        <w:rPr>
          <w:rFonts w:ascii="Calibri" w:hAnsi="Calibri" w:cs="Calibri"/>
          <w:lang w:val="ro-RO"/>
        </w:rPr>
        <w:t>creșterii</w:t>
      </w:r>
      <w:r w:rsidR="00D53973" w:rsidRPr="00834B27">
        <w:rPr>
          <w:rFonts w:ascii="Calibri" w:hAnsi="Calibri" w:cs="Calibri"/>
          <w:lang w:val="ro-RO"/>
        </w:rPr>
        <w:t xml:space="preserve"> veniturilor bugetului consolidat.</w:t>
      </w:r>
      <w:r w:rsidR="004D3405" w:rsidRPr="00834B27">
        <w:rPr>
          <w:rFonts w:ascii="Calibri" w:hAnsi="Calibri" w:cs="Calibri"/>
          <w:lang w:val="ro-RO"/>
        </w:rPr>
        <w:t xml:space="preserve"> O astfel</w:t>
      </w:r>
      <w:r w:rsidR="00D609C8" w:rsidRPr="00834B27">
        <w:rPr>
          <w:rFonts w:ascii="Calibri" w:hAnsi="Calibri" w:cs="Calibri"/>
          <w:lang w:val="ro-RO"/>
        </w:rPr>
        <w:t xml:space="preserve"> </w:t>
      </w:r>
      <w:r w:rsidR="004D3405" w:rsidRPr="00834B27">
        <w:rPr>
          <w:rFonts w:ascii="Calibri" w:hAnsi="Calibri" w:cs="Calibri"/>
          <w:lang w:val="ro-RO"/>
        </w:rPr>
        <w:t xml:space="preserve">de </w:t>
      </w:r>
      <w:r w:rsidRPr="00834B27">
        <w:rPr>
          <w:rFonts w:ascii="Calibri" w:hAnsi="Calibri" w:cs="Calibri"/>
          <w:lang w:val="ro-RO"/>
        </w:rPr>
        <w:t>măsură</w:t>
      </w:r>
      <w:r w:rsidR="004D3405" w:rsidRPr="00834B27">
        <w:rPr>
          <w:rFonts w:ascii="Calibri" w:hAnsi="Calibri" w:cs="Calibri"/>
          <w:lang w:val="ro-RO"/>
        </w:rPr>
        <w:t xml:space="preserve"> ar putea fi </w:t>
      </w:r>
      <w:r w:rsidRPr="00834B27">
        <w:rPr>
          <w:rFonts w:ascii="Calibri" w:hAnsi="Calibri" w:cs="Calibri"/>
          <w:lang w:val="ro-RO"/>
        </w:rPr>
        <w:t>însă</w:t>
      </w:r>
      <w:r w:rsidR="004D3405" w:rsidRPr="00834B27">
        <w:rPr>
          <w:rFonts w:ascii="Calibri" w:hAnsi="Calibri" w:cs="Calibri"/>
          <w:lang w:val="ro-RO"/>
        </w:rPr>
        <w:t xml:space="preserve"> luat</w:t>
      </w:r>
      <w:r w:rsidRPr="00834B27">
        <w:rPr>
          <w:rFonts w:ascii="Calibri" w:hAnsi="Calibri" w:cs="Calibri"/>
          <w:lang w:val="ro-RO"/>
        </w:rPr>
        <w:t>ă în</w:t>
      </w:r>
      <w:r w:rsidR="004D3405" w:rsidRPr="00834B27">
        <w:rPr>
          <w:rFonts w:ascii="Calibri" w:hAnsi="Calibri" w:cs="Calibri"/>
          <w:lang w:val="ro-RO"/>
        </w:rPr>
        <w:t xml:space="preserve"> calcul </w:t>
      </w:r>
      <w:r w:rsidRPr="00834B27">
        <w:rPr>
          <w:rFonts w:ascii="Calibri" w:hAnsi="Calibri" w:cs="Calibri"/>
          <w:lang w:val="ro-RO"/>
        </w:rPr>
        <w:t>ș</w:t>
      </w:r>
      <w:r w:rsidR="004D3405" w:rsidRPr="00834B27">
        <w:rPr>
          <w:rFonts w:ascii="Calibri" w:hAnsi="Calibri" w:cs="Calibri"/>
          <w:lang w:val="ro-RO"/>
        </w:rPr>
        <w:t>i imediat, dac</w:t>
      </w:r>
      <w:r w:rsidRPr="00834B27">
        <w:rPr>
          <w:rFonts w:ascii="Calibri" w:hAnsi="Calibri" w:cs="Calibri"/>
          <w:lang w:val="ro-RO"/>
        </w:rPr>
        <w:t>ă</w:t>
      </w:r>
      <w:r w:rsidR="004D3405" w:rsidRPr="00834B27">
        <w:rPr>
          <w:rFonts w:ascii="Calibri" w:hAnsi="Calibri" w:cs="Calibri"/>
          <w:lang w:val="ro-RO"/>
        </w:rPr>
        <w:t xml:space="preserve"> </w:t>
      </w:r>
      <w:r w:rsidR="00F51C2B" w:rsidRPr="00834B27">
        <w:rPr>
          <w:rFonts w:ascii="Calibri" w:hAnsi="Calibri" w:cs="Calibri"/>
          <w:lang w:val="ro-RO"/>
        </w:rPr>
        <w:t>propunerile din</w:t>
      </w:r>
      <w:r w:rsidR="004D3405" w:rsidRPr="00834B27">
        <w:rPr>
          <w:rFonts w:ascii="Calibri" w:hAnsi="Calibri" w:cs="Calibri"/>
          <w:lang w:val="ro-RO"/>
        </w:rPr>
        <w:t xml:space="preserve"> acest studiu ar fi cuplate cu m</w:t>
      </w:r>
      <w:r w:rsidRPr="00834B27">
        <w:rPr>
          <w:rFonts w:ascii="Calibri" w:hAnsi="Calibri" w:cs="Calibri"/>
          <w:lang w:val="ro-RO"/>
        </w:rPr>
        <w:t>ă</w:t>
      </w:r>
      <w:r w:rsidR="004D3405" w:rsidRPr="00834B27">
        <w:rPr>
          <w:rFonts w:ascii="Calibri" w:hAnsi="Calibri" w:cs="Calibri"/>
          <w:lang w:val="ro-RO"/>
        </w:rPr>
        <w:t xml:space="preserve">suri de </w:t>
      </w:r>
      <w:r w:rsidRPr="00834B27">
        <w:rPr>
          <w:rFonts w:ascii="Calibri" w:hAnsi="Calibri" w:cs="Calibri"/>
          <w:lang w:val="ro-RO"/>
        </w:rPr>
        <w:t>scădere</w:t>
      </w:r>
      <w:r w:rsidR="00A45FD1" w:rsidRPr="00834B27">
        <w:rPr>
          <w:rFonts w:ascii="Calibri" w:hAnsi="Calibri" w:cs="Calibri"/>
          <w:lang w:val="ro-RO"/>
        </w:rPr>
        <w:t xml:space="preserve"> masiv</w:t>
      </w:r>
      <w:r w:rsidRPr="00834B27">
        <w:rPr>
          <w:rFonts w:ascii="Calibri" w:hAnsi="Calibri" w:cs="Calibri"/>
          <w:lang w:val="ro-RO"/>
        </w:rPr>
        <w:t>ă</w:t>
      </w:r>
      <w:r w:rsidR="00A45FD1" w:rsidRPr="00834B27">
        <w:rPr>
          <w:rFonts w:ascii="Calibri" w:hAnsi="Calibri" w:cs="Calibri"/>
          <w:lang w:val="ro-RO"/>
        </w:rPr>
        <w:t xml:space="preserve"> a GAP-ului de TVA</w:t>
      </w:r>
      <w:r w:rsidR="00151A77" w:rsidRPr="00834B27">
        <w:rPr>
          <w:rFonts w:ascii="Calibri" w:hAnsi="Calibri" w:cs="Calibri"/>
          <w:lang w:val="ro-RO"/>
        </w:rPr>
        <w:t xml:space="preserve">. </w:t>
      </w:r>
    </w:p>
    <w:p w14:paraId="7FD67617" w14:textId="77777777" w:rsidR="00B43347" w:rsidRPr="00834B27" w:rsidRDefault="00B43347" w:rsidP="007D74B1">
      <w:pPr>
        <w:tabs>
          <w:tab w:val="left" w:pos="720"/>
        </w:tabs>
        <w:spacing w:line="276" w:lineRule="auto"/>
        <w:jc w:val="both"/>
        <w:rPr>
          <w:rFonts w:ascii="Calibri" w:hAnsi="Calibri" w:cs="Calibri"/>
          <w:lang w:val="ro-RO"/>
        </w:rPr>
      </w:pPr>
    </w:p>
    <w:p w14:paraId="44C9C718" w14:textId="717E49CC" w:rsidR="009F44F4" w:rsidRPr="00834B27" w:rsidRDefault="009F44F4" w:rsidP="00B43347">
      <w:pPr>
        <w:pStyle w:val="Listparagraf"/>
        <w:keepNext/>
        <w:numPr>
          <w:ilvl w:val="6"/>
          <w:numId w:val="23"/>
        </w:numPr>
        <w:spacing w:line="276" w:lineRule="auto"/>
        <w:ind w:left="1260" w:hanging="540"/>
        <w:jc w:val="both"/>
        <w:rPr>
          <w:rFonts w:ascii="Calibri" w:hAnsi="Calibri" w:cs="Calibri"/>
          <w:b/>
          <w:bCs/>
          <w:lang w:val="ro-RO"/>
        </w:rPr>
      </w:pPr>
      <w:r w:rsidRPr="00834B27">
        <w:rPr>
          <w:rFonts w:ascii="Calibri" w:hAnsi="Calibri" w:cs="Calibri"/>
          <w:b/>
          <w:bCs/>
          <w:lang w:val="ro-RO"/>
        </w:rPr>
        <w:t xml:space="preserve">Venituri din cedarea </w:t>
      </w:r>
      <w:r w:rsidR="00377AB8" w:rsidRPr="00834B27">
        <w:rPr>
          <w:rFonts w:ascii="Calibri" w:hAnsi="Calibri" w:cs="Calibri"/>
          <w:b/>
          <w:bCs/>
          <w:lang w:val="ro-RO"/>
        </w:rPr>
        <w:t>folosin</w:t>
      </w:r>
      <w:r w:rsidR="00D77C4B" w:rsidRPr="00834B27">
        <w:rPr>
          <w:rFonts w:ascii="Calibri" w:hAnsi="Calibri" w:cs="Calibri"/>
          <w:b/>
          <w:bCs/>
          <w:lang w:val="ro-RO"/>
        </w:rPr>
        <w:t>ț</w:t>
      </w:r>
      <w:r w:rsidR="00377AB8" w:rsidRPr="00834B27">
        <w:rPr>
          <w:rFonts w:ascii="Calibri" w:hAnsi="Calibri" w:cs="Calibri"/>
          <w:b/>
          <w:bCs/>
          <w:lang w:val="ro-RO"/>
        </w:rPr>
        <w:t>ei</w:t>
      </w:r>
      <w:r w:rsidRPr="00834B27">
        <w:rPr>
          <w:rFonts w:ascii="Calibri" w:hAnsi="Calibri" w:cs="Calibri"/>
          <w:b/>
          <w:bCs/>
          <w:lang w:val="ro-RO"/>
        </w:rPr>
        <w:t xml:space="preserve"> bunurilor</w:t>
      </w:r>
    </w:p>
    <w:p w14:paraId="369A5D36" w14:textId="13B83DEA" w:rsidR="009F44F4" w:rsidRPr="00834B27" w:rsidRDefault="009F44F4" w:rsidP="009F44F4">
      <w:pPr>
        <w:tabs>
          <w:tab w:val="left" w:pos="720"/>
        </w:tabs>
        <w:spacing w:line="276" w:lineRule="auto"/>
        <w:jc w:val="both"/>
        <w:rPr>
          <w:rFonts w:ascii="Calibri" w:hAnsi="Calibri" w:cs="Calibri"/>
          <w:lang w:val="ro-RO"/>
        </w:rPr>
      </w:pPr>
      <w:r w:rsidRPr="00834B27">
        <w:rPr>
          <w:rFonts w:ascii="Calibri" w:hAnsi="Calibri" w:cs="Calibri"/>
          <w:lang w:val="ro-RO"/>
        </w:rPr>
        <w:t>C</w:t>
      </w:r>
      <w:r w:rsidR="00704B3C" w:rsidRPr="00834B27">
        <w:rPr>
          <w:rFonts w:ascii="Calibri" w:hAnsi="Calibri" w:cs="Calibri"/>
          <w:lang w:val="ro-RO"/>
        </w:rPr>
        <w:t>onsider</w:t>
      </w:r>
      <w:r w:rsidR="00377AB8" w:rsidRPr="00834B27">
        <w:rPr>
          <w:rFonts w:ascii="Calibri" w:hAnsi="Calibri" w:cs="Calibri"/>
          <w:lang w:val="ro-RO"/>
        </w:rPr>
        <w:t>ă</w:t>
      </w:r>
      <w:r w:rsidR="00704B3C" w:rsidRPr="00834B27">
        <w:rPr>
          <w:rFonts w:ascii="Calibri" w:hAnsi="Calibri" w:cs="Calibri"/>
          <w:lang w:val="ro-RO"/>
        </w:rPr>
        <w:t>m c</w:t>
      </w:r>
      <w:r w:rsidR="00377AB8" w:rsidRPr="00834B27">
        <w:rPr>
          <w:rFonts w:ascii="Calibri" w:hAnsi="Calibri" w:cs="Calibri"/>
          <w:lang w:val="ro-RO"/>
        </w:rPr>
        <w:t>ă</w:t>
      </w:r>
      <w:r w:rsidR="00704B3C" w:rsidRPr="00834B27">
        <w:rPr>
          <w:rFonts w:ascii="Calibri" w:hAnsi="Calibri" w:cs="Calibri"/>
          <w:lang w:val="ro-RO"/>
        </w:rPr>
        <w:t xml:space="preserve"> poate fi </w:t>
      </w:r>
      <w:r w:rsidR="00377AB8" w:rsidRPr="00834B27">
        <w:rPr>
          <w:rFonts w:ascii="Calibri" w:hAnsi="Calibri" w:cs="Calibri"/>
          <w:lang w:val="ro-RO"/>
        </w:rPr>
        <w:t>păstrat</w:t>
      </w:r>
      <w:r w:rsidR="00704B3C" w:rsidRPr="00834B27">
        <w:rPr>
          <w:rFonts w:ascii="Calibri" w:hAnsi="Calibri" w:cs="Calibri"/>
          <w:lang w:val="ro-RO"/>
        </w:rPr>
        <w:t xml:space="preserve"> actualul mod de calcul al venitului net</w:t>
      </w:r>
      <w:r w:rsidR="000F3303" w:rsidRPr="00834B27">
        <w:rPr>
          <w:rFonts w:ascii="Calibri" w:hAnsi="Calibri" w:cs="Calibri"/>
          <w:lang w:val="ro-RO"/>
        </w:rPr>
        <w:t>, prin aplicarea deducerii de 20% din venitul brut.</w:t>
      </w:r>
      <w:r w:rsidR="002E100D" w:rsidRPr="00834B27">
        <w:rPr>
          <w:rFonts w:ascii="Calibri" w:hAnsi="Calibri" w:cs="Calibri"/>
          <w:lang w:val="ro-RO"/>
        </w:rPr>
        <w:t xml:space="preserve"> </w:t>
      </w:r>
      <w:r w:rsidR="00151A77" w:rsidRPr="00834B27">
        <w:rPr>
          <w:rFonts w:ascii="Calibri" w:hAnsi="Calibri" w:cs="Calibri"/>
          <w:lang w:val="ro-RO"/>
        </w:rPr>
        <w:t xml:space="preserve"> Considerăm </w:t>
      </w:r>
      <w:r w:rsidR="00623523" w:rsidRPr="00834B27">
        <w:rPr>
          <w:rFonts w:ascii="Calibri" w:hAnsi="Calibri" w:cs="Calibri"/>
          <w:lang w:val="ro-RO"/>
        </w:rPr>
        <w:t>că și in acest caz este necesară acordarea op</w:t>
      </w:r>
      <w:r w:rsidR="005714F9" w:rsidRPr="00834B27">
        <w:rPr>
          <w:rFonts w:ascii="Calibri" w:hAnsi="Calibri" w:cs="Calibri"/>
          <w:lang w:val="ro-RO"/>
        </w:rPr>
        <w:t>ț</w:t>
      </w:r>
      <w:r w:rsidR="00623523" w:rsidRPr="00834B27">
        <w:rPr>
          <w:rFonts w:ascii="Calibri" w:hAnsi="Calibri" w:cs="Calibri"/>
          <w:lang w:val="ro-RO"/>
        </w:rPr>
        <w:t xml:space="preserve">iunii de a calcula venitul net pe baza datelor din contabilitatea </w:t>
      </w:r>
      <w:r w:rsidR="00B94691" w:rsidRPr="00834B27">
        <w:rPr>
          <w:rFonts w:ascii="Calibri" w:hAnsi="Calibri" w:cs="Calibri"/>
          <w:lang w:val="ro-RO"/>
        </w:rPr>
        <w:t>în partidă simplă</w:t>
      </w:r>
      <w:r w:rsidR="005714F9" w:rsidRPr="00834B27">
        <w:rPr>
          <w:rFonts w:ascii="Calibri" w:hAnsi="Calibri" w:cs="Calibri"/>
          <w:lang w:val="ro-RO"/>
        </w:rPr>
        <w:t>, inidiferent de numărul de imobile închiriate.</w:t>
      </w:r>
    </w:p>
    <w:p w14:paraId="760B2D34" w14:textId="4D60A729" w:rsidR="00B43347" w:rsidRPr="00834B27" w:rsidRDefault="000F3303" w:rsidP="00A1202C">
      <w:pPr>
        <w:tabs>
          <w:tab w:val="left" w:pos="720"/>
        </w:tabs>
        <w:spacing w:line="276" w:lineRule="auto"/>
        <w:jc w:val="both"/>
        <w:rPr>
          <w:rFonts w:ascii="Calibri" w:hAnsi="Calibri" w:cs="Calibri"/>
          <w:lang w:val="ro-RO"/>
        </w:rPr>
      </w:pPr>
      <w:r w:rsidRPr="00834B27">
        <w:rPr>
          <w:rFonts w:ascii="Calibri" w:hAnsi="Calibri" w:cs="Calibri"/>
          <w:lang w:val="ro-RO"/>
        </w:rPr>
        <w:t>Consider</w:t>
      </w:r>
      <w:r w:rsidR="00377AB8" w:rsidRPr="00834B27">
        <w:rPr>
          <w:rFonts w:ascii="Calibri" w:hAnsi="Calibri" w:cs="Calibri"/>
          <w:lang w:val="ro-RO"/>
        </w:rPr>
        <w:t>ă</w:t>
      </w:r>
      <w:r w:rsidRPr="00834B27">
        <w:rPr>
          <w:rFonts w:ascii="Calibri" w:hAnsi="Calibri" w:cs="Calibri"/>
          <w:lang w:val="ro-RO"/>
        </w:rPr>
        <w:t xml:space="preserve">m </w:t>
      </w:r>
      <w:r w:rsidR="00377AB8" w:rsidRPr="00834B27">
        <w:rPr>
          <w:rFonts w:ascii="Calibri" w:hAnsi="Calibri" w:cs="Calibri"/>
          <w:lang w:val="ro-RO"/>
        </w:rPr>
        <w:t>însă</w:t>
      </w:r>
      <w:r w:rsidRPr="00834B27">
        <w:rPr>
          <w:rFonts w:ascii="Calibri" w:hAnsi="Calibri" w:cs="Calibri"/>
          <w:lang w:val="ro-RO"/>
        </w:rPr>
        <w:t xml:space="preserve"> complet nejustificat</w:t>
      </w:r>
      <w:r w:rsidR="00377AB8" w:rsidRPr="00834B27">
        <w:rPr>
          <w:rFonts w:ascii="Calibri" w:hAnsi="Calibri" w:cs="Calibri"/>
          <w:lang w:val="ro-RO"/>
        </w:rPr>
        <w:t>ă</w:t>
      </w:r>
      <w:r w:rsidRPr="00834B27">
        <w:rPr>
          <w:rFonts w:ascii="Calibri" w:hAnsi="Calibri" w:cs="Calibri"/>
          <w:lang w:val="ro-RO"/>
        </w:rPr>
        <w:t xml:space="preserve"> </w:t>
      </w:r>
      <w:r w:rsidR="00377AB8" w:rsidRPr="00834B27">
        <w:rPr>
          <w:rFonts w:ascii="Calibri" w:hAnsi="Calibri" w:cs="Calibri"/>
          <w:lang w:val="ro-RO"/>
        </w:rPr>
        <w:t>păstrarea</w:t>
      </w:r>
      <w:r w:rsidR="00767607" w:rsidRPr="00834B27">
        <w:rPr>
          <w:rFonts w:ascii="Calibri" w:hAnsi="Calibri" w:cs="Calibri"/>
          <w:lang w:val="ro-RO"/>
        </w:rPr>
        <w:t xml:space="preserve"> a </w:t>
      </w:r>
      <w:r w:rsidR="00377AB8" w:rsidRPr="00834B27">
        <w:rPr>
          <w:rFonts w:ascii="Calibri" w:hAnsi="Calibri" w:cs="Calibri"/>
          <w:lang w:val="ro-RO"/>
        </w:rPr>
        <w:t>încă</w:t>
      </w:r>
      <w:r w:rsidR="00767607" w:rsidRPr="00834B27">
        <w:rPr>
          <w:rFonts w:ascii="Calibri" w:hAnsi="Calibri" w:cs="Calibri"/>
          <w:lang w:val="ro-RO"/>
        </w:rPr>
        <w:t xml:space="preserve"> </w:t>
      </w:r>
      <w:r w:rsidR="00ED201D" w:rsidRPr="00834B27">
        <w:rPr>
          <w:rFonts w:ascii="Calibri" w:hAnsi="Calibri" w:cs="Calibri"/>
          <w:lang w:val="ro-RO"/>
        </w:rPr>
        <w:t>2</w:t>
      </w:r>
      <w:r w:rsidR="00767607" w:rsidRPr="00834B27">
        <w:rPr>
          <w:rFonts w:ascii="Calibri" w:hAnsi="Calibri" w:cs="Calibri"/>
          <w:lang w:val="ro-RO"/>
        </w:rPr>
        <w:t xml:space="preserve"> moduri </w:t>
      </w:r>
      <w:r w:rsidR="00B61DD6" w:rsidRPr="00834B27">
        <w:rPr>
          <w:rFonts w:ascii="Calibri" w:hAnsi="Calibri" w:cs="Calibri"/>
          <w:lang w:val="ro-RO"/>
        </w:rPr>
        <w:t xml:space="preserve">diferite </w:t>
      </w:r>
      <w:r w:rsidR="00767607" w:rsidRPr="00834B27">
        <w:rPr>
          <w:rFonts w:ascii="Calibri" w:hAnsi="Calibri" w:cs="Calibri"/>
          <w:lang w:val="ro-RO"/>
        </w:rPr>
        <w:t xml:space="preserve">de calcul al venitului impozabil, pentru </w:t>
      </w:r>
      <w:r w:rsidR="00377AB8" w:rsidRPr="00834B27">
        <w:rPr>
          <w:rFonts w:ascii="Calibri" w:hAnsi="Calibri" w:cs="Calibri"/>
          <w:lang w:val="ro-RO"/>
        </w:rPr>
        <w:t>închirierea</w:t>
      </w:r>
      <w:r w:rsidR="00B61DD6" w:rsidRPr="00834B27">
        <w:rPr>
          <w:rFonts w:ascii="Calibri" w:hAnsi="Calibri" w:cs="Calibri"/>
          <w:lang w:val="ro-RO"/>
        </w:rPr>
        <w:t xml:space="preserve"> pe termen scurt</w:t>
      </w:r>
      <w:r w:rsidR="00767607" w:rsidRPr="00834B27">
        <w:rPr>
          <w:rFonts w:ascii="Calibri" w:hAnsi="Calibri" w:cs="Calibri"/>
          <w:lang w:val="ro-RO"/>
        </w:rPr>
        <w:t xml:space="preserve"> de camere </w:t>
      </w:r>
      <w:r w:rsidR="00377AB8" w:rsidRPr="00834B27">
        <w:rPr>
          <w:rFonts w:ascii="Calibri" w:hAnsi="Calibri" w:cs="Calibri"/>
          <w:lang w:val="ro-RO"/>
        </w:rPr>
        <w:t>î</w:t>
      </w:r>
      <w:r w:rsidR="002C63C7" w:rsidRPr="00834B27">
        <w:rPr>
          <w:rFonts w:ascii="Calibri" w:hAnsi="Calibri" w:cs="Calibri"/>
          <w:lang w:val="ro-RO"/>
        </w:rPr>
        <w:t>n</w:t>
      </w:r>
      <w:r w:rsidR="00B61DD6" w:rsidRPr="00834B27">
        <w:rPr>
          <w:rFonts w:ascii="Calibri" w:hAnsi="Calibri" w:cs="Calibri"/>
          <w:lang w:val="ro-RO"/>
        </w:rPr>
        <w:t xml:space="preserve"> </w:t>
      </w:r>
      <w:r w:rsidR="00377AB8" w:rsidRPr="00834B27">
        <w:rPr>
          <w:rFonts w:ascii="Calibri" w:hAnsi="Calibri" w:cs="Calibri"/>
          <w:lang w:val="ro-RO"/>
        </w:rPr>
        <w:t>locuin</w:t>
      </w:r>
      <w:r w:rsidR="00D77C4B" w:rsidRPr="00834B27">
        <w:rPr>
          <w:rFonts w:ascii="Calibri" w:hAnsi="Calibri" w:cs="Calibri"/>
          <w:lang w:val="ro-RO"/>
        </w:rPr>
        <w:t>ț</w:t>
      </w:r>
      <w:r w:rsidR="00377AB8" w:rsidRPr="00834B27">
        <w:rPr>
          <w:rFonts w:ascii="Calibri" w:hAnsi="Calibri" w:cs="Calibri"/>
          <w:lang w:val="ro-RO"/>
        </w:rPr>
        <w:t>e</w:t>
      </w:r>
      <w:r w:rsidR="00B61DD6" w:rsidRPr="00834B27">
        <w:rPr>
          <w:rFonts w:ascii="Calibri" w:hAnsi="Calibri" w:cs="Calibri"/>
          <w:lang w:val="ro-RO"/>
        </w:rPr>
        <w:t xml:space="preserve"> personale sau </w:t>
      </w:r>
      <w:r w:rsidR="00377AB8" w:rsidRPr="00834B27">
        <w:rPr>
          <w:rFonts w:ascii="Calibri" w:hAnsi="Calibri" w:cs="Calibri"/>
          <w:lang w:val="ro-RO"/>
        </w:rPr>
        <w:t>închirierea</w:t>
      </w:r>
      <w:r w:rsidR="00B61DD6" w:rsidRPr="00834B27">
        <w:rPr>
          <w:rFonts w:ascii="Calibri" w:hAnsi="Calibri" w:cs="Calibri"/>
          <w:lang w:val="ro-RO"/>
        </w:rPr>
        <w:t xml:space="preserve"> de camere </w:t>
      </w:r>
      <w:r w:rsidR="00377AB8" w:rsidRPr="00834B27">
        <w:rPr>
          <w:rFonts w:ascii="Calibri" w:hAnsi="Calibri" w:cs="Calibri"/>
          <w:lang w:val="ro-RO"/>
        </w:rPr>
        <w:t>î</w:t>
      </w:r>
      <w:r w:rsidR="00B61DD6" w:rsidRPr="00834B27">
        <w:rPr>
          <w:rFonts w:ascii="Calibri" w:hAnsi="Calibri" w:cs="Calibri"/>
          <w:lang w:val="ro-RO"/>
        </w:rPr>
        <w:t>n scop turistic</w:t>
      </w:r>
      <w:r w:rsidR="005A4A6F" w:rsidRPr="00834B27">
        <w:rPr>
          <w:rFonts w:ascii="Calibri" w:hAnsi="Calibri" w:cs="Calibri"/>
          <w:lang w:val="ro-RO"/>
        </w:rPr>
        <w:t xml:space="preserve"> </w:t>
      </w:r>
      <w:r w:rsidR="00377AB8" w:rsidRPr="00834B27">
        <w:rPr>
          <w:rFonts w:ascii="Calibri" w:hAnsi="Calibri" w:cs="Calibri"/>
          <w:lang w:val="ro-RO"/>
        </w:rPr>
        <w:t>ș</w:t>
      </w:r>
      <w:r w:rsidR="005A4A6F" w:rsidRPr="00834B27">
        <w:rPr>
          <w:rFonts w:ascii="Calibri" w:hAnsi="Calibri" w:cs="Calibri"/>
          <w:lang w:val="ro-RO"/>
        </w:rPr>
        <w:t xml:space="preserve">i propunem ca </w:t>
      </w:r>
      <w:r w:rsidR="00377AB8" w:rsidRPr="00834B27">
        <w:rPr>
          <w:rFonts w:ascii="Calibri" w:hAnsi="Calibri" w:cs="Calibri"/>
          <w:lang w:val="ro-RO"/>
        </w:rPr>
        <w:t>ș</w:t>
      </w:r>
      <w:r w:rsidR="005A4A6F" w:rsidRPr="00834B27">
        <w:rPr>
          <w:rFonts w:ascii="Calibri" w:hAnsi="Calibri" w:cs="Calibri"/>
          <w:lang w:val="ro-RO"/>
        </w:rPr>
        <w:t>i aceste venituri s</w:t>
      </w:r>
      <w:r w:rsidR="00377AB8" w:rsidRPr="00834B27">
        <w:rPr>
          <w:rFonts w:ascii="Calibri" w:hAnsi="Calibri" w:cs="Calibri"/>
          <w:lang w:val="ro-RO"/>
        </w:rPr>
        <w:t>ă</w:t>
      </w:r>
      <w:r w:rsidR="005A4A6F" w:rsidRPr="00834B27">
        <w:rPr>
          <w:rFonts w:ascii="Calibri" w:hAnsi="Calibri" w:cs="Calibri"/>
          <w:lang w:val="ro-RO"/>
        </w:rPr>
        <w:t xml:space="preserve"> fie supuse </w:t>
      </w:r>
      <w:r w:rsidR="00377AB8" w:rsidRPr="00834B27">
        <w:rPr>
          <w:rFonts w:ascii="Calibri" w:hAnsi="Calibri" w:cs="Calibri"/>
          <w:lang w:val="ro-RO"/>
        </w:rPr>
        <w:t>acelorași</w:t>
      </w:r>
      <w:r w:rsidR="005A4A6F" w:rsidRPr="00834B27">
        <w:rPr>
          <w:rFonts w:ascii="Calibri" w:hAnsi="Calibri" w:cs="Calibri"/>
          <w:lang w:val="ro-RO"/>
        </w:rPr>
        <w:t xml:space="preserve"> </w:t>
      </w:r>
      <w:r w:rsidR="00BB185E" w:rsidRPr="00834B27">
        <w:rPr>
          <w:rFonts w:ascii="Calibri" w:hAnsi="Calibri" w:cs="Calibri"/>
          <w:lang w:val="ro-RO"/>
        </w:rPr>
        <w:t xml:space="preserve">reguli ca </w:t>
      </w:r>
      <w:r w:rsidR="00377AB8" w:rsidRPr="00834B27">
        <w:rPr>
          <w:rFonts w:ascii="Calibri" w:hAnsi="Calibri" w:cs="Calibri"/>
          <w:lang w:val="ro-RO"/>
        </w:rPr>
        <w:t>ș</w:t>
      </w:r>
      <w:r w:rsidR="00BB185E" w:rsidRPr="00834B27">
        <w:rPr>
          <w:rFonts w:ascii="Calibri" w:hAnsi="Calibri" w:cs="Calibri"/>
          <w:lang w:val="ro-RO"/>
        </w:rPr>
        <w:t xml:space="preserve">i veniturile din </w:t>
      </w:r>
      <w:r w:rsidR="00377AB8" w:rsidRPr="00834B27">
        <w:rPr>
          <w:rFonts w:ascii="Calibri" w:hAnsi="Calibri" w:cs="Calibri"/>
          <w:lang w:val="ro-RO"/>
        </w:rPr>
        <w:t>închirierea</w:t>
      </w:r>
      <w:r w:rsidR="00BB185E" w:rsidRPr="00834B27">
        <w:rPr>
          <w:rFonts w:ascii="Calibri" w:hAnsi="Calibri" w:cs="Calibri"/>
          <w:lang w:val="ro-RO"/>
        </w:rPr>
        <w:t xml:space="preserve"> pe termen lun</w:t>
      </w:r>
      <w:r w:rsidR="00B470B0" w:rsidRPr="00834B27">
        <w:rPr>
          <w:rFonts w:ascii="Calibri" w:hAnsi="Calibri" w:cs="Calibri"/>
          <w:lang w:val="ro-RO"/>
        </w:rPr>
        <w:t xml:space="preserve">g (deducere </w:t>
      </w:r>
      <w:r w:rsidR="00F51C2B" w:rsidRPr="00834B27">
        <w:rPr>
          <w:rFonts w:ascii="Calibri" w:hAnsi="Calibri" w:cs="Calibri"/>
          <w:lang w:val="ro-RO"/>
        </w:rPr>
        <w:t xml:space="preserve">de </w:t>
      </w:r>
      <w:r w:rsidR="00B470B0" w:rsidRPr="00834B27">
        <w:rPr>
          <w:rFonts w:ascii="Calibri" w:hAnsi="Calibri" w:cs="Calibri"/>
          <w:lang w:val="ro-RO"/>
        </w:rPr>
        <w:t>20% din venitul brut).</w:t>
      </w:r>
    </w:p>
    <w:p w14:paraId="0CA49E0C" w14:textId="313C0163" w:rsidR="00C55DE8" w:rsidRPr="00834B27" w:rsidRDefault="00C55DE8">
      <w:pPr>
        <w:rPr>
          <w:rFonts w:ascii="Calibri" w:hAnsi="Calibri" w:cs="Calibri"/>
          <w:lang w:val="ro-RO"/>
        </w:rPr>
      </w:pPr>
      <w:r w:rsidRPr="00834B27">
        <w:rPr>
          <w:rFonts w:ascii="Calibri" w:hAnsi="Calibri" w:cs="Calibri"/>
          <w:lang w:val="ro-RO"/>
        </w:rPr>
        <w:br w:type="page"/>
      </w:r>
    </w:p>
    <w:p w14:paraId="09E650CB" w14:textId="09668697" w:rsidR="00A03EA5" w:rsidRPr="00834B27" w:rsidRDefault="00A03EA5" w:rsidP="00B43347">
      <w:pPr>
        <w:pStyle w:val="Listparagraf"/>
        <w:keepNext/>
        <w:numPr>
          <w:ilvl w:val="6"/>
          <w:numId w:val="23"/>
        </w:numPr>
        <w:spacing w:line="276" w:lineRule="auto"/>
        <w:ind w:left="1260" w:hanging="540"/>
        <w:jc w:val="both"/>
        <w:rPr>
          <w:rFonts w:ascii="Calibri" w:hAnsi="Calibri" w:cs="Calibri"/>
          <w:b/>
          <w:bCs/>
          <w:lang w:val="ro-RO"/>
        </w:rPr>
      </w:pPr>
      <w:r w:rsidRPr="00834B27">
        <w:rPr>
          <w:rFonts w:ascii="Calibri" w:hAnsi="Calibri" w:cs="Calibri"/>
          <w:b/>
          <w:bCs/>
          <w:lang w:val="ro-RO"/>
        </w:rPr>
        <w:lastRenderedPageBreak/>
        <w:t xml:space="preserve">Venituri din </w:t>
      </w:r>
      <w:r w:rsidR="00377AB8" w:rsidRPr="00834B27">
        <w:rPr>
          <w:rFonts w:ascii="Calibri" w:hAnsi="Calibri" w:cs="Calibri"/>
          <w:b/>
          <w:bCs/>
          <w:lang w:val="ro-RO"/>
        </w:rPr>
        <w:t>investi</w:t>
      </w:r>
      <w:r w:rsidR="00D77C4B" w:rsidRPr="00834B27">
        <w:rPr>
          <w:rFonts w:ascii="Calibri" w:hAnsi="Calibri" w:cs="Calibri"/>
          <w:b/>
          <w:bCs/>
          <w:lang w:val="ro-RO"/>
        </w:rPr>
        <w:t>ț</w:t>
      </w:r>
      <w:r w:rsidR="00377AB8" w:rsidRPr="00834B27">
        <w:rPr>
          <w:rFonts w:ascii="Calibri" w:hAnsi="Calibri" w:cs="Calibri"/>
          <w:b/>
          <w:bCs/>
          <w:lang w:val="ro-RO"/>
        </w:rPr>
        <w:t>ii</w:t>
      </w:r>
    </w:p>
    <w:p w14:paraId="4777A43D" w14:textId="301E72D2" w:rsidR="00BA5957" w:rsidRPr="00834B27" w:rsidRDefault="00785257" w:rsidP="00A1202C">
      <w:pPr>
        <w:pStyle w:val="Listparagraf"/>
        <w:numPr>
          <w:ilvl w:val="1"/>
          <w:numId w:val="49"/>
        </w:numPr>
        <w:tabs>
          <w:tab w:val="left" w:pos="720"/>
        </w:tabs>
        <w:spacing w:line="276" w:lineRule="auto"/>
        <w:ind w:hanging="720"/>
        <w:jc w:val="both"/>
        <w:rPr>
          <w:rFonts w:ascii="Calibri" w:hAnsi="Calibri" w:cs="Calibri"/>
          <w:b/>
          <w:bCs/>
          <w:lang w:val="ro-RO"/>
        </w:rPr>
      </w:pPr>
      <w:r w:rsidRPr="00834B27">
        <w:rPr>
          <w:rFonts w:ascii="Calibri" w:hAnsi="Calibri" w:cs="Calibri"/>
          <w:b/>
          <w:bCs/>
          <w:lang w:val="ro-RO"/>
        </w:rPr>
        <w:t>Venituri din dividende</w:t>
      </w:r>
    </w:p>
    <w:p w14:paraId="2C680E6A" w14:textId="43C9FDD9" w:rsidR="00B470B0" w:rsidRPr="00834B27" w:rsidRDefault="00785257" w:rsidP="00785257">
      <w:pPr>
        <w:tabs>
          <w:tab w:val="left" w:pos="720"/>
        </w:tabs>
        <w:spacing w:line="276" w:lineRule="auto"/>
        <w:jc w:val="both"/>
        <w:rPr>
          <w:rFonts w:ascii="Calibri" w:hAnsi="Calibri" w:cs="Calibri"/>
          <w:lang w:val="ro-RO"/>
        </w:rPr>
      </w:pPr>
      <w:r w:rsidRPr="00834B27">
        <w:rPr>
          <w:rFonts w:ascii="Calibri" w:hAnsi="Calibri" w:cs="Calibri"/>
          <w:lang w:val="ro-RO"/>
        </w:rPr>
        <w:t>Consider</w:t>
      </w:r>
      <w:r w:rsidR="00377AB8" w:rsidRPr="00834B27">
        <w:rPr>
          <w:rFonts w:ascii="Calibri" w:hAnsi="Calibri" w:cs="Calibri"/>
          <w:lang w:val="ro-RO"/>
        </w:rPr>
        <w:t>ă</w:t>
      </w:r>
      <w:r w:rsidRPr="00834B27">
        <w:rPr>
          <w:rFonts w:ascii="Calibri" w:hAnsi="Calibri" w:cs="Calibri"/>
          <w:lang w:val="ro-RO"/>
        </w:rPr>
        <w:t>m c</w:t>
      </w:r>
      <w:r w:rsidR="00377AB8" w:rsidRPr="00834B27">
        <w:rPr>
          <w:rFonts w:ascii="Calibri" w:hAnsi="Calibri" w:cs="Calibri"/>
          <w:lang w:val="ro-RO"/>
        </w:rPr>
        <w:t>ă</w:t>
      </w:r>
      <w:r w:rsidRPr="00834B27">
        <w:rPr>
          <w:rFonts w:ascii="Calibri" w:hAnsi="Calibri" w:cs="Calibri"/>
          <w:lang w:val="ro-RO"/>
        </w:rPr>
        <w:t xml:space="preserve"> trebuie </w:t>
      </w:r>
      <w:r w:rsidR="00D77C4B" w:rsidRPr="00834B27">
        <w:rPr>
          <w:rFonts w:ascii="Calibri" w:hAnsi="Calibri" w:cs="Calibri"/>
          <w:lang w:val="ro-RO"/>
        </w:rPr>
        <w:t>ț</w:t>
      </w:r>
      <w:r w:rsidR="00377AB8" w:rsidRPr="00834B27">
        <w:rPr>
          <w:rFonts w:ascii="Calibri" w:hAnsi="Calibri" w:cs="Calibri"/>
          <w:lang w:val="ro-RO"/>
        </w:rPr>
        <w:t>inut</w:t>
      </w:r>
      <w:r w:rsidRPr="00834B27">
        <w:rPr>
          <w:rFonts w:ascii="Calibri" w:hAnsi="Calibri" w:cs="Calibri"/>
          <w:lang w:val="ro-RO"/>
        </w:rPr>
        <w:t xml:space="preserve"> cont </w:t>
      </w:r>
      <w:r w:rsidR="003603E7" w:rsidRPr="00834B27">
        <w:rPr>
          <w:rFonts w:ascii="Calibri" w:hAnsi="Calibri" w:cs="Calibri"/>
          <w:lang w:val="ro-RO"/>
        </w:rPr>
        <w:t xml:space="preserve">de faptul </w:t>
      </w:r>
      <w:r w:rsidRPr="00834B27">
        <w:rPr>
          <w:rFonts w:ascii="Calibri" w:hAnsi="Calibri" w:cs="Calibri"/>
          <w:lang w:val="ro-RO"/>
        </w:rPr>
        <w:t>c</w:t>
      </w:r>
      <w:r w:rsidR="00377AB8" w:rsidRPr="00834B27">
        <w:rPr>
          <w:rFonts w:ascii="Calibri" w:hAnsi="Calibri" w:cs="Calibri"/>
          <w:lang w:val="ro-RO"/>
        </w:rPr>
        <w:t>ă</w:t>
      </w:r>
      <w:r w:rsidRPr="00834B27">
        <w:rPr>
          <w:rFonts w:ascii="Calibri" w:hAnsi="Calibri" w:cs="Calibri"/>
          <w:lang w:val="ro-RO"/>
        </w:rPr>
        <w:t xml:space="preserve"> veniturile din dividende </w:t>
      </w:r>
      <w:r w:rsidR="00770A5E" w:rsidRPr="00834B27">
        <w:rPr>
          <w:rFonts w:ascii="Calibri" w:hAnsi="Calibri" w:cs="Calibri"/>
          <w:lang w:val="ro-RO"/>
        </w:rPr>
        <w:t>provin din profituri nete ce sunt deja impozitate</w:t>
      </w:r>
      <w:r w:rsidR="00377AB8" w:rsidRPr="00834B27">
        <w:rPr>
          <w:rFonts w:ascii="Calibri" w:hAnsi="Calibri" w:cs="Calibri"/>
          <w:lang w:val="ro-RO"/>
        </w:rPr>
        <w:t>,</w:t>
      </w:r>
      <w:r w:rsidR="00770A5E" w:rsidRPr="00834B27">
        <w:rPr>
          <w:rFonts w:ascii="Calibri" w:hAnsi="Calibri" w:cs="Calibri"/>
          <w:lang w:val="ro-RO"/>
        </w:rPr>
        <w:t xml:space="preserve"> iar </w:t>
      </w:r>
      <w:r w:rsidR="00377AB8" w:rsidRPr="00834B27">
        <w:rPr>
          <w:rFonts w:ascii="Calibri" w:hAnsi="Calibri" w:cs="Calibri"/>
          <w:lang w:val="ro-RO"/>
        </w:rPr>
        <w:t>păstrarea</w:t>
      </w:r>
      <w:r w:rsidR="00770A5E" w:rsidRPr="00834B27">
        <w:rPr>
          <w:rFonts w:ascii="Calibri" w:hAnsi="Calibri" w:cs="Calibri"/>
          <w:lang w:val="ro-RO"/>
        </w:rPr>
        <w:t xml:space="preserve"> unui impozit pe dividende de 16% </w:t>
      </w:r>
      <w:r w:rsidR="00377AB8" w:rsidRPr="00834B27">
        <w:rPr>
          <w:rFonts w:ascii="Calibri" w:hAnsi="Calibri" w:cs="Calibri"/>
          <w:lang w:val="ro-RO"/>
        </w:rPr>
        <w:t>î</w:t>
      </w:r>
      <w:r w:rsidR="00770A5E" w:rsidRPr="00834B27">
        <w:rPr>
          <w:rFonts w:ascii="Calibri" w:hAnsi="Calibri" w:cs="Calibri"/>
          <w:lang w:val="ro-RO"/>
        </w:rPr>
        <w:t>n acest context</w:t>
      </w:r>
      <w:r w:rsidR="006F168D" w:rsidRPr="00834B27">
        <w:rPr>
          <w:rFonts w:ascii="Calibri" w:hAnsi="Calibri" w:cs="Calibri"/>
          <w:lang w:val="ro-RO"/>
        </w:rPr>
        <w:t xml:space="preserve"> este o dubl</w:t>
      </w:r>
      <w:r w:rsidR="00377AB8" w:rsidRPr="00834B27">
        <w:rPr>
          <w:rFonts w:ascii="Calibri" w:hAnsi="Calibri" w:cs="Calibri"/>
          <w:lang w:val="ro-RO"/>
        </w:rPr>
        <w:t>ă</w:t>
      </w:r>
      <w:r w:rsidR="006F168D" w:rsidRPr="00834B27">
        <w:rPr>
          <w:rFonts w:ascii="Calibri" w:hAnsi="Calibri" w:cs="Calibri"/>
          <w:lang w:val="ro-RO"/>
        </w:rPr>
        <w:t xml:space="preserve"> impunere a </w:t>
      </w:r>
      <w:r w:rsidR="00377AB8" w:rsidRPr="00834B27">
        <w:rPr>
          <w:rFonts w:ascii="Calibri" w:hAnsi="Calibri" w:cs="Calibri"/>
          <w:lang w:val="ro-RO"/>
        </w:rPr>
        <w:t>aceluiași</w:t>
      </w:r>
      <w:r w:rsidR="00185088" w:rsidRPr="00834B27">
        <w:rPr>
          <w:rFonts w:ascii="Calibri" w:hAnsi="Calibri" w:cs="Calibri"/>
          <w:lang w:val="ro-RO"/>
        </w:rPr>
        <w:t xml:space="preserve"> </w:t>
      </w:r>
      <w:r w:rsidR="00377AB8" w:rsidRPr="00834B27">
        <w:rPr>
          <w:rFonts w:ascii="Calibri" w:hAnsi="Calibri" w:cs="Calibri"/>
          <w:lang w:val="ro-RO"/>
        </w:rPr>
        <w:t>câștig</w:t>
      </w:r>
      <w:r w:rsidR="00185088" w:rsidRPr="00834B27">
        <w:rPr>
          <w:rFonts w:ascii="Calibri" w:hAnsi="Calibri" w:cs="Calibri"/>
          <w:lang w:val="ro-RO"/>
        </w:rPr>
        <w:t xml:space="preserve">. </w:t>
      </w:r>
      <w:r w:rsidR="003603E7" w:rsidRPr="00834B27">
        <w:rPr>
          <w:rStyle w:val="Referinnotdesubsol"/>
          <w:rFonts w:ascii="Calibri" w:hAnsi="Calibri" w:cs="Calibri"/>
          <w:lang w:val="ro-RO"/>
        </w:rPr>
        <w:footnoteReference w:id="28"/>
      </w:r>
    </w:p>
    <w:p w14:paraId="26E90FC3" w14:textId="22E1AE82" w:rsidR="006D5AD8" w:rsidRPr="00834B27" w:rsidRDefault="00377AB8" w:rsidP="00785257">
      <w:pPr>
        <w:tabs>
          <w:tab w:val="left" w:pos="720"/>
        </w:tabs>
        <w:spacing w:line="276" w:lineRule="auto"/>
        <w:jc w:val="both"/>
        <w:rPr>
          <w:rFonts w:ascii="Calibri" w:hAnsi="Calibri" w:cs="Calibri"/>
          <w:lang w:val="ro-RO"/>
        </w:rPr>
      </w:pPr>
      <w:r w:rsidRPr="00834B27">
        <w:rPr>
          <w:rFonts w:ascii="Calibri" w:hAnsi="Calibri" w:cs="Calibri"/>
          <w:lang w:val="ro-RO"/>
        </w:rPr>
        <w:t>Î</w:t>
      </w:r>
      <w:r w:rsidR="00185088" w:rsidRPr="00834B27">
        <w:rPr>
          <w:rFonts w:ascii="Calibri" w:hAnsi="Calibri" w:cs="Calibri"/>
          <w:lang w:val="ro-RO"/>
        </w:rPr>
        <w:t xml:space="preserve">n </w:t>
      </w:r>
      <w:r w:rsidRPr="00834B27">
        <w:rPr>
          <w:rFonts w:ascii="Calibri" w:hAnsi="Calibri" w:cs="Calibri"/>
          <w:lang w:val="ro-RO"/>
        </w:rPr>
        <w:t>consecin</w:t>
      </w:r>
      <w:r w:rsidR="00D77C4B" w:rsidRPr="00834B27">
        <w:rPr>
          <w:rFonts w:ascii="Calibri" w:hAnsi="Calibri" w:cs="Calibri"/>
          <w:lang w:val="ro-RO"/>
        </w:rPr>
        <w:t>ț</w:t>
      </w:r>
      <w:r w:rsidRPr="00834B27">
        <w:rPr>
          <w:rFonts w:ascii="Calibri" w:hAnsi="Calibri" w:cs="Calibri"/>
          <w:lang w:val="ro-RO"/>
        </w:rPr>
        <w:t>ă</w:t>
      </w:r>
      <w:r w:rsidR="00EF34DB" w:rsidRPr="00834B27">
        <w:rPr>
          <w:rFonts w:ascii="Calibri" w:hAnsi="Calibri" w:cs="Calibri"/>
          <w:lang w:val="ro-RO"/>
        </w:rPr>
        <w:t>, propunem</w:t>
      </w:r>
      <w:r w:rsidR="001D342D" w:rsidRPr="00834B27">
        <w:rPr>
          <w:rFonts w:ascii="Calibri" w:hAnsi="Calibri" w:cs="Calibri"/>
          <w:lang w:val="ro-RO"/>
        </w:rPr>
        <w:t>:</w:t>
      </w:r>
    </w:p>
    <w:p w14:paraId="634E0443" w14:textId="70574A22" w:rsidR="00B825D3" w:rsidRPr="00834B27" w:rsidRDefault="00185088" w:rsidP="00377AB8">
      <w:pPr>
        <w:pStyle w:val="Listparagraf"/>
        <w:numPr>
          <w:ilvl w:val="0"/>
          <w:numId w:val="34"/>
        </w:numPr>
        <w:tabs>
          <w:tab w:val="left" w:pos="720"/>
        </w:tabs>
        <w:spacing w:line="276" w:lineRule="auto"/>
        <w:ind w:left="720" w:hanging="360"/>
        <w:contextualSpacing w:val="0"/>
        <w:jc w:val="both"/>
        <w:rPr>
          <w:rFonts w:ascii="Calibri" w:hAnsi="Calibri" w:cs="Calibri"/>
          <w:lang w:val="ro-RO"/>
        </w:rPr>
      </w:pPr>
      <w:r w:rsidRPr="00834B27">
        <w:rPr>
          <w:rFonts w:ascii="Calibri" w:hAnsi="Calibri" w:cs="Calibri"/>
          <w:lang w:val="ro-RO"/>
        </w:rPr>
        <w:t xml:space="preserve">un </w:t>
      </w:r>
      <w:r w:rsidR="00B2050E" w:rsidRPr="00834B27">
        <w:rPr>
          <w:rFonts w:ascii="Calibri" w:hAnsi="Calibri" w:cs="Calibri"/>
          <w:lang w:val="ro-RO"/>
        </w:rPr>
        <w:t>sistem de impunere a dividendelor care s</w:t>
      </w:r>
      <w:r w:rsidR="006D2171" w:rsidRPr="00834B27">
        <w:rPr>
          <w:rFonts w:ascii="Calibri" w:hAnsi="Calibri" w:cs="Calibri"/>
          <w:lang w:val="ro-RO"/>
        </w:rPr>
        <w:t>ă</w:t>
      </w:r>
      <w:r w:rsidR="00B2050E" w:rsidRPr="00834B27">
        <w:rPr>
          <w:rFonts w:ascii="Calibri" w:hAnsi="Calibri" w:cs="Calibri"/>
          <w:lang w:val="ro-RO"/>
        </w:rPr>
        <w:t xml:space="preserve"> </w:t>
      </w:r>
      <w:r w:rsidR="00D77C4B" w:rsidRPr="00834B27">
        <w:rPr>
          <w:rFonts w:ascii="Calibri" w:hAnsi="Calibri" w:cs="Calibri"/>
          <w:lang w:val="ro-RO"/>
        </w:rPr>
        <w:t>ț</w:t>
      </w:r>
      <w:r w:rsidR="00B2050E" w:rsidRPr="00834B27">
        <w:rPr>
          <w:rFonts w:ascii="Calibri" w:hAnsi="Calibri" w:cs="Calibri"/>
          <w:lang w:val="ro-RO"/>
        </w:rPr>
        <w:t>in</w:t>
      </w:r>
      <w:r w:rsidR="006D2171" w:rsidRPr="00834B27">
        <w:rPr>
          <w:rFonts w:ascii="Calibri" w:hAnsi="Calibri" w:cs="Calibri"/>
          <w:lang w:val="ro-RO"/>
        </w:rPr>
        <w:t>ă</w:t>
      </w:r>
      <w:r w:rsidR="00B2050E" w:rsidRPr="00834B27">
        <w:rPr>
          <w:rFonts w:ascii="Calibri" w:hAnsi="Calibri" w:cs="Calibri"/>
          <w:lang w:val="ro-RO"/>
        </w:rPr>
        <w:t xml:space="preserve"> cont de impozitul pe profit </w:t>
      </w:r>
      <w:r w:rsidR="006D2171" w:rsidRPr="00834B27">
        <w:rPr>
          <w:rFonts w:ascii="Calibri" w:hAnsi="Calibri" w:cs="Calibri"/>
          <w:lang w:val="ro-RO"/>
        </w:rPr>
        <w:t>plătit</w:t>
      </w:r>
      <w:r w:rsidR="00B2050E" w:rsidRPr="00834B27">
        <w:rPr>
          <w:rFonts w:ascii="Calibri" w:hAnsi="Calibri" w:cs="Calibri"/>
          <w:lang w:val="ro-RO"/>
        </w:rPr>
        <w:t xml:space="preserve"> de compania care distri</w:t>
      </w:r>
      <w:r w:rsidR="006D5AD8" w:rsidRPr="00834B27">
        <w:rPr>
          <w:rFonts w:ascii="Calibri" w:hAnsi="Calibri" w:cs="Calibri"/>
          <w:lang w:val="ro-RO"/>
        </w:rPr>
        <w:t xml:space="preserve">buie dividendul, prin </w:t>
      </w:r>
      <w:r w:rsidR="006D2171" w:rsidRPr="00834B27">
        <w:rPr>
          <w:rFonts w:ascii="Calibri" w:hAnsi="Calibri" w:cs="Calibri"/>
          <w:lang w:val="ro-RO"/>
        </w:rPr>
        <w:t>scăderea</w:t>
      </w:r>
      <w:r w:rsidR="006D5AD8" w:rsidRPr="00834B27">
        <w:rPr>
          <w:rFonts w:ascii="Calibri" w:hAnsi="Calibri" w:cs="Calibri"/>
          <w:lang w:val="ro-RO"/>
        </w:rPr>
        <w:t xml:space="preserve"> impozitului pe profit</w:t>
      </w:r>
      <w:r w:rsidR="00F37ABF" w:rsidRPr="00834B27">
        <w:rPr>
          <w:rFonts w:ascii="Calibri" w:hAnsi="Calibri" w:cs="Calibri"/>
          <w:lang w:val="ro-RO"/>
        </w:rPr>
        <w:t xml:space="preserve"> din impozitul pe dividende</w:t>
      </w:r>
      <w:r w:rsidR="00111909" w:rsidRPr="00834B27">
        <w:rPr>
          <w:rFonts w:ascii="Calibri" w:hAnsi="Calibri" w:cs="Calibri"/>
          <w:lang w:val="ro-RO"/>
        </w:rPr>
        <w:t>;</w:t>
      </w:r>
    </w:p>
    <w:p w14:paraId="67FE1266" w14:textId="30190ABB" w:rsidR="00111909" w:rsidRPr="00834B27" w:rsidRDefault="00111909" w:rsidP="00377AB8">
      <w:pPr>
        <w:pStyle w:val="Listparagraf"/>
        <w:numPr>
          <w:ilvl w:val="0"/>
          <w:numId w:val="34"/>
        </w:numPr>
        <w:tabs>
          <w:tab w:val="left" w:pos="720"/>
        </w:tabs>
        <w:spacing w:line="276" w:lineRule="auto"/>
        <w:ind w:left="720" w:hanging="360"/>
        <w:contextualSpacing w:val="0"/>
        <w:jc w:val="both"/>
        <w:rPr>
          <w:rFonts w:ascii="Calibri" w:hAnsi="Calibri" w:cs="Calibri"/>
          <w:lang w:val="ro-RO"/>
        </w:rPr>
      </w:pPr>
      <w:r w:rsidRPr="00834B27">
        <w:rPr>
          <w:rFonts w:ascii="Calibri" w:hAnsi="Calibri" w:cs="Calibri"/>
          <w:lang w:val="ro-RO"/>
        </w:rPr>
        <w:t xml:space="preserve">introducerea </w:t>
      </w:r>
      <w:r w:rsidR="00D150E5" w:rsidRPr="00834B27">
        <w:rPr>
          <w:rFonts w:ascii="Calibri" w:hAnsi="Calibri" w:cs="Calibri"/>
          <w:lang w:val="ro-RO"/>
        </w:rPr>
        <w:t xml:space="preserve">prevederilor de tip </w:t>
      </w:r>
      <w:r w:rsidR="00D150E5" w:rsidRPr="00834B27">
        <w:rPr>
          <w:rFonts w:ascii="Calibri" w:hAnsi="Calibri" w:cs="Calibri"/>
          <w:i/>
          <w:iCs/>
          <w:lang w:val="ro-RO"/>
        </w:rPr>
        <w:t>CFC Rules focused on the UBO</w:t>
      </w:r>
      <w:r w:rsidR="00D150E5" w:rsidRPr="00834B27">
        <w:rPr>
          <w:rFonts w:ascii="Calibri" w:hAnsi="Calibri" w:cs="Calibri"/>
          <w:lang w:val="ro-RO"/>
        </w:rPr>
        <w:t xml:space="preserve"> (O</w:t>
      </w:r>
      <w:r w:rsidR="004244A3" w:rsidRPr="00834B27">
        <w:rPr>
          <w:rFonts w:ascii="Calibri" w:hAnsi="Calibri" w:cs="Calibri"/>
          <w:lang w:val="ro-RO"/>
        </w:rPr>
        <w:t>C</w:t>
      </w:r>
      <w:r w:rsidR="00D150E5" w:rsidRPr="00834B27">
        <w:rPr>
          <w:rFonts w:ascii="Calibri" w:hAnsi="Calibri" w:cs="Calibri"/>
          <w:lang w:val="ro-RO"/>
        </w:rPr>
        <w:t>D</w:t>
      </w:r>
      <w:r w:rsidR="004244A3" w:rsidRPr="00834B27">
        <w:rPr>
          <w:rFonts w:ascii="Calibri" w:hAnsi="Calibri" w:cs="Calibri"/>
          <w:lang w:val="ro-RO"/>
        </w:rPr>
        <w:t>E</w:t>
      </w:r>
      <w:r w:rsidR="00D150E5" w:rsidRPr="00834B27">
        <w:rPr>
          <w:rFonts w:ascii="Calibri" w:hAnsi="Calibri" w:cs="Calibri"/>
          <w:lang w:val="ro-RO"/>
        </w:rPr>
        <w:t>)</w:t>
      </w:r>
      <w:r w:rsidR="00BE36D6" w:rsidRPr="00834B27">
        <w:rPr>
          <w:rFonts w:ascii="Calibri" w:hAnsi="Calibri" w:cs="Calibri"/>
          <w:lang w:val="ro-RO"/>
        </w:rPr>
        <w:t xml:space="preserve">, prin asimilarea </w:t>
      </w:r>
      <w:r w:rsidR="00B30D9B" w:rsidRPr="00834B27">
        <w:rPr>
          <w:rFonts w:ascii="Calibri" w:hAnsi="Calibri" w:cs="Calibri"/>
          <w:lang w:val="ro-RO"/>
        </w:rPr>
        <w:t xml:space="preserve">profiturilor nedistribuite din companii aflate </w:t>
      </w:r>
      <w:r w:rsidR="006D2171" w:rsidRPr="00834B27">
        <w:rPr>
          <w:rFonts w:ascii="Calibri" w:hAnsi="Calibri" w:cs="Calibri"/>
          <w:lang w:val="ro-RO"/>
        </w:rPr>
        <w:t>î</w:t>
      </w:r>
      <w:r w:rsidR="00B30D9B" w:rsidRPr="00834B27">
        <w:rPr>
          <w:rFonts w:ascii="Calibri" w:hAnsi="Calibri" w:cs="Calibri"/>
          <w:lang w:val="ro-RO"/>
        </w:rPr>
        <w:t xml:space="preserve">n </w:t>
      </w:r>
      <w:r w:rsidR="006D2171" w:rsidRPr="00834B27">
        <w:rPr>
          <w:rFonts w:ascii="Calibri" w:hAnsi="Calibri" w:cs="Calibri"/>
          <w:lang w:val="ro-RO"/>
        </w:rPr>
        <w:t>jurisdic</w:t>
      </w:r>
      <w:r w:rsidR="00D77C4B" w:rsidRPr="00834B27">
        <w:rPr>
          <w:rFonts w:ascii="Calibri" w:hAnsi="Calibri" w:cs="Calibri"/>
          <w:lang w:val="ro-RO"/>
        </w:rPr>
        <w:t>ț</w:t>
      </w:r>
      <w:r w:rsidR="006D2171" w:rsidRPr="00834B27">
        <w:rPr>
          <w:rFonts w:ascii="Calibri" w:hAnsi="Calibri" w:cs="Calibri"/>
          <w:lang w:val="ro-RO"/>
        </w:rPr>
        <w:t>ii</w:t>
      </w:r>
      <w:r w:rsidR="00B30D9B" w:rsidRPr="00834B27">
        <w:rPr>
          <w:rFonts w:ascii="Calibri" w:hAnsi="Calibri" w:cs="Calibri"/>
          <w:lang w:val="ro-RO"/>
        </w:rPr>
        <w:t xml:space="preserve"> slab fiscalizate (paradisuri </w:t>
      </w:r>
      <w:r w:rsidR="007C74D8" w:rsidRPr="00834B27">
        <w:rPr>
          <w:rFonts w:ascii="Calibri" w:hAnsi="Calibri" w:cs="Calibri"/>
          <w:lang w:val="ro-RO"/>
        </w:rPr>
        <w:t xml:space="preserve">fiscale), astfel </w:t>
      </w:r>
      <w:r w:rsidR="006D2171" w:rsidRPr="00834B27">
        <w:rPr>
          <w:rFonts w:ascii="Calibri" w:hAnsi="Calibri" w:cs="Calibri"/>
          <w:lang w:val="ro-RO"/>
        </w:rPr>
        <w:t>încât</w:t>
      </w:r>
      <w:r w:rsidR="007C74D8" w:rsidRPr="00834B27">
        <w:rPr>
          <w:rFonts w:ascii="Calibri" w:hAnsi="Calibri" w:cs="Calibri"/>
          <w:lang w:val="ro-RO"/>
        </w:rPr>
        <w:t xml:space="preserve"> s</w:t>
      </w:r>
      <w:r w:rsidR="006D2171" w:rsidRPr="00834B27">
        <w:rPr>
          <w:rFonts w:ascii="Calibri" w:hAnsi="Calibri" w:cs="Calibri"/>
          <w:lang w:val="ro-RO"/>
        </w:rPr>
        <w:t>ă</w:t>
      </w:r>
      <w:r w:rsidR="007C74D8" w:rsidRPr="00834B27">
        <w:rPr>
          <w:rFonts w:ascii="Calibri" w:hAnsi="Calibri" w:cs="Calibri"/>
          <w:lang w:val="ro-RO"/>
        </w:rPr>
        <w:t xml:space="preserve"> se descurajeze acumularea de sume </w:t>
      </w:r>
      <w:r w:rsidR="00A5582C" w:rsidRPr="00834B27">
        <w:rPr>
          <w:rFonts w:ascii="Calibri" w:hAnsi="Calibri" w:cs="Calibri"/>
          <w:lang w:val="ro-RO"/>
        </w:rPr>
        <w:t xml:space="preserve">neimpozitate </w:t>
      </w:r>
      <w:r w:rsidR="006D2171" w:rsidRPr="00834B27">
        <w:rPr>
          <w:rFonts w:ascii="Calibri" w:hAnsi="Calibri" w:cs="Calibri"/>
          <w:lang w:val="ro-RO"/>
        </w:rPr>
        <w:t>î</w:t>
      </w:r>
      <w:r w:rsidR="00A5582C" w:rsidRPr="00834B27">
        <w:rPr>
          <w:rFonts w:ascii="Calibri" w:hAnsi="Calibri" w:cs="Calibri"/>
          <w:lang w:val="ro-RO"/>
        </w:rPr>
        <w:t xml:space="preserve">n astfel de companii, sume ce foarte rar sunt distribuite ca dividend </w:t>
      </w:r>
      <w:r w:rsidR="006D2171" w:rsidRPr="00834B27">
        <w:rPr>
          <w:rFonts w:ascii="Calibri" w:hAnsi="Calibri" w:cs="Calibri"/>
          <w:lang w:val="ro-RO"/>
        </w:rPr>
        <w:t>către</w:t>
      </w:r>
      <w:r w:rsidR="00A5582C" w:rsidRPr="00834B27">
        <w:rPr>
          <w:rFonts w:ascii="Calibri" w:hAnsi="Calibri" w:cs="Calibri"/>
          <w:lang w:val="ro-RO"/>
        </w:rPr>
        <w:t xml:space="preserve"> UBO </w:t>
      </w:r>
      <w:r w:rsidR="006D2171" w:rsidRPr="00834B27">
        <w:rPr>
          <w:rFonts w:ascii="Calibri" w:hAnsi="Calibri" w:cs="Calibri"/>
          <w:lang w:val="ro-RO"/>
        </w:rPr>
        <w:t>reziden</w:t>
      </w:r>
      <w:r w:rsidR="00D77C4B" w:rsidRPr="00834B27">
        <w:rPr>
          <w:rFonts w:ascii="Calibri" w:hAnsi="Calibri" w:cs="Calibri"/>
          <w:lang w:val="ro-RO"/>
        </w:rPr>
        <w:t>ț</w:t>
      </w:r>
      <w:r w:rsidR="006D2171" w:rsidRPr="00834B27">
        <w:rPr>
          <w:rFonts w:ascii="Calibri" w:hAnsi="Calibri" w:cs="Calibri"/>
          <w:lang w:val="ro-RO"/>
        </w:rPr>
        <w:t>i</w:t>
      </w:r>
      <w:r w:rsidR="00644FBE" w:rsidRPr="00834B27">
        <w:rPr>
          <w:rFonts w:ascii="Calibri" w:hAnsi="Calibri" w:cs="Calibri"/>
          <w:lang w:val="ro-RO"/>
        </w:rPr>
        <w:t xml:space="preserve"> </w:t>
      </w:r>
      <w:r w:rsidR="006D2171" w:rsidRPr="00834B27">
        <w:rPr>
          <w:rFonts w:ascii="Calibri" w:hAnsi="Calibri" w:cs="Calibri"/>
          <w:lang w:val="ro-RO"/>
        </w:rPr>
        <w:t>î</w:t>
      </w:r>
      <w:r w:rsidR="00644FBE" w:rsidRPr="00834B27">
        <w:rPr>
          <w:rFonts w:ascii="Calibri" w:hAnsi="Calibri" w:cs="Calibri"/>
          <w:lang w:val="ro-RO"/>
        </w:rPr>
        <w:t>n Rom</w:t>
      </w:r>
      <w:r w:rsidR="006D2171" w:rsidRPr="00834B27">
        <w:rPr>
          <w:rFonts w:ascii="Calibri" w:hAnsi="Calibri" w:cs="Calibri"/>
          <w:lang w:val="ro-RO"/>
        </w:rPr>
        <w:t>â</w:t>
      </w:r>
      <w:r w:rsidR="00644FBE" w:rsidRPr="00834B27">
        <w:rPr>
          <w:rFonts w:ascii="Calibri" w:hAnsi="Calibri" w:cs="Calibri"/>
          <w:lang w:val="ro-RO"/>
        </w:rPr>
        <w:t xml:space="preserve">nia, fiind mai </w:t>
      </w:r>
      <w:r w:rsidR="006D2171" w:rsidRPr="00834B27">
        <w:rPr>
          <w:rFonts w:ascii="Calibri" w:hAnsi="Calibri" w:cs="Calibri"/>
          <w:lang w:val="ro-RO"/>
        </w:rPr>
        <w:t>degrabă</w:t>
      </w:r>
      <w:r w:rsidR="00644FBE" w:rsidRPr="00834B27">
        <w:rPr>
          <w:rFonts w:ascii="Calibri" w:hAnsi="Calibri" w:cs="Calibri"/>
          <w:lang w:val="ro-RO"/>
        </w:rPr>
        <w:t xml:space="preserve"> folosite pentru </w:t>
      </w:r>
      <w:r w:rsidR="006D2171" w:rsidRPr="00834B27">
        <w:rPr>
          <w:rFonts w:ascii="Calibri" w:hAnsi="Calibri" w:cs="Calibri"/>
          <w:lang w:val="ro-RO"/>
        </w:rPr>
        <w:t>achizi</w:t>
      </w:r>
      <w:r w:rsidR="00D77C4B" w:rsidRPr="00834B27">
        <w:rPr>
          <w:rFonts w:ascii="Calibri" w:hAnsi="Calibri" w:cs="Calibri"/>
          <w:lang w:val="ro-RO"/>
        </w:rPr>
        <w:t>ț</w:t>
      </w:r>
      <w:r w:rsidR="006D2171" w:rsidRPr="00834B27">
        <w:rPr>
          <w:rFonts w:ascii="Calibri" w:hAnsi="Calibri" w:cs="Calibri"/>
          <w:lang w:val="ro-RO"/>
        </w:rPr>
        <w:t>ii</w:t>
      </w:r>
      <w:r w:rsidR="00644FBE" w:rsidRPr="00834B27">
        <w:rPr>
          <w:rFonts w:ascii="Calibri" w:hAnsi="Calibri" w:cs="Calibri"/>
          <w:lang w:val="ro-RO"/>
        </w:rPr>
        <w:t xml:space="preserve"> de imobile </w:t>
      </w:r>
      <w:r w:rsidR="006D2171" w:rsidRPr="00834B27">
        <w:rPr>
          <w:rFonts w:ascii="Calibri" w:hAnsi="Calibri" w:cs="Calibri"/>
          <w:lang w:val="ro-RO"/>
        </w:rPr>
        <w:t>î</w:t>
      </w:r>
      <w:r w:rsidR="00644FBE" w:rsidRPr="00834B27">
        <w:rPr>
          <w:rFonts w:ascii="Calibri" w:hAnsi="Calibri" w:cs="Calibri"/>
          <w:lang w:val="ro-RO"/>
        </w:rPr>
        <w:t xml:space="preserve">n </w:t>
      </w:r>
      <w:r w:rsidR="006D2171" w:rsidRPr="00834B27">
        <w:rPr>
          <w:rFonts w:ascii="Calibri" w:hAnsi="Calibri" w:cs="Calibri"/>
          <w:lang w:val="ro-RO"/>
        </w:rPr>
        <w:t>străinătate</w:t>
      </w:r>
      <w:r w:rsidR="00644FBE" w:rsidRPr="00834B27">
        <w:rPr>
          <w:rFonts w:ascii="Calibri" w:hAnsi="Calibri" w:cs="Calibri"/>
          <w:lang w:val="ro-RO"/>
        </w:rPr>
        <w:t xml:space="preserve"> sau pentru </w:t>
      </w:r>
      <w:r w:rsidR="006D2171" w:rsidRPr="00834B27">
        <w:rPr>
          <w:rFonts w:ascii="Calibri" w:hAnsi="Calibri" w:cs="Calibri"/>
          <w:lang w:val="ro-RO"/>
        </w:rPr>
        <w:t>plă</w:t>
      </w:r>
      <w:r w:rsidR="00D77C4B" w:rsidRPr="00834B27">
        <w:rPr>
          <w:rFonts w:ascii="Calibri" w:hAnsi="Calibri" w:cs="Calibri"/>
          <w:lang w:val="ro-RO"/>
        </w:rPr>
        <w:t>ț</w:t>
      </w:r>
      <w:r w:rsidR="006D2171" w:rsidRPr="00834B27">
        <w:rPr>
          <w:rFonts w:ascii="Calibri" w:hAnsi="Calibri" w:cs="Calibri"/>
          <w:lang w:val="ro-RO"/>
        </w:rPr>
        <w:t>i</w:t>
      </w:r>
      <w:r w:rsidR="00644FBE" w:rsidRPr="00834B27">
        <w:rPr>
          <w:rFonts w:ascii="Calibri" w:hAnsi="Calibri" w:cs="Calibri"/>
          <w:lang w:val="ro-RO"/>
        </w:rPr>
        <w:t xml:space="preserve"> </w:t>
      </w:r>
      <w:r w:rsidR="00693105" w:rsidRPr="00834B27">
        <w:rPr>
          <w:rFonts w:ascii="Calibri" w:hAnsi="Calibri" w:cs="Calibri"/>
          <w:lang w:val="ro-RO"/>
        </w:rPr>
        <w:t>voluptorii, pentru UBO</w:t>
      </w:r>
      <w:r w:rsidR="00141B25" w:rsidRPr="00834B27">
        <w:rPr>
          <w:rFonts w:ascii="Calibri" w:hAnsi="Calibri" w:cs="Calibri"/>
          <w:lang w:val="ro-RO"/>
        </w:rPr>
        <w:t>.</w:t>
      </w:r>
    </w:p>
    <w:p w14:paraId="341B1CE5" w14:textId="40A2D655" w:rsidR="008E7967" w:rsidRPr="00834B27" w:rsidRDefault="006D2171" w:rsidP="00377AB8">
      <w:pPr>
        <w:pStyle w:val="Listparagraf"/>
        <w:numPr>
          <w:ilvl w:val="0"/>
          <w:numId w:val="34"/>
        </w:numPr>
        <w:tabs>
          <w:tab w:val="left" w:pos="720"/>
        </w:tabs>
        <w:spacing w:line="276" w:lineRule="auto"/>
        <w:ind w:left="720" w:hanging="360"/>
        <w:contextualSpacing w:val="0"/>
        <w:jc w:val="both"/>
        <w:rPr>
          <w:rFonts w:ascii="Calibri" w:hAnsi="Calibri" w:cs="Calibri"/>
          <w:lang w:val="ro-RO"/>
        </w:rPr>
      </w:pPr>
      <w:r w:rsidRPr="00834B27">
        <w:rPr>
          <w:rFonts w:ascii="Calibri" w:hAnsi="Calibri" w:cs="Calibri"/>
          <w:lang w:val="ro-RO"/>
        </w:rPr>
        <w:t>a</w:t>
      </w:r>
      <w:r w:rsidR="00443C87" w:rsidRPr="00834B27">
        <w:rPr>
          <w:rFonts w:ascii="Calibri" w:hAnsi="Calibri" w:cs="Calibri"/>
          <w:lang w:val="ro-RO"/>
        </w:rPr>
        <w:t xml:space="preserve">similarea veniturilor din lichidarea unei persoane juridice cu </w:t>
      </w:r>
      <w:r w:rsidR="00895659" w:rsidRPr="00834B27">
        <w:rPr>
          <w:rFonts w:ascii="Calibri" w:hAnsi="Calibri" w:cs="Calibri"/>
          <w:lang w:val="ro-RO"/>
        </w:rPr>
        <w:t>dividendele. Consider</w:t>
      </w:r>
      <w:r w:rsidRPr="00834B27">
        <w:rPr>
          <w:rFonts w:ascii="Calibri" w:hAnsi="Calibri" w:cs="Calibri"/>
          <w:lang w:val="ro-RO"/>
        </w:rPr>
        <w:t>ă</w:t>
      </w:r>
      <w:r w:rsidR="00895659" w:rsidRPr="00834B27">
        <w:rPr>
          <w:rFonts w:ascii="Calibri" w:hAnsi="Calibri" w:cs="Calibri"/>
          <w:lang w:val="ro-RO"/>
        </w:rPr>
        <w:t>m c</w:t>
      </w:r>
      <w:r w:rsidRPr="00834B27">
        <w:rPr>
          <w:rFonts w:ascii="Calibri" w:hAnsi="Calibri" w:cs="Calibri"/>
          <w:lang w:val="ro-RO"/>
        </w:rPr>
        <w:t>ă</w:t>
      </w:r>
      <w:r w:rsidR="00895659" w:rsidRPr="00834B27">
        <w:rPr>
          <w:rFonts w:ascii="Calibri" w:hAnsi="Calibri" w:cs="Calibri"/>
          <w:lang w:val="ro-RO"/>
        </w:rPr>
        <w:t xml:space="preserve"> nu exist</w:t>
      </w:r>
      <w:r w:rsidRPr="00834B27">
        <w:rPr>
          <w:rFonts w:ascii="Calibri" w:hAnsi="Calibri" w:cs="Calibri"/>
          <w:lang w:val="ro-RO"/>
        </w:rPr>
        <w:t>ă</w:t>
      </w:r>
      <w:r w:rsidR="00895659" w:rsidRPr="00834B27">
        <w:rPr>
          <w:rFonts w:ascii="Calibri" w:hAnsi="Calibri" w:cs="Calibri"/>
          <w:lang w:val="ro-RO"/>
        </w:rPr>
        <w:t xml:space="preserve"> niciun motiv pentru impozitarea diferit</w:t>
      </w:r>
      <w:r w:rsidRPr="00834B27">
        <w:rPr>
          <w:rFonts w:ascii="Calibri" w:hAnsi="Calibri" w:cs="Calibri"/>
          <w:lang w:val="ro-RO"/>
        </w:rPr>
        <w:t>ă</w:t>
      </w:r>
      <w:r w:rsidR="00895659" w:rsidRPr="00834B27">
        <w:rPr>
          <w:rFonts w:ascii="Calibri" w:hAnsi="Calibri" w:cs="Calibri"/>
          <w:lang w:val="ro-RO"/>
        </w:rPr>
        <w:t xml:space="preserve"> a </w:t>
      </w:r>
      <w:r w:rsidR="009B1CC5" w:rsidRPr="00834B27">
        <w:rPr>
          <w:rFonts w:ascii="Calibri" w:hAnsi="Calibri" w:cs="Calibri"/>
          <w:lang w:val="ro-RO"/>
        </w:rPr>
        <w:t>celor dou</w:t>
      </w:r>
      <w:r w:rsidRPr="00834B27">
        <w:rPr>
          <w:rFonts w:ascii="Calibri" w:hAnsi="Calibri" w:cs="Calibri"/>
          <w:lang w:val="ro-RO"/>
        </w:rPr>
        <w:t>ă</w:t>
      </w:r>
      <w:r w:rsidR="009B1CC5" w:rsidRPr="00834B27">
        <w:rPr>
          <w:rFonts w:ascii="Calibri" w:hAnsi="Calibri" w:cs="Calibri"/>
          <w:lang w:val="ro-RO"/>
        </w:rPr>
        <w:t xml:space="preserve"> tipuri de venituri</w:t>
      </w:r>
      <w:r w:rsidR="00466B62" w:rsidRPr="00834B27">
        <w:rPr>
          <w:rFonts w:ascii="Calibri" w:hAnsi="Calibri" w:cs="Calibri"/>
          <w:lang w:val="ro-RO"/>
        </w:rPr>
        <w:t>;</w:t>
      </w:r>
    </w:p>
    <w:p w14:paraId="13ED2B38" w14:textId="785F3B47" w:rsidR="00B43347" w:rsidRPr="00834B27" w:rsidRDefault="002E100D" w:rsidP="00474A05">
      <w:pPr>
        <w:tabs>
          <w:tab w:val="left" w:pos="720"/>
        </w:tabs>
        <w:spacing w:line="276" w:lineRule="auto"/>
        <w:ind w:left="360"/>
        <w:jc w:val="both"/>
        <w:rPr>
          <w:rFonts w:ascii="Calibri" w:hAnsi="Calibri" w:cs="Calibri"/>
          <w:lang w:val="ro-RO"/>
        </w:rPr>
      </w:pPr>
      <w:r w:rsidRPr="00834B27">
        <w:rPr>
          <w:rFonts w:ascii="Calibri" w:hAnsi="Calibri" w:cs="Calibri"/>
          <w:lang w:val="ro-RO"/>
        </w:rPr>
        <w:t xml:space="preserve">(iv) </w:t>
      </w:r>
      <w:r w:rsidR="006D2171" w:rsidRPr="00834B27">
        <w:rPr>
          <w:rFonts w:ascii="Calibri" w:hAnsi="Calibri" w:cs="Calibri"/>
          <w:lang w:val="ro-RO"/>
        </w:rPr>
        <w:t>a</w:t>
      </w:r>
      <w:r w:rsidR="00466B62" w:rsidRPr="00834B27">
        <w:rPr>
          <w:rFonts w:ascii="Calibri" w:hAnsi="Calibri" w:cs="Calibri"/>
          <w:lang w:val="ro-RO"/>
        </w:rPr>
        <w:t xml:space="preserve">similarea tuturor cheltuielilor </w:t>
      </w:r>
      <w:r w:rsidR="006D2171" w:rsidRPr="00834B27">
        <w:rPr>
          <w:rFonts w:ascii="Calibri" w:hAnsi="Calibri" w:cs="Calibri"/>
          <w:lang w:val="ro-RO"/>
        </w:rPr>
        <w:t>făcute</w:t>
      </w:r>
      <w:r w:rsidR="00466B62" w:rsidRPr="00834B27">
        <w:rPr>
          <w:rFonts w:ascii="Calibri" w:hAnsi="Calibri" w:cs="Calibri"/>
          <w:lang w:val="ro-RO"/>
        </w:rPr>
        <w:t xml:space="preserve"> de companie </w:t>
      </w:r>
      <w:r w:rsidR="006D2171" w:rsidRPr="00834B27">
        <w:rPr>
          <w:rFonts w:ascii="Calibri" w:hAnsi="Calibri" w:cs="Calibri"/>
          <w:lang w:val="ro-RO"/>
        </w:rPr>
        <w:t>î</w:t>
      </w:r>
      <w:r w:rsidR="008D600F" w:rsidRPr="00834B27">
        <w:rPr>
          <w:rFonts w:ascii="Calibri" w:hAnsi="Calibri" w:cs="Calibri"/>
          <w:lang w:val="ro-RO"/>
        </w:rPr>
        <w:t xml:space="preserve">n favoarea </w:t>
      </w:r>
      <w:r w:rsidR="006D2171" w:rsidRPr="00834B27">
        <w:rPr>
          <w:rFonts w:ascii="Calibri" w:hAnsi="Calibri" w:cs="Calibri"/>
          <w:lang w:val="ro-RO"/>
        </w:rPr>
        <w:t>asocia</w:t>
      </w:r>
      <w:r w:rsidR="00D77C4B" w:rsidRPr="00834B27">
        <w:rPr>
          <w:rFonts w:ascii="Calibri" w:hAnsi="Calibri" w:cs="Calibri"/>
          <w:lang w:val="ro-RO"/>
        </w:rPr>
        <w:t>ț</w:t>
      </w:r>
      <w:r w:rsidR="006D2171" w:rsidRPr="00834B27">
        <w:rPr>
          <w:rFonts w:ascii="Calibri" w:hAnsi="Calibri" w:cs="Calibri"/>
          <w:lang w:val="ro-RO"/>
        </w:rPr>
        <w:t>ilor</w:t>
      </w:r>
      <w:r w:rsidR="008D600F" w:rsidRPr="00834B27">
        <w:rPr>
          <w:rFonts w:ascii="Calibri" w:hAnsi="Calibri" w:cs="Calibri"/>
          <w:lang w:val="ro-RO"/>
        </w:rPr>
        <w:t xml:space="preserve"> veniturilor din dividende, mai ales </w:t>
      </w:r>
      <w:r w:rsidR="006D2171" w:rsidRPr="00834B27">
        <w:rPr>
          <w:rFonts w:ascii="Calibri" w:hAnsi="Calibri" w:cs="Calibri"/>
          <w:lang w:val="ro-RO"/>
        </w:rPr>
        <w:t>î</w:t>
      </w:r>
      <w:r w:rsidR="008D600F" w:rsidRPr="00834B27">
        <w:rPr>
          <w:rFonts w:ascii="Calibri" w:hAnsi="Calibri" w:cs="Calibri"/>
          <w:lang w:val="ro-RO"/>
        </w:rPr>
        <w:t xml:space="preserve">n contextul </w:t>
      </w:r>
      <w:r w:rsidR="006D2171" w:rsidRPr="00834B27">
        <w:rPr>
          <w:rFonts w:ascii="Calibri" w:hAnsi="Calibri" w:cs="Calibri"/>
          <w:lang w:val="ro-RO"/>
        </w:rPr>
        <w:t>implementării</w:t>
      </w:r>
      <w:r w:rsidR="005761BE" w:rsidRPr="00834B27">
        <w:rPr>
          <w:rFonts w:ascii="Calibri" w:hAnsi="Calibri" w:cs="Calibri"/>
          <w:lang w:val="ro-RO"/>
        </w:rPr>
        <w:t xml:space="preserve"> sistemelor RO e-Factura, RO</w:t>
      </w:r>
      <w:r w:rsidR="006D2171" w:rsidRPr="00834B27">
        <w:rPr>
          <w:rFonts w:ascii="Calibri" w:hAnsi="Calibri" w:cs="Calibri"/>
          <w:lang w:val="ro-RO"/>
        </w:rPr>
        <w:t> </w:t>
      </w:r>
      <w:r w:rsidR="005761BE" w:rsidRPr="00834B27">
        <w:rPr>
          <w:rFonts w:ascii="Calibri" w:hAnsi="Calibri" w:cs="Calibri"/>
          <w:lang w:val="ro-RO"/>
        </w:rPr>
        <w:t>e</w:t>
      </w:r>
      <w:r w:rsidR="006D2171" w:rsidRPr="00834B27">
        <w:rPr>
          <w:rFonts w:ascii="Calibri" w:hAnsi="Calibri" w:cs="Calibri"/>
          <w:lang w:val="ro-RO"/>
        </w:rPr>
        <w:noBreakHyphen/>
      </w:r>
      <w:r w:rsidR="005761BE" w:rsidRPr="00834B27">
        <w:rPr>
          <w:rFonts w:ascii="Calibri" w:hAnsi="Calibri" w:cs="Calibri"/>
          <w:lang w:val="ro-RO"/>
        </w:rPr>
        <w:t>Case de marcat fiscale.</w:t>
      </w:r>
    </w:p>
    <w:p w14:paraId="74254197" w14:textId="362BE761" w:rsidR="0053227E" w:rsidRPr="00834B27" w:rsidRDefault="0083328B" w:rsidP="0083328B">
      <w:pPr>
        <w:tabs>
          <w:tab w:val="left" w:pos="720"/>
        </w:tabs>
        <w:spacing w:line="276" w:lineRule="auto"/>
        <w:jc w:val="both"/>
        <w:rPr>
          <w:rFonts w:ascii="Calibri" w:hAnsi="Calibri" w:cs="Calibri"/>
          <w:lang w:val="ro-RO"/>
        </w:rPr>
      </w:pPr>
      <w:r w:rsidRPr="00834B27">
        <w:rPr>
          <w:rFonts w:ascii="Calibri" w:hAnsi="Calibri" w:cs="Calibri"/>
          <w:lang w:val="ro-RO"/>
        </w:rPr>
        <w:t xml:space="preserve">Concret, dacă impozitul pe profit efectiv plătit de compania distribuitoare </w:t>
      </w:r>
      <w:r w:rsidR="008542B0" w:rsidRPr="00834B27">
        <w:rPr>
          <w:rFonts w:ascii="Calibri" w:hAnsi="Calibri" w:cs="Calibri"/>
          <w:lang w:val="ro-RO"/>
        </w:rPr>
        <w:t xml:space="preserve">sau de filialele acesteia de la care a încasat dividende </w:t>
      </w:r>
      <w:r w:rsidRPr="00834B27">
        <w:rPr>
          <w:rFonts w:ascii="Calibri" w:hAnsi="Calibri" w:cs="Calibri"/>
          <w:lang w:val="ro-RO"/>
        </w:rPr>
        <w:t xml:space="preserve">este de 16%, impozitul pe dividende datorat de acționar este 0%. </w:t>
      </w:r>
      <w:r w:rsidRPr="00834B27">
        <w:rPr>
          <w:rFonts w:ascii="Calibri" w:hAnsi="Calibri" w:cs="Calibri"/>
          <w:lang w:val="ro-RO"/>
        </w:rPr>
        <w:lastRenderedPageBreak/>
        <w:t>Dacă impozitul pe profit efectiv este mai mic de 16% (de exemplu, ca urmare a</w:t>
      </w:r>
      <w:r w:rsidR="0053227E" w:rsidRPr="00834B27">
        <w:rPr>
          <w:rFonts w:ascii="Calibri" w:hAnsi="Calibri" w:cs="Calibri"/>
          <w:lang w:val="ro-RO"/>
        </w:rPr>
        <w:t xml:space="preserve"> obținerii de venituri neimpozabile)</w:t>
      </w:r>
      <w:r w:rsidRPr="00834B27">
        <w:rPr>
          <w:rFonts w:ascii="Calibri" w:hAnsi="Calibri" w:cs="Calibri"/>
          <w:lang w:val="ro-RO"/>
        </w:rPr>
        <w:t xml:space="preserve">), diferența până la 16% constituie impozitul pe dividende. </w:t>
      </w:r>
    </w:p>
    <w:p w14:paraId="7956D8F3" w14:textId="4D5851AC" w:rsidR="0083328B" w:rsidRPr="00834B27" w:rsidRDefault="0083328B" w:rsidP="0083328B">
      <w:pPr>
        <w:tabs>
          <w:tab w:val="left" w:pos="720"/>
        </w:tabs>
        <w:spacing w:line="276" w:lineRule="auto"/>
        <w:jc w:val="both"/>
        <w:rPr>
          <w:rFonts w:ascii="Calibri" w:hAnsi="Calibri" w:cs="Calibri"/>
          <w:lang w:val="ro-RO"/>
        </w:rPr>
      </w:pPr>
      <w:r w:rsidRPr="00834B27">
        <w:rPr>
          <w:rFonts w:ascii="Calibri" w:hAnsi="Calibri" w:cs="Calibri"/>
          <w:lang w:val="ro-RO"/>
        </w:rPr>
        <w:t xml:space="preserve">Formula: Impozit dividende = max(0; 16% × dividendul brut – impozitul pe profit aferent profitului din care se distribuie dividendul). </w:t>
      </w:r>
    </w:p>
    <w:p w14:paraId="3572B3A0" w14:textId="77777777" w:rsidR="0083328B" w:rsidRPr="00834B27" w:rsidRDefault="0083328B" w:rsidP="0083328B">
      <w:pPr>
        <w:tabs>
          <w:tab w:val="left" w:pos="720"/>
        </w:tabs>
        <w:spacing w:line="276" w:lineRule="auto"/>
        <w:jc w:val="both"/>
        <w:rPr>
          <w:rFonts w:ascii="Calibri" w:hAnsi="Calibri" w:cs="Calibri"/>
          <w:lang w:val="ro-RO"/>
        </w:rPr>
      </w:pPr>
    </w:p>
    <w:p w14:paraId="2515477A" w14:textId="64EBA9C8" w:rsidR="00B644D8" w:rsidRPr="00834B27" w:rsidRDefault="00B644D8" w:rsidP="00A1202C">
      <w:pPr>
        <w:pStyle w:val="Listparagraf"/>
        <w:numPr>
          <w:ilvl w:val="1"/>
          <w:numId w:val="49"/>
        </w:numPr>
        <w:tabs>
          <w:tab w:val="left" w:pos="720"/>
        </w:tabs>
        <w:spacing w:line="276" w:lineRule="auto"/>
        <w:ind w:hanging="720"/>
        <w:jc w:val="both"/>
        <w:rPr>
          <w:rFonts w:ascii="Calibri" w:hAnsi="Calibri" w:cs="Calibri"/>
          <w:b/>
          <w:bCs/>
          <w:lang w:val="ro-RO"/>
        </w:rPr>
      </w:pPr>
      <w:r w:rsidRPr="00834B27">
        <w:rPr>
          <w:rFonts w:ascii="Calibri" w:hAnsi="Calibri" w:cs="Calibri"/>
          <w:b/>
          <w:bCs/>
          <w:lang w:val="ro-RO"/>
        </w:rPr>
        <w:t xml:space="preserve">Venituri din </w:t>
      </w:r>
      <w:r w:rsidR="006D2171" w:rsidRPr="00834B27">
        <w:rPr>
          <w:rFonts w:ascii="Calibri" w:hAnsi="Calibri" w:cs="Calibri"/>
          <w:b/>
          <w:bCs/>
          <w:lang w:val="ro-RO"/>
        </w:rPr>
        <w:t>dobânzi</w:t>
      </w:r>
    </w:p>
    <w:p w14:paraId="59113293" w14:textId="40F5D30F" w:rsidR="00B644D8" w:rsidRPr="00834B27" w:rsidRDefault="0053227E" w:rsidP="00B644D8">
      <w:pPr>
        <w:tabs>
          <w:tab w:val="left" w:pos="720"/>
        </w:tabs>
        <w:spacing w:line="276" w:lineRule="auto"/>
        <w:jc w:val="both"/>
        <w:rPr>
          <w:rFonts w:ascii="Calibri" w:hAnsi="Calibri" w:cs="Calibri"/>
          <w:lang w:val="ro-RO"/>
        </w:rPr>
      </w:pPr>
      <w:r w:rsidRPr="00834B27">
        <w:rPr>
          <w:rFonts w:ascii="Calibri" w:hAnsi="Calibri" w:cs="Calibri"/>
          <w:lang w:val="ro-RO"/>
        </w:rPr>
        <w:t>Nu propunem modificări.</w:t>
      </w:r>
    </w:p>
    <w:p w14:paraId="67A83747" w14:textId="77777777" w:rsidR="00B43347" w:rsidRPr="00834B27" w:rsidRDefault="00B43347" w:rsidP="00B644D8">
      <w:pPr>
        <w:tabs>
          <w:tab w:val="left" w:pos="720"/>
        </w:tabs>
        <w:spacing w:line="276" w:lineRule="auto"/>
        <w:jc w:val="both"/>
        <w:rPr>
          <w:rFonts w:ascii="Calibri" w:hAnsi="Calibri" w:cs="Calibri"/>
          <w:lang w:val="ro-RO"/>
        </w:rPr>
      </w:pPr>
    </w:p>
    <w:p w14:paraId="6F1FF422" w14:textId="685B0459" w:rsidR="005761BE" w:rsidRPr="00834B27" w:rsidRDefault="002A3405" w:rsidP="00A1202C">
      <w:pPr>
        <w:pStyle w:val="Listparagraf"/>
        <w:numPr>
          <w:ilvl w:val="1"/>
          <w:numId w:val="49"/>
        </w:numPr>
        <w:tabs>
          <w:tab w:val="left" w:pos="720"/>
        </w:tabs>
        <w:spacing w:line="276" w:lineRule="auto"/>
        <w:ind w:hanging="720"/>
        <w:jc w:val="both"/>
        <w:rPr>
          <w:rFonts w:ascii="Calibri" w:hAnsi="Calibri" w:cs="Calibri"/>
          <w:b/>
          <w:bCs/>
          <w:lang w:val="ro-RO"/>
        </w:rPr>
      </w:pPr>
      <w:r w:rsidRPr="00834B27">
        <w:rPr>
          <w:rFonts w:ascii="Calibri" w:hAnsi="Calibri" w:cs="Calibri"/>
          <w:b/>
          <w:bCs/>
          <w:lang w:val="ro-RO"/>
        </w:rPr>
        <w:t>Câștiguri din transferul titlurilor de valoare și orice alte opera</w:t>
      </w:r>
      <w:r w:rsidR="00D77C4B" w:rsidRPr="00834B27">
        <w:rPr>
          <w:rFonts w:ascii="Calibri" w:hAnsi="Calibri" w:cs="Calibri"/>
          <w:b/>
          <w:bCs/>
          <w:lang w:val="ro-RO"/>
        </w:rPr>
        <w:t>ț</w:t>
      </w:r>
      <w:r w:rsidRPr="00834B27">
        <w:rPr>
          <w:rFonts w:ascii="Calibri" w:hAnsi="Calibri" w:cs="Calibri"/>
          <w:b/>
          <w:bCs/>
          <w:lang w:val="ro-RO"/>
        </w:rPr>
        <w:t>iuni cu instrumente financiare, inclusiv instrumente financiare derivate</w:t>
      </w:r>
      <w:r w:rsidR="00D40BF3" w:rsidRPr="00834B27">
        <w:rPr>
          <w:rFonts w:ascii="Calibri" w:hAnsi="Calibri" w:cs="Calibri"/>
          <w:b/>
          <w:bCs/>
          <w:lang w:val="ro-RO"/>
        </w:rPr>
        <w:t xml:space="preserve">, precum </w:t>
      </w:r>
      <w:r w:rsidR="006D2171" w:rsidRPr="00834B27">
        <w:rPr>
          <w:rFonts w:ascii="Calibri" w:hAnsi="Calibri" w:cs="Calibri"/>
          <w:b/>
          <w:bCs/>
          <w:lang w:val="ro-RO"/>
        </w:rPr>
        <w:t>ș</w:t>
      </w:r>
      <w:r w:rsidR="00D40BF3" w:rsidRPr="00834B27">
        <w:rPr>
          <w:rFonts w:ascii="Calibri" w:hAnsi="Calibri" w:cs="Calibri"/>
          <w:b/>
          <w:bCs/>
          <w:lang w:val="ro-RO"/>
        </w:rPr>
        <w:t xml:space="preserve">i a aurului de </w:t>
      </w:r>
      <w:r w:rsidR="006D2171" w:rsidRPr="00834B27">
        <w:rPr>
          <w:rFonts w:ascii="Calibri" w:hAnsi="Calibri" w:cs="Calibri"/>
          <w:b/>
          <w:bCs/>
          <w:lang w:val="ro-RO"/>
        </w:rPr>
        <w:t>investi</w:t>
      </w:r>
      <w:r w:rsidR="00D77C4B" w:rsidRPr="00834B27">
        <w:rPr>
          <w:rFonts w:ascii="Calibri" w:hAnsi="Calibri" w:cs="Calibri"/>
          <w:b/>
          <w:bCs/>
          <w:lang w:val="ro-RO"/>
        </w:rPr>
        <w:t>ț</w:t>
      </w:r>
      <w:r w:rsidR="006D2171" w:rsidRPr="00834B27">
        <w:rPr>
          <w:rFonts w:ascii="Calibri" w:hAnsi="Calibri" w:cs="Calibri"/>
          <w:b/>
          <w:bCs/>
          <w:lang w:val="ro-RO"/>
        </w:rPr>
        <w:t>ii</w:t>
      </w:r>
    </w:p>
    <w:p w14:paraId="093ACB6F" w14:textId="29D36D48" w:rsidR="00D03965" w:rsidRPr="00834B27" w:rsidRDefault="00560F63" w:rsidP="00B644D8">
      <w:pPr>
        <w:tabs>
          <w:tab w:val="left" w:pos="720"/>
        </w:tabs>
        <w:spacing w:line="276" w:lineRule="auto"/>
        <w:jc w:val="both"/>
        <w:rPr>
          <w:rFonts w:ascii="Calibri" w:hAnsi="Calibri" w:cs="Calibri"/>
          <w:lang w:val="ro-RO"/>
        </w:rPr>
      </w:pPr>
      <w:r w:rsidRPr="00834B27">
        <w:rPr>
          <w:rFonts w:ascii="Calibri" w:hAnsi="Calibri" w:cs="Calibri"/>
          <w:lang w:val="ro-RO"/>
        </w:rPr>
        <w:t>Consider</w:t>
      </w:r>
      <w:r w:rsidR="006D2171" w:rsidRPr="00834B27">
        <w:rPr>
          <w:rFonts w:ascii="Calibri" w:hAnsi="Calibri" w:cs="Calibri"/>
          <w:lang w:val="ro-RO"/>
        </w:rPr>
        <w:t>ă</w:t>
      </w:r>
      <w:r w:rsidRPr="00834B27">
        <w:rPr>
          <w:rFonts w:ascii="Calibri" w:hAnsi="Calibri" w:cs="Calibri"/>
          <w:lang w:val="ro-RO"/>
        </w:rPr>
        <w:t>m c</w:t>
      </w:r>
      <w:r w:rsidR="006D2171" w:rsidRPr="00834B27">
        <w:rPr>
          <w:rFonts w:ascii="Calibri" w:hAnsi="Calibri" w:cs="Calibri"/>
          <w:lang w:val="ro-RO"/>
        </w:rPr>
        <w:t>ă</w:t>
      </w:r>
      <w:r w:rsidRPr="00834B27">
        <w:rPr>
          <w:rFonts w:ascii="Calibri" w:hAnsi="Calibri" w:cs="Calibri"/>
          <w:lang w:val="ro-RO"/>
        </w:rPr>
        <w:t xml:space="preserve"> nu exist</w:t>
      </w:r>
      <w:r w:rsidR="006D2171" w:rsidRPr="00834B27">
        <w:rPr>
          <w:rFonts w:ascii="Calibri" w:hAnsi="Calibri" w:cs="Calibri"/>
          <w:lang w:val="ro-RO"/>
        </w:rPr>
        <w:t>ă</w:t>
      </w:r>
      <w:r w:rsidRPr="00834B27">
        <w:rPr>
          <w:rFonts w:ascii="Calibri" w:hAnsi="Calibri" w:cs="Calibri"/>
          <w:lang w:val="ro-RO"/>
        </w:rPr>
        <w:t xml:space="preserve"> nicio justificare</w:t>
      </w:r>
      <w:r w:rsidR="00F51C2B" w:rsidRPr="00834B27">
        <w:rPr>
          <w:rFonts w:ascii="Calibri" w:hAnsi="Calibri" w:cs="Calibri"/>
          <w:lang w:val="ro-RO"/>
        </w:rPr>
        <w:t xml:space="preserve"> pentru</w:t>
      </w:r>
      <w:r w:rsidRPr="00834B27">
        <w:rPr>
          <w:rFonts w:ascii="Calibri" w:hAnsi="Calibri" w:cs="Calibri"/>
          <w:lang w:val="ro-RO"/>
        </w:rPr>
        <w:t xml:space="preserve"> a </w:t>
      </w:r>
      <w:r w:rsidR="006D2171" w:rsidRPr="00834B27">
        <w:rPr>
          <w:rFonts w:ascii="Calibri" w:hAnsi="Calibri" w:cs="Calibri"/>
          <w:lang w:val="ro-RO"/>
        </w:rPr>
        <w:t>păstra</w:t>
      </w:r>
      <w:r w:rsidR="0043279B" w:rsidRPr="00834B27">
        <w:rPr>
          <w:rFonts w:ascii="Calibri" w:hAnsi="Calibri" w:cs="Calibri"/>
          <w:lang w:val="ro-RO"/>
        </w:rPr>
        <w:t xml:space="preserve"> dou</w:t>
      </w:r>
      <w:r w:rsidR="006D2171" w:rsidRPr="00834B27">
        <w:rPr>
          <w:rFonts w:ascii="Calibri" w:hAnsi="Calibri" w:cs="Calibri"/>
          <w:lang w:val="ro-RO"/>
        </w:rPr>
        <w:t>ă</w:t>
      </w:r>
      <w:r w:rsidR="0043279B" w:rsidRPr="00834B27">
        <w:rPr>
          <w:rFonts w:ascii="Calibri" w:hAnsi="Calibri" w:cs="Calibri"/>
          <w:lang w:val="ro-RO"/>
        </w:rPr>
        <w:t xml:space="preserve"> moduri diferite de impunere a </w:t>
      </w:r>
      <w:r w:rsidR="006D2171" w:rsidRPr="00834B27">
        <w:rPr>
          <w:rFonts w:ascii="Calibri" w:hAnsi="Calibri" w:cs="Calibri"/>
          <w:lang w:val="ro-RO"/>
        </w:rPr>
        <w:t>câștigurilor</w:t>
      </w:r>
      <w:r w:rsidR="0043279B" w:rsidRPr="00834B27">
        <w:rPr>
          <w:rFonts w:ascii="Calibri" w:hAnsi="Calibri" w:cs="Calibri"/>
          <w:lang w:val="ro-RO"/>
        </w:rPr>
        <w:t xml:space="preserve"> din titluri de valoare </w:t>
      </w:r>
      <w:r w:rsidR="006D2171" w:rsidRPr="00834B27">
        <w:rPr>
          <w:rFonts w:ascii="Calibri" w:hAnsi="Calibri" w:cs="Calibri"/>
          <w:lang w:val="ro-RO"/>
        </w:rPr>
        <w:t>tranzac</w:t>
      </w:r>
      <w:r w:rsidR="00D77C4B" w:rsidRPr="00834B27">
        <w:rPr>
          <w:rFonts w:ascii="Calibri" w:hAnsi="Calibri" w:cs="Calibri"/>
          <w:lang w:val="ro-RO"/>
        </w:rPr>
        <w:t>ț</w:t>
      </w:r>
      <w:r w:rsidR="006D2171" w:rsidRPr="00834B27">
        <w:rPr>
          <w:rFonts w:ascii="Calibri" w:hAnsi="Calibri" w:cs="Calibri"/>
          <w:lang w:val="ro-RO"/>
        </w:rPr>
        <w:t>ionate</w:t>
      </w:r>
      <w:r w:rsidR="00B44069" w:rsidRPr="00834B27">
        <w:rPr>
          <w:rFonts w:ascii="Calibri" w:hAnsi="Calibri" w:cs="Calibri"/>
          <w:lang w:val="ro-RO"/>
        </w:rPr>
        <w:t xml:space="preserve"> pe </w:t>
      </w:r>
      <w:r w:rsidR="006D2171" w:rsidRPr="00834B27">
        <w:rPr>
          <w:rFonts w:ascii="Calibri" w:hAnsi="Calibri" w:cs="Calibri"/>
          <w:lang w:val="ro-RO"/>
        </w:rPr>
        <w:t>pie</w:t>
      </w:r>
      <w:r w:rsidR="00D77C4B" w:rsidRPr="00834B27">
        <w:rPr>
          <w:rFonts w:ascii="Calibri" w:hAnsi="Calibri" w:cs="Calibri"/>
          <w:lang w:val="ro-RO"/>
        </w:rPr>
        <w:t>ț</w:t>
      </w:r>
      <w:r w:rsidR="006D2171" w:rsidRPr="00834B27">
        <w:rPr>
          <w:rFonts w:ascii="Calibri" w:hAnsi="Calibri" w:cs="Calibri"/>
          <w:lang w:val="ro-RO"/>
        </w:rPr>
        <w:t>e</w:t>
      </w:r>
      <w:r w:rsidR="00B44069" w:rsidRPr="00834B27">
        <w:rPr>
          <w:rFonts w:ascii="Calibri" w:hAnsi="Calibri" w:cs="Calibri"/>
          <w:lang w:val="ro-RO"/>
        </w:rPr>
        <w:t xml:space="preserve"> reglementate, </w:t>
      </w:r>
      <w:r w:rsidR="006D2171" w:rsidRPr="00834B27">
        <w:rPr>
          <w:rFonts w:ascii="Calibri" w:hAnsi="Calibri" w:cs="Calibri"/>
          <w:lang w:val="ro-RO"/>
        </w:rPr>
        <w:t>î</w:t>
      </w:r>
      <w:r w:rsidR="00B44069" w:rsidRPr="00834B27">
        <w:rPr>
          <w:rFonts w:ascii="Calibri" w:hAnsi="Calibri" w:cs="Calibri"/>
          <w:lang w:val="ro-RO"/>
        </w:rPr>
        <w:t xml:space="preserve">n </w:t>
      </w:r>
      <w:r w:rsidR="006D2171" w:rsidRPr="00834B27">
        <w:rPr>
          <w:rFonts w:ascii="Calibri" w:hAnsi="Calibri" w:cs="Calibri"/>
          <w:lang w:val="ro-RO"/>
        </w:rPr>
        <w:t>func</w:t>
      </w:r>
      <w:r w:rsidR="00D77C4B" w:rsidRPr="00834B27">
        <w:rPr>
          <w:rFonts w:ascii="Calibri" w:hAnsi="Calibri" w:cs="Calibri"/>
          <w:lang w:val="ro-RO"/>
        </w:rPr>
        <w:t>ț</w:t>
      </w:r>
      <w:r w:rsidR="006D2171" w:rsidRPr="00834B27">
        <w:rPr>
          <w:rFonts w:ascii="Calibri" w:hAnsi="Calibri" w:cs="Calibri"/>
          <w:lang w:val="ro-RO"/>
        </w:rPr>
        <w:t>ie</w:t>
      </w:r>
      <w:r w:rsidR="00B44069" w:rsidRPr="00834B27">
        <w:rPr>
          <w:rFonts w:ascii="Calibri" w:hAnsi="Calibri" w:cs="Calibri"/>
          <w:lang w:val="ro-RO"/>
        </w:rPr>
        <w:t xml:space="preserve"> de locul de </w:t>
      </w:r>
      <w:r w:rsidR="006D2171" w:rsidRPr="00834B27">
        <w:rPr>
          <w:rFonts w:ascii="Calibri" w:hAnsi="Calibri" w:cs="Calibri"/>
          <w:lang w:val="ro-RO"/>
        </w:rPr>
        <w:t>înregistrare</w:t>
      </w:r>
      <w:r w:rsidR="00B44069" w:rsidRPr="00834B27">
        <w:rPr>
          <w:rFonts w:ascii="Calibri" w:hAnsi="Calibri" w:cs="Calibri"/>
          <w:lang w:val="ro-RO"/>
        </w:rPr>
        <w:t xml:space="preserve"> al intermediarului</w:t>
      </w:r>
      <w:r w:rsidR="00D03965" w:rsidRPr="00834B27">
        <w:rPr>
          <w:rFonts w:ascii="Calibri" w:hAnsi="Calibri" w:cs="Calibri"/>
          <w:lang w:val="ro-RO"/>
        </w:rPr>
        <w:t xml:space="preserve"> prin care se </w:t>
      </w:r>
      <w:r w:rsidR="006D2171" w:rsidRPr="00834B27">
        <w:rPr>
          <w:rFonts w:ascii="Calibri" w:hAnsi="Calibri" w:cs="Calibri"/>
          <w:lang w:val="ro-RO"/>
        </w:rPr>
        <w:t>efectuează</w:t>
      </w:r>
      <w:r w:rsidR="00D03965" w:rsidRPr="00834B27">
        <w:rPr>
          <w:rFonts w:ascii="Calibri" w:hAnsi="Calibri" w:cs="Calibri"/>
          <w:lang w:val="ro-RO"/>
        </w:rPr>
        <w:t xml:space="preserve"> </w:t>
      </w:r>
      <w:r w:rsidR="006D2171" w:rsidRPr="00834B27">
        <w:rPr>
          <w:rFonts w:ascii="Calibri" w:hAnsi="Calibri" w:cs="Calibri"/>
          <w:lang w:val="ro-RO"/>
        </w:rPr>
        <w:t>tranzac</w:t>
      </w:r>
      <w:r w:rsidR="00D77C4B" w:rsidRPr="00834B27">
        <w:rPr>
          <w:rFonts w:ascii="Calibri" w:hAnsi="Calibri" w:cs="Calibri"/>
          <w:lang w:val="ro-RO"/>
        </w:rPr>
        <w:t>ț</w:t>
      </w:r>
      <w:r w:rsidR="006D2171" w:rsidRPr="00834B27">
        <w:rPr>
          <w:rFonts w:ascii="Calibri" w:hAnsi="Calibri" w:cs="Calibri"/>
          <w:lang w:val="ro-RO"/>
        </w:rPr>
        <w:t>iile</w:t>
      </w:r>
      <w:r w:rsidR="00A34524" w:rsidRPr="00834B27">
        <w:rPr>
          <w:rFonts w:ascii="Calibri" w:hAnsi="Calibri" w:cs="Calibri"/>
          <w:lang w:val="ro-RO"/>
        </w:rPr>
        <w:t xml:space="preserve"> </w:t>
      </w:r>
      <w:r w:rsidR="006D2171" w:rsidRPr="00834B27">
        <w:rPr>
          <w:rFonts w:ascii="Calibri" w:hAnsi="Calibri" w:cs="Calibri"/>
          <w:lang w:val="ro-RO"/>
        </w:rPr>
        <w:t>ș</w:t>
      </w:r>
      <w:r w:rsidR="00A34524" w:rsidRPr="00834B27">
        <w:rPr>
          <w:rFonts w:ascii="Calibri" w:hAnsi="Calibri" w:cs="Calibri"/>
          <w:lang w:val="ro-RO"/>
        </w:rPr>
        <w:t xml:space="preserve">i de perioada de </w:t>
      </w:r>
      <w:r w:rsidR="006D2171" w:rsidRPr="00834B27">
        <w:rPr>
          <w:rFonts w:ascii="Calibri" w:hAnsi="Calibri" w:cs="Calibri"/>
          <w:lang w:val="ro-RO"/>
        </w:rPr>
        <w:t>de</w:t>
      </w:r>
      <w:r w:rsidR="00D77C4B" w:rsidRPr="00834B27">
        <w:rPr>
          <w:rFonts w:ascii="Calibri" w:hAnsi="Calibri" w:cs="Calibri"/>
          <w:lang w:val="ro-RO"/>
        </w:rPr>
        <w:t>ț</w:t>
      </w:r>
      <w:r w:rsidR="006D2171" w:rsidRPr="00834B27">
        <w:rPr>
          <w:rFonts w:ascii="Calibri" w:hAnsi="Calibri" w:cs="Calibri"/>
          <w:lang w:val="ro-RO"/>
        </w:rPr>
        <w:t>inere</w:t>
      </w:r>
      <w:r w:rsidR="00A34524" w:rsidRPr="00834B27">
        <w:rPr>
          <w:rFonts w:ascii="Calibri" w:hAnsi="Calibri" w:cs="Calibri"/>
          <w:lang w:val="ro-RO"/>
        </w:rPr>
        <w:t xml:space="preserve"> a titlurilor </w:t>
      </w:r>
      <w:r w:rsidR="006D2171" w:rsidRPr="00834B27">
        <w:rPr>
          <w:rFonts w:ascii="Calibri" w:hAnsi="Calibri" w:cs="Calibri"/>
          <w:lang w:val="ro-RO"/>
        </w:rPr>
        <w:t>tranzac</w:t>
      </w:r>
      <w:r w:rsidR="00D77C4B" w:rsidRPr="00834B27">
        <w:rPr>
          <w:rFonts w:ascii="Calibri" w:hAnsi="Calibri" w:cs="Calibri"/>
          <w:lang w:val="ro-RO"/>
        </w:rPr>
        <w:t>ț</w:t>
      </w:r>
      <w:r w:rsidR="006D2171" w:rsidRPr="00834B27">
        <w:rPr>
          <w:rFonts w:ascii="Calibri" w:hAnsi="Calibri" w:cs="Calibri"/>
          <w:lang w:val="ro-RO"/>
        </w:rPr>
        <w:t>ionate</w:t>
      </w:r>
      <w:r w:rsidR="00102496" w:rsidRPr="00834B27">
        <w:rPr>
          <w:rFonts w:ascii="Calibri" w:hAnsi="Calibri" w:cs="Calibri"/>
          <w:lang w:val="ro-RO"/>
        </w:rPr>
        <w:t>.</w:t>
      </w:r>
    </w:p>
    <w:p w14:paraId="3AA813D7" w14:textId="61DB8FFB" w:rsidR="00D03965" w:rsidRPr="00834B27" w:rsidRDefault="006D2171" w:rsidP="00B644D8">
      <w:pPr>
        <w:tabs>
          <w:tab w:val="left" w:pos="720"/>
        </w:tabs>
        <w:spacing w:line="276" w:lineRule="auto"/>
        <w:jc w:val="both"/>
        <w:rPr>
          <w:rFonts w:ascii="Calibri" w:hAnsi="Calibri" w:cs="Calibri"/>
          <w:lang w:val="ro-RO"/>
        </w:rPr>
      </w:pPr>
      <w:r w:rsidRPr="00834B27">
        <w:rPr>
          <w:rFonts w:ascii="Calibri" w:hAnsi="Calibri" w:cs="Calibri"/>
          <w:lang w:val="ro-RO"/>
        </w:rPr>
        <w:t>Î</w:t>
      </w:r>
      <w:r w:rsidR="00D03965" w:rsidRPr="00834B27">
        <w:rPr>
          <w:rFonts w:ascii="Calibri" w:hAnsi="Calibri" w:cs="Calibri"/>
          <w:lang w:val="ro-RO"/>
        </w:rPr>
        <w:t xml:space="preserve">n </w:t>
      </w:r>
      <w:r w:rsidRPr="00834B27">
        <w:rPr>
          <w:rFonts w:ascii="Calibri" w:hAnsi="Calibri" w:cs="Calibri"/>
          <w:lang w:val="ro-RO"/>
        </w:rPr>
        <w:t>consecin</w:t>
      </w:r>
      <w:r w:rsidR="00D77C4B" w:rsidRPr="00834B27">
        <w:rPr>
          <w:rFonts w:ascii="Calibri" w:hAnsi="Calibri" w:cs="Calibri"/>
          <w:lang w:val="ro-RO"/>
        </w:rPr>
        <w:t>ț</w:t>
      </w:r>
      <w:r w:rsidRPr="00834B27">
        <w:rPr>
          <w:rFonts w:ascii="Calibri" w:hAnsi="Calibri" w:cs="Calibri"/>
          <w:lang w:val="ro-RO"/>
        </w:rPr>
        <w:t>ă</w:t>
      </w:r>
      <w:r w:rsidR="00D03965" w:rsidRPr="00834B27">
        <w:rPr>
          <w:rFonts w:ascii="Calibri" w:hAnsi="Calibri" w:cs="Calibri"/>
          <w:lang w:val="ro-RO"/>
        </w:rPr>
        <w:t xml:space="preserve">, propunem </w:t>
      </w:r>
      <w:r w:rsidRPr="00834B27">
        <w:rPr>
          <w:rFonts w:ascii="Calibri" w:hAnsi="Calibri" w:cs="Calibri"/>
          <w:lang w:val="ro-RO"/>
        </w:rPr>
        <w:t>renun</w:t>
      </w:r>
      <w:r w:rsidR="00D77C4B" w:rsidRPr="00834B27">
        <w:rPr>
          <w:rFonts w:ascii="Calibri" w:hAnsi="Calibri" w:cs="Calibri"/>
          <w:lang w:val="ro-RO"/>
        </w:rPr>
        <w:t>ț</w:t>
      </w:r>
      <w:r w:rsidRPr="00834B27">
        <w:rPr>
          <w:rFonts w:ascii="Calibri" w:hAnsi="Calibri" w:cs="Calibri"/>
          <w:lang w:val="ro-RO"/>
        </w:rPr>
        <w:t>area</w:t>
      </w:r>
      <w:r w:rsidR="00102496" w:rsidRPr="00834B27">
        <w:rPr>
          <w:rFonts w:ascii="Calibri" w:hAnsi="Calibri" w:cs="Calibri"/>
          <w:lang w:val="ro-RO"/>
        </w:rPr>
        <w:t xml:space="preserve"> la aplicarea cotelor de impozit de 3%/6% </w:t>
      </w:r>
      <w:r w:rsidR="00520570" w:rsidRPr="00834B27">
        <w:rPr>
          <w:rFonts w:ascii="Calibri" w:hAnsi="Calibri" w:cs="Calibri"/>
          <w:lang w:val="ro-RO"/>
        </w:rPr>
        <w:t>(</w:t>
      </w:r>
      <w:r w:rsidRPr="00834B27">
        <w:rPr>
          <w:rFonts w:ascii="Calibri" w:hAnsi="Calibri" w:cs="Calibri"/>
          <w:lang w:val="ro-RO"/>
        </w:rPr>
        <w:t>de</w:t>
      </w:r>
      <w:r w:rsidR="00D77C4B" w:rsidRPr="00834B27">
        <w:rPr>
          <w:rFonts w:ascii="Calibri" w:hAnsi="Calibri" w:cs="Calibri"/>
          <w:lang w:val="ro-RO"/>
        </w:rPr>
        <w:t>ț</w:t>
      </w:r>
      <w:r w:rsidRPr="00834B27">
        <w:rPr>
          <w:rFonts w:ascii="Calibri" w:hAnsi="Calibri" w:cs="Calibri"/>
          <w:lang w:val="ro-RO"/>
        </w:rPr>
        <w:t>inere</w:t>
      </w:r>
      <w:r w:rsidR="00520570" w:rsidRPr="00834B27">
        <w:rPr>
          <w:rFonts w:ascii="Calibri" w:hAnsi="Calibri" w:cs="Calibri"/>
          <w:lang w:val="ro-RO"/>
        </w:rPr>
        <w:t xml:space="preserve"> </w:t>
      </w:r>
      <w:r w:rsidRPr="00834B27">
        <w:rPr>
          <w:rFonts w:ascii="Calibri" w:hAnsi="Calibri" w:cs="Calibri"/>
          <w:lang w:val="ro-RO"/>
        </w:rPr>
        <w:t>mai mare de</w:t>
      </w:r>
      <w:r w:rsidR="00520570" w:rsidRPr="00834B27">
        <w:rPr>
          <w:rFonts w:ascii="Calibri" w:hAnsi="Calibri" w:cs="Calibri"/>
          <w:lang w:val="ro-RO"/>
        </w:rPr>
        <w:t xml:space="preserve"> 1 an, respectiv </w:t>
      </w:r>
      <w:r w:rsidRPr="00834B27">
        <w:rPr>
          <w:rFonts w:ascii="Calibri" w:hAnsi="Calibri" w:cs="Calibri"/>
          <w:lang w:val="ro-RO"/>
        </w:rPr>
        <w:t>de</w:t>
      </w:r>
      <w:r w:rsidR="00D77C4B" w:rsidRPr="00834B27">
        <w:rPr>
          <w:rFonts w:ascii="Calibri" w:hAnsi="Calibri" w:cs="Calibri"/>
          <w:lang w:val="ro-RO"/>
        </w:rPr>
        <w:t>ț</w:t>
      </w:r>
      <w:r w:rsidRPr="00834B27">
        <w:rPr>
          <w:rFonts w:ascii="Calibri" w:hAnsi="Calibri" w:cs="Calibri"/>
          <w:lang w:val="ro-RO"/>
        </w:rPr>
        <w:t>inere</w:t>
      </w:r>
      <w:r w:rsidR="00520570" w:rsidRPr="00834B27">
        <w:rPr>
          <w:rFonts w:ascii="Calibri" w:hAnsi="Calibri" w:cs="Calibri"/>
          <w:lang w:val="ro-RO"/>
        </w:rPr>
        <w:t xml:space="preserve"> mai mic</w:t>
      </w:r>
      <w:r w:rsidRPr="00834B27">
        <w:rPr>
          <w:rFonts w:ascii="Calibri" w:hAnsi="Calibri" w:cs="Calibri"/>
          <w:lang w:val="ro-RO"/>
        </w:rPr>
        <w:t>ă</w:t>
      </w:r>
      <w:r w:rsidR="00520570" w:rsidRPr="00834B27">
        <w:rPr>
          <w:rFonts w:ascii="Calibri" w:hAnsi="Calibri" w:cs="Calibri"/>
          <w:lang w:val="ro-RO"/>
        </w:rPr>
        <w:t xml:space="preserve"> de 1 an)</w:t>
      </w:r>
      <w:r w:rsidR="006414D8" w:rsidRPr="00834B27">
        <w:rPr>
          <w:rFonts w:ascii="Calibri" w:hAnsi="Calibri" w:cs="Calibri"/>
          <w:lang w:val="ro-RO"/>
        </w:rPr>
        <w:t xml:space="preserve"> </w:t>
      </w:r>
      <w:r w:rsidR="00520570" w:rsidRPr="00834B27">
        <w:rPr>
          <w:rFonts w:ascii="Calibri" w:hAnsi="Calibri" w:cs="Calibri"/>
          <w:lang w:val="ro-RO"/>
        </w:rPr>
        <w:t xml:space="preserve">pentru </w:t>
      </w:r>
      <w:r w:rsidRPr="00834B27">
        <w:rPr>
          <w:rFonts w:ascii="Calibri" w:hAnsi="Calibri" w:cs="Calibri"/>
          <w:lang w:val="ro-RO"/>
        </w:rPr>
        <w:t>câștigurile</w:t>
      </w:r>
      <w:r w:rsidR="00520570" w:rsidRPr="00834B27">
        <w:rPr>
          <w:rFonts w:ascii="Calibri" w:hAnsi="Calibri" w:cs="Calibri"/>
          <w:lang w:val="ro-RO"/>
        </w:rPr>
        <w:t xml:space="preserve"> </w:t>
      </w:r>
      <w:r w:rsidRPr="00834B27">
        <w:rPr>
          <w:rFonts w:ascii="Calibri" w:hAnsi="Calibri" w:cs="Calibri"/>
          <w:lang w:val="ro-RO"/>
        </w:rPr>
        <w:t>ob</w:t>
      </w:r>
      <w:r w:rsidR="00D77C4B" w:rsidRPr="00834B27">
        <w:rPr>
          <w:rFonts w:ascii="Calibri" w:hAnsi="Calibri" w:cs="Calibri"/>
          <w:lang w:val="ro-RO"/>
        </w:rPr>
        <w:t>ț</w:t>
      </w:r>
      <w:r w:rsidRPr="00834B27">
        <w:rPr>
          <w:rFonts w:ascii="Calibri" w:hAnsi="Calibri" w:cs="Calibri"/>
          <w:lang w:val="ro-RO"/>
        </w:rPr>
        <w:t>inute</w:t>
      </w:r>
      <w:r w:rsidR="00520570" w:rsidRPr="00834B27">
        <w:rPr>
          <w:rFonts w:ascii="Calibri" w:hAnsi="Calibri" w:cs="Calibri"/>
          <w:lang w:val="ro-RO"/>
        </w:rPr>
        <w:t xml:space="preserve"> </w:t>
      </w:r>
      <w:r w:rsidR="006414D8" w:rsidRPr="00834B27">
        <w:rPr>
          <w:rFonts w:ascii="Calibri" w:hAnsi="Calibri" w:cs="Calibri"/>
          <w:lang w:val="ro-RO"/>
        </w:rPr>
        <w:t xml:space="preserve">din </w:t>
      </w:r>
      <w:r w:rsidRPr="00834B27">
        <w:rPr>
          <w:rFonts w:ascii="Calibri" w:hAnsi="Calibri" w:cs="Calibri"/>
          <w:lang w:val="ro-RO"/>
        </w:rPr>
        <w:t>tranzac</w:t>
      </w:r>
      <w:r w:rsidR="00D77C4B" w:rsidRPr="00834B27">
        <w:rPr>
          <w:rFonts w:ascii="Calibri" w:hAnsi="Calibri" w:cs="Calibri"/>
          <w:lang w:val="ro-RO"/>
        </w:rPr>
        <w:t>ț</w:t>
      </w:r>
      <w:r w:rsidRPr="00834B27">
        <w:rPr>
          <w:rFonts w:ascii="Calibri" w:hAnsi="Calibri" w:cs="Calibri"/>
          <w:lang w:val="ro-RO"/>
        </w:rPr>
        <w:t>ii</w:t>
      </w:r>
      <w:r w:rsidR="006414D8" w:rsidRPr="00834B27">
        <w:rPr>
          <w:rFonts w:ascii="Calibri" w:hAnsi="Calibri" w:cs="Calibri"/>
          <w:lang w:val="ro-RO"/>
        </w:rPr>
        <w:t xml:space="preserve"> efectuate prin intermediari </w:t>
      </w:r>
      <w:r w:rsidRPr="00834B27">
        <w:rPr>
          <w:rFonts w:ascii="Calibri" w:hAnsi="Calibri" w:cs="Calibri"/>
          <w:lang w:val="ro-RO"/>
        </w:rPr>
        <w:t>înregistra</w:t>
      </w:r>
      <w:r w:rsidR="00D77C4B" w:rsidRPr="00834B27">
        <w:rPr>
          <w:rFonts w:ascii="Calibri" w:hAnsi="Calibri" w:cs="Calibri"/>
          <w:lang w:val="ro-RO"/>
        </w:rPr>
        <w:t>ț</w:t>
      </w:r>
      <w:r w:rsidRPr="00834B27">
        <w:rPr>
          <w:rFonts w:ascii="Calibri" w:hAnsi="Calibri" w:cs="Calibri"/>
          <w:lang w:val="ro-RO"/>
        </w:rPr>
        <w:t>i</w:t>
      </w:r>
      <w:r w:rsidR="006414D8" w:rsidRPr="00834B27">
        <w:rPr>
          <w:rFonts w:ascii="Calibri" w:hAnsi="Calibri" w:cs="Calibri"/>
          <w:lang w:val="ro-RO"/>
        </w:rPr>
        <w:t xml:space="preserve"> </w:t>
      </w:r>
      <w:r w:rsidRPr="00834B27">
        <w:rPr>
          <w:rFonts w:ascii="Calibri" w:hAnsi="Calibri" w:cs="Calibri"/>
          <w:lang w:val="ro-RO"/>
        </w:rPr>
        <w:t>î</w:t>
      </w:r>
      <w:r w:rsidR="006414D8" w:rsidRPr="00834B27">
        <w:rPr>
          <w:rFonts w:ascii="Calibri" w:hAnsi="Calibri" w:cs="Calibri"/>
          <w:lang w:val="ro-RO"/>
        </w:rPr>
        <w:t>n Rom</w:t>
      </w:r>
      <w:r w:rsidRPr="00834B27">
        <w:rPr>
          <w:rFonts w:ascii="Calibri" w:hAnsi="Calibri" w:cs="Calibri"/>
          <w:lang w:val="ro-RO"/>
        </w:rPr>
        <w:t>â</w:t>
      </w:r>
      <w:r w:rsidR="006414D8" w:rsidRPr="00834B27">
        <w:rPr>
          <w:rFonts w:ascii="Calibri" w:hAnsi="Calibri" w:cs="Calibri"/>
          <w:lang w:val="ro-RO"/>
        </w:rPr>
        <w:t xml:space="preserve">nia) </w:t>
      </w:r>
      <w:r w:rsidRPr="00834B27">
        <w:rPr>
          <w:rFonts w:ascii="Calibri" w:hAnsi="Calibri" w:cs="Calibri"/>
          <w:lang w:val="ro-RO"/>
        </w:rPr>
        <w:t>ș</w:t>
      </w:r>
      <w:r w:rsidR="00135134" w:rsidRPr="00834B27">
        <w:rPr>
          <w:rFonts w:ascii="Calibri" w:hAnsi="Calibri" w:cs="Calibri"/>
          <w:lang w:val="ro-RO"/>
        </w:rPr>
        <w:t xml:space="preserve">i </w:t>
      </w:r>
      <w:r w:rsidR="00BF7552" w:rsidRPr="00834B27">
        <w:rPr>
          <w:rFonts w:ascii="Calibri" w:hAnsi="Calibri" w:cs="Calibri"/>
          <w:lang w:val="ro-RO"/>
        </w:rPr>
        <w:t xml:space="preserve">revenirea la </w:t>
      </w:r>
      <w:r w:rsidRPr="00834B27">
        <w:rPr>
          <w:rFonts w:ascii="Calibri" w:hAnsi="Calibri" w:cs="Calibri"/>
          <w:lang w:val="ro-RO"/>
        </w:rPr>
        <w:t>situa</w:t>
      </w:r>
      <w:r w:rsidR="00D77C4B" w:rsidRPr="00834B27">
        <w:rPr>
          <w:rFonts w:ascii="Calibri" w:hAnsi="Calibri" w:cs="Calibri"/>
          <w:lang w:val="ro-RO"/>
        </w:rPr>
        <w:t>ț</w:t>
      </w:r>
      <w:r w:rsidRPr="00834B27">
        <w:rPr>
          <w:rFonts w:ascii="Calibri" w:hAnsi="Calibri" w:cs="Calibri"/>
          <w:lang w:val="ro-RO"/>
        </w:rPr>
        <w:t>ia</w:t>
      </w:r>
      <w:r w:rsidR="00BF7552" w:rsidRPr="00834B27">
        <w:rPr>
          <w:rFonts w:ascii="Calibri" w:hAnsi="Calibri" w:cs="Calibri"/>
          <w:lang w:val="ro-RO"/>
        </w:rPr>
        <w:t xml:space="preserve"> anterioar</w:t>
      </w:r>
      <w:r w:rsidRPr="00834B27">
        <w:rPr>
          <w:rFonts w:ascii="Calibri" w:hAnsi="Calibri" w:cs="Calibri"/>
          <w:lang w:val="ro-RO"/>
        </w:rPr>
        <w:t>ă</w:t>
      </w:r>
      <w:r w:rsidR="00701406" w:rsidRPr="00834B27">
        <w:rPr>
          <w:rFonts w:ascii="Calibri" w:hAnsi="Calibri" w:cs="Calibri"/>
          <w:lang w:val="ro-RO"/>
        </w:rPr>
        <w:t xml:space="preserve"> </w:t>
      </w:r>
      <w:r w:rsidR="00BF7552" w:rsidRPr="00834B27">
        <w:rPr>
          <w:rFonts w:ascii="Calibri" w:hAnsi="Calibri" w:cs="Calibri"/>
          <w:lang w:val="ro-RO"/>
        </w:rPr>
        <w:t xml:space="preserve">introducerii acestui regim </w:t>
      </w:r>
      <w:r w:rsidR="00701406" w:rsidRPr="00834B27">
        <w:rPr>
          <w:rFonts w:ascii="Calibri" w:hAnsi="Calibri" w:cs="Calibri"/>
          <w:lang w:val="ro-RO"/>
        </w:rPr>
        <w:t>î</w:t>
      </w:r>
      <w:r w:rsidR="00BF7552" w:rsidRPr="00834B27">
        <w:rPr>
          <w:rFonts w:ascii="Calibri" w:hAnsi="Calibri" w:cs="Calibri"/>
          <w:lang w:val="ro-RO"/>
        </w:rPr>
        <w:t xml:space="preserve">n anul </w:t>
      </w:r>
      <w:r w:rsidR="008A2AB7" w:rsidRPr="00834B27">
        <w:rPr>
          <w:rFonts w:ascii="Calibri" w:hAnsi="Calibri" w:cs="Calibri"/>
          <w:lang w:val="ro-RO"/>
        </w:rPr>
        <w:t>2023</w:t>
      </w:r>
      <w:r w:rsidR="001C2A2A" w:rsidRPr="00834B27">
        <w:rPr>
          <w:rFonts w:ascii="Calibri" w:hAnsi="Calibri" w:cs="Calibri"/>
          <w:lang w:val="ro-RO"/>
        </w:rPr>
        <w:t>, anume venitul impozabil calculat ca sum</w:t>
      </w:r>
      <w:r w:rsidR="00701406" w:rsidRPr="00834B27">
        <w:rPr>
          <w:rFonts w:ascii="Calibri" w:hAnsi="Calibri" w:cs="Calibri"/>
          <w:lang w:val="ro-RO"/>
        </w:rPr>
        <w:t>a</w:t>
      </w:r>
      <w:r w:rsidR="001C2A2A" w:rsidRPr="00834B27">
        <w:rPr>
          <w:rFonts w:ascii="Calibri" w:hAnsi="Calibri" w:cs="Calibri"/>
          <w:lang w:val="ro-RO"/>
        </w:rPr>
        <w:t xml:space="preserve"> </w:t>
      </w:r>
      <w:r w:rsidR="00701406" w:rsidRPr="00834B27">
        <w:rPr>
          <w:rFonts w:ascii="Calibri" w:hAnsi="Calibri" w:cs="Calibri"/>
          <w:lang w:val="ro-RO"/>
        </w:rPr>
        <w:t>câștigurilor</w:t>
      </w:r>
      <w:r w:rsidR="001C2A2A" w:rsidRPr="00834B27">
        <w:rPr>
          <w:rFonts w:ascii="Calibri" w:hAnsi="Calibri" w:cs="Calibri"/>
          <w:lang w:val="ro-RO"/>
        </w:rPr>
        <w:t xml:space="preserve"> din care se scad pierderile</w:t>
      </w:r>
      <w:r w:rsidR="005E3584" w:rsidRPr="00834B27">
        <w:rPr>
          <w:rFonts w:ascii="Calibri" w:hAnsi="Calibri" w:cs="Calibri"/>
          <w:lang w:val="ro-RO"/>
        </w:rPr>
        <w:t xml:space="preserve">, </w:t>
      </w:r>
      <w:r w:rsidR="00701406" w:rsidRPr="00834B27">
        <w:rPr>
          <w:rFonts w:ascii="Calibri" w:hAnsi="Calibri" w:cs="Calibri"/>
          <w:lang w:val="ro-RO"/>
        </w:rPr>
        <w:t>î</w:t>
      </w:r>
      <w:r w:rsidR="005E3584" w:rsidRPr="00834B27">
        <w:rPr>
          <w:rFonts w:ascii="Calibri" w:hAnsi="Calibri" w:cs="Calibri"/>
          <w:lang w:val="ro-RO"/>
        </w:rPr>
        <w:t xml:space="preserve">n anul respectiv, cu posibilitatea </w:t>
      </w:r>
      <w:r w:rsidR="00701406" w:rsidRPr="00834B27">
        <w:rPr>
          <w:rFonts w:ascii="Calibri" w:hAnsi="Calibri" w:cs="Calibri"/>
          <w:lang w:val="ro-RO"/>
        </w:rPr>
        <w:t>reportării</w:t>
      </w:r>
      <w:r w:rsidR="005E3584" w:rsidRPr="00834B27">
        <w:rPr>
          <w:rFonts w:ascii="Calibri" w:hAnsi="Calibri" w:cs="Calibri"/>
          <w:lang w:val="ro-RO"/>
        </w:rPr>
        <w:t xml:space="preserve"> pierderilor pentru o perioad</w:t>
      </w:r>
      <w:r w:rsidR="00701406" w:rsidRPr="00834B27">
        <w:rPr>
          <w:rFonts w:ascii="Calibri" w:hAnsi="Calibri" w:cs="Calibri"/>
          <w:lang w:val="ro-RO"/>
        </w:rPr>
        <w:t>ă</w:t>
      </w:r>
      <w:r w:rsidR="005E3584" w:rsidRPr="00834B27">
        <w:rPr>
          <w:rFonts w:ascii="Calibri" w:hAnsi="Calibri" w:cs="Calibri"/>
          <w:lang w:val="ro-RO"/>
        </w:rPr>
        <w:t xml:space="preserve"> de </w:t>
      </w:r>
      <w:r w:rsidR="00506B5A" w:rsidRPr="00834B27">
        <w:rPr>
          <w:rFonts w:ascii="Calibri" w:hAnsi="Calibri" w:cs="Calibri"/>
          <w:lang w:val="ro-RO"/>
        </w:rPr>
        <w:t>5 ani.</w:t>
      </w:r>
      <w:r w:rsidR="00A45A64" w:rsidRPr="00834B27">
        <w:rPr>
          <w:rFonts w:ascii="Calibri" w:hAnsi="Calibri" w:cs="Calibri"/>
          <w:lang w:val="ro-RO"/>
        </w:rPr>
        <w:t xml:space="preserve"> </w:t>
      </w:r>
    </w:p>
    <w:p w14:paraId="64EEC6DD" w14:textId="09CC8BBA" w:rsidR="00506B5A" w:rsidRPr="00834B27" w:rsidRDefault="00506B5A" w:rsidP="00B644D8">
      <w:pPr>
        <w:tabs>
          <w:tab w:val="left" w:pos="720"/>
        </w:tabs>
        <w:spacing w:line="276" w:lineRule="auto"/>
        <w:jc w:val="both"/>
        <w:rPr>
          <w:rFonts w:ascii="Calibri" w:hAnsi="Calibri" w:cs="Calibri"/>
          <w:lang w:val="ro-RO"/>
        </w:rPr>
      </w:pPr>
      <w:r w:rsidRPr="00834B27">
        <w:rPr>
          <w:rFonts w:ascii="Calibri" w:hAnsi="Calibri" w:cs="Calibri"/>
          <w:lang w:val="ro-RO"/>
        </w:rPr>
        <w:t>Consider</w:t>
      </w:r>
      <w:r w:rsidR="00701406" w:rsidRPr="00834B27">
        <w:rPr>
          <w:rFonts w:ascii="Calibri" w:hAnsi="Calibri" w:cs="Calibri"/>
          <w:lang w:val="ro-RO"/>
        </w:rPr>
        <w:t>ă</w:t>
      </w:r>
      <w:r w:rsidRPr="00834B27">
        <w:rPr>
          <w:rFonts w:ascii="Calibri" w:hAnsi="Calibri" w:cs="Calibri"/>
          <w:lang w:val="ro-RO"/>
        </w:rPr>
        <w:t>m</w:t>
      </w:r>
      <w:r w:rsidR="00701406" w:rsidRPr="00834B27">
        <w:rPr>
          <w:rFonts w:ascii="Calibri" w:hAnsi="Calibri" w:cs="Calibri"/>
          <w:lang w:val="ro-RO"/>
        </w:rPr>
        <w:t>,</w:t>
      </w:r>
      <w:r w:rsidRPr="00834B27">
        <w:rPr>
          <w:rFonts w:ascii="Calibri" w:hAnsi="Calibri" w:cs="Calibri"/>
          <w:lang w:val="ro-RO"/>
        </w:rPr>
        <w:t xml:space="preserve"> </w:t>
      </w:r>
      <w:r w:rsidR="00701406" w:rsidRPr="00834B27">
        <w:rPr>
          <w:rFonts w:ascii="Calibri" w:hAnsi="Calibri" w:cs="Calibri"/>
          <w:lang w:val="ro-RO"/>
        </w:rPr>
        <w:t>de asemenea,</w:t>
      </w:r>
      <w:r w:rsidRPr="00834B27">
        <w:rPr>
          <w:rFonts w:ascii="Calibri" w:hAnsi="Calibri" w:cs="Calibri"/>
          <w:lang w:val="ro-RO"/>
        </w:rPr>
        <w:t xml:space="preserve"> c</w:t>
      </w:r>
      <w:r w:rsidR="00701406" w:rsidRPr="00834B27">
        <w:rPr>
          <w:rFonts w:ascii="Calibri" w:hAnsi="Calibri" w:cs="Calibri"/>
          <w:lang w:val="ro-RO"/>
        </w:rPr>
        <w:t>ă</w:t>
      </w:r>
      <w:r w:rsidRPr="00834B27">
        <w:rPr>
          <w:rFonts w:ascii="Calibri" w:hAnsi="Calibri" w:cs="Calibri"/>
          <w:lang w:val="ro-RO"/>
        </w:rPr>
        <w:t xml:space="preserve"> se impune </w:t>
      </w:r>
      <w:r w:rsidR="00E95970" w:rsidRPr="00834B27">
        <w:rPr>
          <w:rFonts w:ascii="Calibri" w:hAnsi="Calibri" w:cs="Calibri"/>
          <w:lang w:val="ro-RO"/>
        </w:rPr>
        <w:t xml:space="preserve">includerea </w:t>
      </w:r>
      <w:r w:rsidR="00701406" w:rsidRPr="00834B27">
        <w:rPr>
          <w:rFonts w:ascii="Calibri" w:hAnsi="Calibri" w:cs="Calibri"/>
          <w:lang w:val="ro-RO"/>
        </w:rPr>
        <w:t>î</w:t>
      </w:r>
      <w:r w:rsidR="00E95970" w:rsidRPr="00834B27">
        <w:rPr>
          <w:rFonts w:ascii="Calibri" w:hAnsi="Calibri" w:cs="Calibri"/>
          <w:lang w:val="ro-RO"/>
        </w:rPr>
        <w:t>n aceast</w:t>
      </w:r>
      <w:r w:rsidR="00701406" w:rsidRPr="00834B27">
        <w:rPr>
          <w:rFonts w:ascii="Calibri" w:hAnsi="Calibri" w:cs="Calibri"/>
          <w:lang w:val="ro-RO"/>
        </w:rPr>
        <w:t>ă</w:t>
      </w:r>
      <w:r w:rsidR="00E95970" w:rsidRPr="00834B27">
        <w:rPr>
          <w:rFonts w:ascii="Calibri" w:hAnsi="Calibri" w:cs="Calibri"/>
          <w:lang w:val="ro-RO"/>
        </w:rPr>
        <w:t xml:space="preserve"> categorie </w:t>
      </w:r>
      <w:r w:rsidR="00701406" w:rsidRPr="00834B27">
        <w:rPr>
          <w:rFonts w:ascii="Calibri" w:hAnsi="Calibri" w:cs="Calibri"/>
          <w:lang w:val="ro-RO"/>
        </w:rPr>
        <w:t>ș</w:t>
      </w:r>
      <w:r w:rsidR="00E95970" w:rsidRPr="00834B27">
        <w:rPr>
          <w:rFonts w:ascii="Calibri" w:hAnsi="Calibri" w:cs="Calibri"/>
          <w:lang w:val="ro-RO"/>
        </w:rPr>
        <w:t xml:space="preserve">i a </w:t>
      </w:r>
      <w:r w:rsidR="00701406" w:rsidRPr="00834B27">
        <w:rPr>
          <w:rFonts w:ascii="Calibri" w:hAnsi="Calibri" w:cs="Calibri"/>
          <w:lang w:val="ro-RO"/>
        </w:rPr>
        <w:t>câștigurilor</w:t>
      </w:r>
      <w:r w:rsidR="00E95970" w:rsidRPr="00834B27">
        <w:rPr>
          <w:rFonts w:ascii="Calibri" w:hAnsi="Calibri" w:cs="Calibri"/>
          <w:lang w:val="ro-RO"/>
        </w:rPr>
        <w:t xml:space="preserve"> din </w:t>
      </w:r>
      <w:r w:rsidR="00701406" w:rsidRPr="00834B27">
        <w:rPr>
          <w:rFonts w:ascii="Calibri" w:hAnsi="Calibri" w:cs="Calibri"/>
          <w:lang w:val="ro-RO"/>
        </w:rPr>
        <w:t>tranzac</w:t>
      </w:r>
      <w:r w:rsidR="00D77C4B" w:rsidRPr="00834B27">
        <w:rPr>
          <w:rFonts w:ascii="Calibri" w:hAnsi="Calibri" w:cs="Calibri"/>
          <w:lang w:val="ro-RO"/>
        </w:rPr>
        <w:t>ț</w:t>
      </w:r>
      <w:r w:rsidR="00701406" w:rsidRPr="00834B27">
        <w:rPr>
          <w:rFonts w:ascii="Calibri" w:hAnsi="Calibri" w:cs="Calibri"/>
          <w:lang w:val="ro-RO"/>
        </w:rPr>
        <w:t>ionarea</w:t>
      </w:r>
      <w:r w:rsidR="00E95970" w:rsidRPr="00834B27">
        <w:rPr>
          <w:rFonts w:ascii="Calibri" w:hAnsi="Calibri" w:cs="Calibri"/>
          <w:lang w:val="ro-RO"/>
        </w:rPr>
        <w:t xml:space="preserve"> de cr</w:t>
      </w:r>
      <w:r w:rsidR="00701406" w:rsidRPr="00834B27">
        <w:rPr>
          <w:rFonts w:ascii="Calibri" w:hAnsi="Calibri" w:cs="Calibri"/>
          <w:lang w:val="ro-RO"/>
        </w:rPr>
        <w:t>i</w:t>
      </w:r>
      <w:r w:rsidR="00E95970" w:rsidRPr="00834B27">
        <w:rPr>
          <w:rFonts w:ascii="Calibri" w:hAnsi="Calibri" w:cs="Calibri"/>
          <w:lang w:val="ro-RO"/>
        </w:rPr>
        <w:t>pto</w:t>
      </w:r>
      <w:r w:rsidR="00E76AF1" w:rsidRPr="00834B27">
        <w:rPr>
          <w:rFonts w:ascii="Calibri" w:hAnsi="Calibri" w:cs="Calibri"/>
          <w:lang w:val="ro-RO"/>
        </w:rPr>
        <w:t xml:space="preserve">monede, ele fiind </w:t>
      </w:r>
      <w:r w:rsidR="00701406" w:rsidRPr="00834B27">
        <w:rPr>
          <w:rFonts w:ascii="Calibri" w:hAnsi="Calibri" w:cs="Calibri"/>
          <w:lang w:val="ro-RO"/>
        </w:rPr>
        <w:t>î</w:t>
      </w:r>
      <w:r w:rsidR="00E76AF1" w:rsidRPr="00834B27">
        <w:rPr>
          <w:rFonts w:ascii="Calibri" w:hAnsi="Calibri" w:cs="Calibri"/>
          <w:lang w:val="ro-RO"/>
        </w:rPr>
        <w:t xml:space="preserve">n fapt tot o </w:t>
      </w:r>
      <w:r w:rsidR="00701406" w:rsidRPr="00834B27">
        <w:rPr>
          <w:rFonts w:ascii="Calibri" w:hAnsi="Calibri" w:cs="Calibri"/>
          <w:lang w:val="ro-RO"/>
        </w:rPr>
        <w:t>tranzac</w:t>
      </w:r>
      <w:r w:rsidR="00D77C4B" w:rsidRPr="00834B27">
        <w:rPr>
          <w:rFonts w:ascii="Calibri" w:hAnsi="Calibri" w:cs="Calibri"/>
          <w:lang w:val="ro-RO"/>
        </w:rPr>
        <w:t>ț</w:t>
      </w:r>
      <w:r w:rsidR="00701406" w:rsidRPr="00834B27">
        <w:rPr>
          <w:rFonts w:ascii="Calibri" w:hAnsi="Calibri" w:cs="Calibri"/>
          <w:lang w:val="ro-RO"/>
        </w:rPr>
        <w:t>ionare</w:t>
      </w:r>
      <w:r w:rsidR="00E76AF1" w:rsidRPr="00834B27">
        <w:rPr>
          <w:rFonts w:ascii="Calibri" w:hAnsi="Calibri" w:cs="Calibri"/>
          <w:lang w:val="ro-RO"/>
        </w:rPr>
        <w:t xml:space="preserve"> de </w:t>
      </w:r>
      <w:r w:rsidR="00701406" w:rsidRPr="00834B27">
        <w:rPr>
          <w:rFonts w:ascii="Calibri" w:hAnsi="Calibri" w:cs="Calibri"/>
          <w:lang w:val="ro-RO"/>
        </w:rPr>
        <w:t>„</w:t>
      </w:r>
      <w:r w:rsidR="00E76AF1" w:rsidRPr="00834B27">
        <w:rPr>
          <w:rFonts w:ascii="Calibri" w:hAnsi="Calibri" w:cs="Calibri"/>
          <w:lang w:val="ro-RO"/>
        </w:rPr>
        <w:t>titluri”</w:t>
      </w:r>
      <w:r w:rsidR="00404002" w:rsidRPr="00834B27">
        <w:rPr>
          <w:rFonts w:ascii="Calibri" w:hAnsi="Calibri" w:cs="Calibri"/>
          <w:lang w:val="ro-RO"/>
        </w:rPr>
        <w:t>, iar calculul venitului impozabil s</w:t>
      </w:r>
      <w:r w:rsidR="00701406" w:rsidRPr="00834B27">
        <w:rPr>
          <w:rFonts w:ascii="Calibri" w:hAnsi="Calibri" w:cs="Calibri"/>
          <w:lang w:val="ro-RO"/>
        </w:rPr>
        <w:t>ă</w:t>
      </w:r>
      <w:r w:rsidR="00404002" w:rsidRPr="00834B27">
        <w:rPr>
          <w:rFonts w:ascii="Calibri" w:hAnsi="Calibri" w:cs="Calibri"/>
          <w:lang w:val="ro-RO"/>
        </w:rPr>
        <w:t xml:space="preserve"> se fac</w:t>
      </w:r>
      <w:r w:rsidR="00701406" w:rsidRPr="00834B27">
        <w:rPr>
          <w:rFonts w:ascii="Calibri" w:hAnsi="Calibri" w:cs="Calibri"/>
          <w:lang w:val="ro-RO"/>
        </w:rPr>
        <w:t>ă</w:t>
      </w:r>
      <w:r w:rsidR="00404002" w:rsidRPr="00834B27">
        <w:rPr>
          <w:rFonts w:ascii="Calibri" w:hAnsi="Calibri" w:cs="Calibri"/>
          <w:lang w:val="ro-RO"/>
        </w:rPr>
        <w:t xml:space="preserve"> la fel (</w:t>
      </w:r>
      <w:r w:rsidR="000B586F" w:rsidRPr="00834B27">
        <w:rPr>
          <w:rFonts w:ascii="Calibri" w:hAnsi="Calibri" w:cs="Calibri"/>
          <w:lang w:val="ro-RO"/>
        </w:rPr>
        <w:t xml:space="preserve">venit impozabil = </w:t>
      </w:r>
      <w:r w:rsidR="00701406" w:rsidRPr="00834B27">
        <w:rPr>
          <w:rFonts w:ascii="Calibri" w:hAnsi="Calibri" w:cs="Calibri"/>
          <w:lang w:val="ro-RO"/>
        </w:rPr>
        <w:t>câștiguri</w:t>
      </w:r>
      <w:r w:rsidR="00404002" w:rsidRPr="00834B27">
        <w:rPr>
          <w:rFonts w:ascii="Calibri" w:hAnsi="Calibri" w:cs="Calibri"/>
          <w:lang w:val="ro-RO"/>
        </w:rPr>
        <w:t xml:space="preserve"> </w:t>
      </w:r>
      <w:r w:rsidR="000B586F" w:rsidRPr="00834B27">
        <w:rPr>
          <w:rFonts w:ascii="Calibri" w:hAnsi="Calibri" w:cs="Calibri"/>
          <w:lang w:val="ro-RO"/>
        </w:rPr>
        <w:t>–</w:t>
      </w:r>
      <w:r w:rsidR="00404002" w:rsidRPr="00834B27">
        <w:rPr>
          <w:rFonts w:ascii="Calibri" w:hAnsi="Calibri" w:cs="Calibri"/>
          <w:lang w:val="ro-RO"/>
        </w:rPr>
        <w:t xml:space="preserve"> </w:t>
      </w:r>
      <w:r w:rsidR="000B586F" w:rsidRPr="00834B27">
        <w:rPr>
          <w:rFonts w:ascii="Calibri" w:hAnsi="Calibri" w:cs="Calibri"/>
          <w:lang w:val="ro-RO"/>
        </w:rPr>
        <w:t xml:space="preserve">pierderi). Modul actual de reglementare </w:t>
      </w:r>
      <w:r w:rsidR="00511702" w:rsidRPr="00834B27">
        <w:rPr>
          <w:rFonts w:ascii="Calibri" w:hAnsi="Calibri" w:cs="Calibri"/>
          <w:lang w:val="ro-RO"/>
        </w:rPr>
        <w:t xml:space="preserve">al </w:t>
      </w:r>
      <w:r w:rsidR="00701406" w:rsidRPr="00834B27">
        <w:rPr>
          <w:rFonts w:ascii="Calibri" w:hAnsi="Calibri" w:cs="Calibri"/>
          <w:lang w:val="ro-RO"/>
        </w:rPr>
        <w:t>impozitării</w:t>
      </w:r>
      <w:r w:rsidR="00511702" w:rsidRPr="00834B27">
        <w:rPr>
          <w:rFonts w:ascii="Calibri" w:hAnsi="Calibri" w:cs="Calibri"/>
          <w:lang w:val="ro-RO"/>
        </w:rPr>
        <w:t xml:space="preserve"> acestor </w:t>
      </w:r>
      <w:r w:rsidR="00701406" w:rsidRPr="00834B27">
        <w:rPr>
          <w:rFonts w:ascii="Calibri" w:hAnsi="Calibri" w:cs="Calibri"/>
          <w:lang w:val="ro-RO"/>
        </w:rPr>
        <w:t>câștiguri</w:t>
      </w:r>
      <w:r w:rsidR="00511702" w:rsidRPr="00834B27">
        <w:rPr>
          <w:rFonts w:ascii="Calibri" w:hAnsi="Calibri" w:cs="Calibri"/>
          <w:lang w:val="ro-RO"/>
        </w:rPr>
        <w:t xml:space="preserve"> este pe c</w:t>
      </w:r>
      <w:r w:rsidR="00701406" w:rsidRPr="00834B27">
        <w:rPr>
          <w:rFonts w:ascii="Calibri" w:hAnsi="Calibri" w:cs="Calibri"/>
          <w:lang w:val="ro-RO"/>
        </w:rPr>
        <w:t>â</w:t>
      </w:r>
      <w:r w:rsidR="00511702" w:rsidRPr="00834B27">
        <w:rPr>
          <w:rFonts w:ascii="Calibri" w:hAnsi="Calibri" w:cs="Calibri"/>
          <w:lang w:val="ro-RO"/>
        </w:rPr>
        <w:t>t de nerezonabil (</w:t>
      </w:r>
      <w:r w:rsidR="004C68CF" w:rsidRPr="00834B27">
        <w:rPr>
          <w:rFonts w:ascii="Calibri" w:hAnsi="Calibri" w:cs="Calibri"/>
          <w:lang w:val="ro-RO"/>
        </w:rPr>
        <w:t xml:space="preserve">sunt impozitate </w:t>
      </w:r>
      <w:r w:rsidR="00701406" w:rsidRPr="00834B27">
        <w:rPr>
          <w:rFonts w:ascii="Calibri" w:hAnsi="Calibri" w:cs="Calibri"/>
          <w:lang w:val="ro-RO"/>
        </w:rPr>
        <w:t>câștigurile</w:t>
      </w:r>
      <w:r w:rsidR="004C68CF" w:rsidRPr="00834B27">
        <w:rPr>
          <w:rFonts w:ascii="Calibri" w:hAnsi="Calibri" w:cs="Calibri"/>
          <w:lang w:val="ro-RO"/>
        </w:rPr>
        <w:t xml:space="preserve">, </w:t>
      </w:r>
      <w:r w:rsidR="00701406" w:rsidRPr="00834B27">
        <w:rPr>
          <w:rFonts w:ascii="Calibri" w:hAnsi="Calibri" w:cs="Calibri"/>
          <w:lang w:val="ro-RO"/>
        </w:rPr>
        <w:t>fără</w:t>
      </w:r>
      <w:r w:rsidR="004C68CF" w:rsidRPr="00834B27">
        <w:rPr>
          <w:rFonts w:ascii="Calibri" w:hAnsi="Calibri" w:cs="Calibri"/>
          <w:lang w:val="ro-RO"/>
        </w:rPr>
        <w:t xml:space="preserve"> a se </w:t>
      </w:r>
      <w:r w:rsidR="004244A3" w:rsidRPr="00834B27">
        <w:rPr>
          <w:rFonts w:ascii="Calibri" w:hAnsi="Calibri" w:cs="Calibri"/>
          <w:lang w:val="ro-RO"/>
        </w:rPr>
        <w:t>ț</w:t>
      </w:r>
      <w:r w:rsidR="004C68CF" w:rsidRPr="00834B27">
        <w:rPr>
          <w:rFonts w:ascii="Calibri" w:hAnsi="Calibri" w:cs="Calibri"/>
          <w:lang w:val="ro-RO"/>
        </w:rPr>
        <w:t xml:space="preserve">ine cont de pierderi), pe </w:t>
      </w:r>
      <w:r w:rsidR="00701406" w:rsidRPr="00834B27">
        <w:rPr>
          <w:rFonts w:ascii="Calibri" w:hAnsi="Calibri" w:cs="Calibri"/>
          <w:lang w:val="ro-RO"/>
        </w:rPr>
        <w:t>atât</w:t>
      </w:r>
      <w:r w:rsidR="004C68CF" w:rsidRPr="00834B27">
        <w:rPr>
          <w:rFonts w:ascii="Calibri" w:hAnsi="Calibri" w:cs="Calibri"/>
          <w:lang w:val="ro-RO"/>
        </w:rPr>
        <w:t xml:space="preserve"> de ineficient (conformare infim</w:t>
      </w:r>
      <w:r w:rsidR="00701406" w:rsidRPr="00834B27">
        <w:rPr>
          <w:rFonts w:ascii="Calibri" w:hAnsi="Calibri" w:cs="Calibri"/>
          <w:lang w:val="ro-RO"/>
        </w:rPr>
        <w:t>ă</w:t>
      </w:r>
      <w:r w:rsidR="005D1343" w:rsidRPr="00834B27">
        <w:rPr>
          <w:rFonts w:ascii="Calibri" w:hAnsi="Calibri" w:cs="Calibri"/>
          <w:lang w:val="ro-RO"/>
        </w:rPr>
        <w:t xml:space="preserve"> dac</w:t>
      </w:r>
      <w:r w:rsidR="00701406" w:rsidRPr="00834B27">
        <w:rPr>
          <w:rFonts w:ascii="Calibri" w:hAnsi="Calibri" w:cs="Calibri"/>
          <w:lang w:val="ro-RO"/>
        </w:rPr>
        <w:t>ă</w:t>
      </w:r>
      <w:r w:rsidR="005D1343" w:rsidRPr="00834B27">
        <w:rPr>
          <w:rFonts w:ascii="Calibri" w:hAnsi="Calibri" w:cs="Calibri"/>
          <w:lang w:val="ro-RO"/>
        </w:rPr>
        <w:t xml:space="preserve"> avem </w:t>
      </w:r>
      <w:r w:rsidR="00701406" w:rsidRPr="00834B27">
        <w:rPr>
          <w:rFonts w:ascii="Calibri" w:hAnsi="Calibri" w:cs="Calibri"/>
          <w:lang w:val="ro-RO"/>
        </w:rPr>
        <w:t>î</w:t>
      </w:r>
      <w:r w:rsidR="005D1343" w:rsidRPr="00834B27">
        <w:rPr>
          <w:rFonts w:ascii="Calibri" w:hAnsi="Calibri" w:cs="Calibri"/>
          <w:lang w:val="ro-RO"/>
        </w:rPr>
        <w:t>n vedere c</w:t>
      </w:r>
      <w:r w:rsidR="00701406" w:rsidRPr="00834B27">
        <w:rPr>
          <w:rFonts w:ascii="Calibri" w:hAnsi="Calibri" w:cs="Calibri"/>
          <w:lang w:val="ro-RO"/>
        </w:rPr>
        <w:t>ă</w:t>
      </w:r>
      <w:r w:rsidR="00755ED1" w:rsidRPr="00834B27">
        <w:rPr>
          <w:rFonts w:ascii="Calibri" w:hAnsi="Calibri" w:cs="Calibri"/>
          <w:lang w:val="ro-RO"/>
        </w:rPr>
        <w:t xml:space="preserve"> </w:t>
      </w:r>
      <w:r w:rsidR="00E02DEF" w:rsidRPr="00834B27">
        <w:rPr>
          <w:rFonts w:ascii="Calibri" w:hAnsi="Calibri" w:cs="Calibri"/>
          <w:lang w:val="ro-RO"/>
        </w:rPr>
        <w:t xml:space="preserve">impozitul pe venit bugetat pentru toate veniturile din alte surse a fost bugetat la doar </w:t>
      </w:r>
      <w:r w:rsidR="00047492" w:rsidRPr="00834B27">
        <w:rPr>
          <w:rFonts w:ascii="Calibri" w:hAnsi="Calibri" w:cs="Calibri"/>
          <w:lang w:val="ro-RO"/>
        </w:rPr>
        <w:t xml:space="preserve">291 milioane lei, </w:t>
      </w:r>
      <w:r w:rsidR="004244A3" w:rsidRPr="00834B27">
        <w:rPr>
          <w:rFonts w:ascii="Calibri" w:hAnsi="Calibri" w:cs="Calibri"/>
          <w:lang w:val="ro-RO"/>
        </w:rPr>
        <w:t>î</w:t>
      </w:r>
      <w:r w:rsidR="00047492" w:rsidRPr="00834B27">
        <w:rPr>
          <w:rFonts w:ascii="Calibri" w:hAnsi="Calibri" w:cs="Calibri"/>
          <w:lang w:val="ro-RO"/>
        </w:rPr>
        <w:t>n 2025</w:t>
      </w:r>
      <w:r w:rsidR="001064AD" w:rsidRPr="00834B27">
        <w:rPr>
          <w:rFonts w:ascii="Calibri" w:hAnsi="Calibri" w:cs="Calibri"/>
          <w:lang w:val="ro-RO"/>
        </w:rPr>
        <w:t>).</w:t>
      </w:r>
      <w:r w:rsidR="00C61218" w:rsidRPr="00834B27">
        <w:rPr>
          <w:rStyle w:val="Referinnotdesubsol"/>
          <w:rFonts w:ascii="Calibri" w:hAnsi="Calibri" w:cs="Calibri"/>
          <w:lang w:val="ro-RO"/>
        </w:rPr>
        <w:footnoteReference w:id="29"/>
      </w:r>
    </w:p>
    <w:p w14:paraId="7501972C" w14:textId="77777777" w:rsidR="0083328B" w:rsidRPr="00834B27" w:rsidRDefault="0083328B" w:rsidP="00B644D8">
      <w:pPr>
        <w:tabs>
          <w:tab w:val="left" w:pos="720"/>
        </w:tabs>
        <w:spacing w:line="276" w:lineRule="auto"/>
        <w:jc w:val="both"/>
        <w:rPr>
          <w:rFonts w:ascii="Calibri" w:hAnsi="Calibri" w:cs="Calibri"/>
          <w:lang w:val="ro-RO"/>
        </w:rPr>
      </w:pPr>
    </w:p>
    <w:p w14:paraId="6EDAFC7E" w14:textId="066EB003" w:rsidR="00F87CBF" w:rsidRPr="00834B27" w:rsidRDefault="007F5830" w:rsidP="00B43347">
      <w:pPr>
        <w:pStyle w:val="Listparagraf"/>
        <w:keepNext/>
        <w:numPr>
          <w:ilvl w:val="6"/>
          <w:numId w:val="23"/>
        </w:numPr>
        <w:spacing w:line="276" w:lineRule="auto"/>
        <w:ind w:left="1260" w:hanging="540"/>
        <w:jc w:val="both"/>
        <w:rPr>
          <w:rFonts w:ascii="Calibri" w:hAnsi="Calibri" w:cs="Calibri"/>
          <w:b/>
          <w:bCs/>
          <w:lang w:val="ro-RO"/>
        </w:rPr>
      </w:pPr>
      <w:r w:rsidRPr="00834B27">
        <w:rPr>
          <w:rFonts w:ascii="Calibri" w:hAnsi="Calibri" w:cs="Calibri"/>
          <w:b/>
          <w:bCs/>
          <w:lang w:val="ro-RO"/>
        </w:rPr>
        <w:t>Veniturile din pensii</w:t>
      </w:r>
    </w:p>
    <w:p w14:paraId="4641281F" w14:textId="0BD42717" w:rsidR="007F5830" w:rsidRPr="00834B27" w:rsidRDefault="007F5830" w:rsidP="007D74B1">
      <w:pPr>
        <w:tabs>
          <w:tab w:val="left" w:pos="720"/>
        </w:tabs>
        <w:spacing w:line="276" w:lineRule="auto"/>
        <w:jc w:val="both"/>
        <w:rPr>
          <w:rFonts w:ascii="Calibri" w:hAnsi="Calibri" w:cs="Calibri"/>
          <w:lang w:val="ro-RO"/>
        </w:rPr>
      </w:pPr>
      <w:r w:rsidRPr="00834B27">
        <w:rPr>
          <w:rFonts w:ascii="Calibri" w:hAnsi="Calibri" w:cs="Calibri"/>
          <w:lang w:val="ro-RO"/>
        </w:rPr>
        <w:t xml:space="preserve">Veniturile din pensii </w:t>
      </w:r>
      <w:r w:rsidR="00701406" w:rsidRPr="00834B27">
        <w:rPr>
          <w:rFonts w:ascii="Calibri" w:hAnsi="Calibri" w:cs="Calibri"/>
          <w:lang w:val="ro-RO"/>
        </w:rPr>
        <w:t>reprezintă</w:t>
      </w:r>
      <w:r w:rsidRPr="00834B27">
        <w:rPr>
          <w:rFonts w:ascii="Calibri" w:hAnsi="Calibri" w:cs="Calibri"/>
          <w:lang w:val="ro-RO"/>
        </w:rPr>
        <w:t xml:space="preserve"> un venit de </w:t>
      </w:r>
      <w:r w:rsidR="00701406" w:rsidRPr="00834B27">
        <w:rPr>
          <w:rFonts w:ascii="Calibri" w:hAnsi="Calibri" w:cs="Calibri"/>
          <w:lang w:val="ro-RO"/>
        </w:rPr>
        <w:t>înlocuire</w:t>
      </w:r>
      <w:r w:rsidR="001C6370" w:rsidRPr="00834B27">
        <w:rPr>
          <w:rFonts w:ascii="Calibri" w:hAnsi="Calibri" w:cs="Calibri"/>
          <w:lang w:val="ro-RO"/>
        </w:rPr>
        <w:t xml:space="preserve">, </w:t>
      </w:r>
      <w:r w:rsidR="00701406" w:rsidRPr="00834B27">
        <w:rPr>
          <w:rFonts w:ascii="Calibri" w:hAnsi="Calibri" w:cs="Calibri"/>
          <w:lang w:val="ro-RO"/>
        </w:rPr>
        <w:t>ob</w:t>
      </w:r>
      <w:r w:rsidR="00D77C4B" w:rsidRPr="00834B27">
        <w:rPr>
          <w:rFonts w:ascii="Calibri" w:hAnsi="Calibri" w:cs="Calibri"/>
          <w:lang w:val="ro-RO"/>
        </w:rPr>
        <w:t>ț</w:t>
      </w:r>
      <w:r w:rsidR="00701406" w:rsidRPr="00834B27">
        <w:rPr>
          <w:rFonts w:ascii="Calibri" w:hAnsi="Calibri" w:cs="Calibri"/>
          <w:lang w:val="ro-RO"/>
        </w:rPr>
        <w:t>inut</w:t>
      </w:r>
      <w:r w:rsidR="001C6370" w:rsidRPr="00834B27">
        <w:rPr>
          <w:rFonts w:ascii="Calibri" w:hAnsi="Calibri" w:cs="Calibri"/>
          <w:lang w:val="ro-RO"/>
        </w:rPr>
        <w:t xml:space="preserve"> </w:t>
      </w:r>
      <w:r w:rsidR="00EC4C30" w:rsidRPr="00834B27">
        <w:rPr>
          <w:rFonts w:ascii="Calibri" w:hAnsi="Calibri" w:cs="Calibri"/>
          <w:lang w:val="ro-RO"/>
        </w:rPr>
        <w:t xml:space="preserve">ca </w:t>
      </w:r>
      <w:r w:rsidR="001C6370" w:rsidRPr="00834B27">
        <w:rPr>
          <w:rFonts w:ascii="Calibri" w:hAnsi="Calibri" w:cs="Calibri"/>
          <w:lang w:val="ro-RO"/>
        </w:rPr>
        <w:t xml:space="preserve">urmare a </w:t>
      </w:r>
      <w:r w:rsidR="00701406" w:rsidRPr="00834B27">
        <w:rPr>
          <w:rFonts w:ascii="Calibri" w:hAnsi="Calibri" w:cs="Calibri"/>
          <w:lang w:val="ro-RO"/>
        </w:rPr>
        <w:t>plă</w:t>
      </w:r>
      <w:r w:rsidR="00D77C4B" w:rsidRPr="00834B27">
        <w:rPr>
          <w:rFonts w:ascii="Calibri" w:hAnsi="Calibri" w:cs="Calibri"/>
          <w:lang w:val="ro-RO"/>
        </w:rPr>
        <w:t>ț</w:t>
      </w:r>
      <w:r w:rsidR="00701406" w:rsidRPr="00834B27">
        <w:rPr>
          <w:rFonts w:ascii="Calibri" w:hAnsi="Calibri" w:cs="Calibri"/>
          <w:lang w:val="ro-RO"/>
        </w:rPr>
        <w:t>ii</w:t>
      </w:r>
      <w:r w:rsidR="001C6370" w:rsidRPr="00834B27">
        <w:rPr>
          <w:rFonts w:ascii="Calibri" w:hAnsi="Calibri" w:cs="Calibri"/>
          <w:lang w:val="ro-RO"/>
        </w:rPr>
        <w:t xml:space="preserve"> CAS </w:t>
      </w:r>
      <w:r w:rsidR="00B14C8E" w:rsidRPr="00834B27">
        <w:rPr>
          <w:rFonts w:ascii="Calibri" w:hAnsi="Calibri" w:cs="Calibri"/>
          <w:lang w:val="ro-RO"/>
        </w:rPr>
        <w:t xml:space="preserve">pe durata </w:t>
      </w:r>
      <w:r w:rsidR="00701406" w:rsidRPr="00834B27">
        <w:rPr>
          <w:rFonts w:ascii="Calibri" w:hAnsi="Calibri" w:cs="Calibri"/>
          <w:lang w:val="ro-RO"/>
        </w:rPr>
        <w:t>vie</w:t>
      </w:r>
      <w:r w:rsidR="00D77C4B" w:rsidRPr="00834B27">
        <w:rPr>
          <w:rFonts w:ascii="Calibri" w:hAnsi="Calibri" w:cs="Calibri"/>
          <w:lang w:val="ro-RO"/>
        </w:rPr>
        <w:t>ț</w:t>
      </w:r>
      <w:r w:rsidR="00701406" w:rsidRPr="00834B27">
        <w:rPr>
          <w:rFonts w:ascii="Calibri" w:hAnsi="Calibri" w:cs="Calibri"/>
          <w:lang w:val="ro-RO"/>
        </w:rPr>
        <w:t>ii</w:t>
      </w:r>
      <w:r w:rsidR="00B14C8E" w:rsidRPr="00834B27">
        <w:rPr>
          <w:rFonts w:ascii="Calibri" w:hAnsi="Calibri" w:cs="Calibri"/>
          <w:lang w:val="ro-RO"/>
        </w:rPr>
        <w:t xml:space="preserve"> active. Trebuie s</w:t>
      </w:r>
      <w:r w:rsidR="00701406" w:rsidRPr="00834B27">
        <w:rPr>
          <w:rFonts w:ascii="Calibri" w:hAnsi="Calibri" w:cs="Calibri"/>
          <w:lang w:val="ro-RO"/>
        </w:rPr>
        <w:t>ă</w:t>
      </w:r>
      <w:r w:rsidR="00B14C8E" w:rsidRPr="00834B27">
        <w:rPr>
          <w:rFonts w:ascii="Calibri" w:hAnsi="Calibri" w:cs="Calibri"/>
          <w:lang w:val="ro-RO"/>
        </w:rPr>
        <w:t xml:space="preserve"> </w:t>
      </w:r>
      <w:r w:rsidR="00D77C4B" w:rsidRPr="00834B27">
        <w:rPr>
          <w:rFonts w:ascii="Calibri" w:hAnsi="Calibri" w:cs="Calibri"/>
          <w:lang w:val="ro-RO"/>
        </w:rPr>
        <w:t>ț</w:t>
      </w:r>
      <w:r w:rsidR="00701406" w:rsidRPr="00834B27">
        <w:rPr>
          <w:rFonts w:ascii="Calibri" w:hAnsi="Calibri" w:cs="Calibri"/>
          <w:lang w:val="ro-RO"/>
        </w:rPr>
        <w:t>inem</w:t>
      </w:r>
      <w:r w:rsidR="00B14C8E" w:rsidRPr="00834B27">
        <w:rPr>
          <w:rFonts w:ascii="Calibri" w:hAnsi="Calibri" w:cs="Calibri"/>
          <w:lang w:val="ro-RO"/>
        </w:rPr>
        <w:t xml:space="preserve"> cont c</w:t>
      </w:r>
      <w:r w:rsidR="00701406" w:rsidRPr="00834B27">
        <w:rPr>
          <w:rFonts w:ascii="Calibri" w:hAnsi="Calibri" w:cs="Calibri"/>
          <w:lang w:val="ro-RO"/>
        </w:rPr>
        <w:t>ă</w:t>
      </w:r>
      <w:r w:rsidR="00B14C8E" w:rsidRPr="00834B27">
        <w:rPr>
          <w:rFonts w:ascii="Calibri" w:hAnsi="Calibri" w:cs="Calibri"/>
          <w:lang w:val="ro-RO"/>
        </w:rPr>
        <w:t xml:space="preserve"> CAS </w:t>
      </w:r>
      <w:r w:rsidR="00E6649F" w:rsidRPr="00834B27">
        <w:rPr>
          <w:rFonts w:ascii="Calibri" w:hAnsi="Calibri" w:cs="Calibri"/>
          <w:lang w:val="ro-RO"/>
        </w:rPr>
        <w:t xml:space="preserve">(sursa de </w:t>
      </w:r>
      <w:r w:rsidR="00701406" w:rsidRPr="00834B27">
        <w:rPr>
          <w:rFonts w:ascii="Calibri" w:hAnsi="Calibri" w:cs="Calibri"/>
          <w:lang w:val="ro-RO"/>
        </w:rPr>
        <w:t>finan</w:t>
      </w:r>
      <w:r w:rsidR="00D77C4B" w:rsidRPr="00834B27">
        <w:rPr>
          <w:rFonts w:ascii="Calibri" w:hAnsi="Calibri" w:cs="Calibri"/>
          <w:lang w:val="ro-RO"/>
        </w:rPr>
        <w:t>ț</w:t>
      </w:r>
      <w:r w:rsidR="00701406" w:rsidRPr="00834B27">
        <w:rPr>
          <w:rFonts w:ascii="Calibri" w:hAnsi="Calibri" w:cs="Calibri"/>
          <w:lang w:val="ro-RO"/>
        </w:rPr>
        <w:t>are</w:t>
      </w:r>
      <w:r w:rsidR="00E6649F" w:rsidRPr="00834B27">
        <w:rPr>
          <w:rFonts w:ascii="Calibri" w:hAnsi="Calibri" w:cs="Calibri"/>
          <w:lang w:val="ro-RO"/>
        </w:rPr>
        <w:t xml:space="preserve"> a pensiei) </w:t>
      </w:r>
      <w:r w:rsidR="00B14C8E" w:rsidRPr="00834B27">
        <w:rPr>
          <w:rFonts w:ascii="Calibri" w:hAnsi="Calibri" w:cs="Calibri"/>
          <w:lang w:val="ro-RO"/>
        </w:rPr>
        <w:t xml:space="preserve">a fost </w:t>
      </w:r>
      <w:r w:rsidR="00701406" w:rsidRPr="00834B27">
        <w:rPr>
          <w:rFonts w:ascii="Calibri" w:hAnsi="Calibri" w:cs="Calibri"/>
          <w:lang w:val="ro-RO"/>
        </w:rPr>
        <w:t>ș</w:t>
      </w:r>
      <w:r w:rsidR="00B14C8E" w:rsidRPr="00834B27">
        <w:rPr>
          <w:rFonts w:ascii="Calibri" w:hAnsi="Calibri" w:cs="Calibri"/>
          <w:lang w:val="ro-RO"/>
        </w:rPr>
        <w:t>i este deductibil</w:t>
      </w:r>
      <w:r w:rsidR="00701406" w:rsidRPr="00834B27">
        <w:rPr>
          <w:rFonts w:ascii="Calibri" w:hAnsi="Calibri" w:cs="Calibri"/>
          <w:lang w:val="ro-RO"/>
        </w:rPr>
        <w:t>ă</w:t>
      </w:r>
      <w:r w:rsidR="00B14C8E" w:rsidRPr="00834B27">
        <w:rPr>
          <w:rFonts w:ascii="Calibri" w:hAnsi="Calibri" w:cs="Calibri"/>
          <w:lang w:val="ro-RO"/>
        </w:rPr>
        <w:t xml:space="preserve"> </w:t>
      </w:r>
      <w:r w:rsidR="00AC6CE3" w:rsidRPr="00834B27">
        <w:rPr>
          <w:rFonts w:ascii="Calibri" w:hAnsi="Calibri" w:cs="Calibri"/>
          <w:lang w:val="ro-RO"/>
        </w:rPr>
        <w:t>la calculul impozitului pe venit, deci CAS nu a fost impozitat</w:t>
      </w:r>
      <w:r w:rsidR="00701406" w:rsidRPr="00834B27">
        <w:rPr>
          <w:rFonts w:ascii="Calibri" w:hAnsi="Calibri" w:cs="Calibri"/>
          <w:lang w:val="ro-RO"/>
        </w:rPr>
        <w:t>ă</w:t>
      </w:r>
      <w:r w:rsidR="0017594A" w:rsidRPr="00834B27">
        <w:rPr>
          <w:rFonts w:ascii="Calibri" w:hAnsi="Calibri" w:cs="Calibri"/>
          <w:lang w:val="ro-RO"/>
        </w:rPr>
        <w:t xml:space="preserve"> la momentul </w:t>
      </w:r>
      <w:r w:rsidR="00701406" w:rsidRPr="00834B27">
        <w:rPr>
          <w:rFonts w:ascii="Calibri" w:hAnsi="Calibri" w:cs="Calibri"/>
          <w:lang w:val="ro-RO"/>
        </w:rPr>
        <w:t>plă</w:t>
      </w:r>
      <w:r w:rsidR="00D77C4B" w:rsidRPr="00834B27">
        <w:rPr>
          <w:rFonts w:ascii="Calibri" w:hAnsi="Calibri" w:cs="Calibri"/>
          <w:lang w:val="ro-RO"/>
        </w:rPr>
        <w:t>ț</w:t>
      </w:r>
      <w:r w:rsidR="00701406" w:rsidRPr="00834B27">
        <w:rPr>
          <w:rFonts w:ascii="Calibri" w:hAnsi="Calibri" w:cs="Calibri"/>
          <w:lang w:val="ro-RO"/>
        </w:rPr>
        <w:t>ii</w:t>
      </w:r>
      <w:r w:rsidR="0017594A" w:rsidRPr="00834B27">
        <w:rPr>
          <w:rFonts w:ascii="Calibri" w:hAnsi="Calibri" w:cs="Calibri"/>
          <w:lang w:val="ro-RO"/>
        </w:rPr>
        <w:t>.</w:t>
      </w:r>
      <w:r w:rsidR="0083328B" w:rsidRPr="00834B27">
        <w:rPr>
          <w:rStyle w:val="Referinnotdesubsol"/>
          <w:rFonts w:ascii="Calibri" w:hAnsi="Calibri" w:cs="Calibri"/>
          <w:lang w:val="ro-RO"/>
        </w:rPr>
        <w:footnoteReference w:id="30"/>
      </w:r>
      <w:r w:rsidR="0017594A" w:rsidRPr="00834B27">
        <w:rPr>
          <w:rFonts w:ascii="Calibri" w:hAnsi="Calibri" w:cs="Calibri"/>
          <w:lang w:val="ro-RO"/>
        </w:rPr>
        <w:t xml:space="preserve"> Drept urmare, consider</w:t>
      </w:r>
      <w:r w:rsidR="00701406" w:rsidRPr="00834B27">
        <w:rPr>
          <w:rFonts w:ascii="Calibri" w:hAnsi="Calibri" w:cs="Calibri"/>
          <w:lang w:val="ro-RO"/>
        </w:rPr>
        <w:t>ă</w:t>
      </w:r>
      <w:r w:rsidR="0017594A" w:rsidRPr="00834B27">
        <w:rPr>
          <w:rFonts w:ascii="Calibri" w:hAnsi="Calibri" w:cs="Calibri"/>
          <w:lang w:val="ro-RO"/>
        </w:rPr>
        <w:t>m pe deplin justificat</w:t>
      </w:r>
      <w:r w:rsidR="00701406" w:rsidRPr="00834B27">
        <w:rPr>
          <w:rFonts w:ascii="Calibri" w:hAnsi="Calibri" w:cs="Calibri"/>
          <w:lang w:val="ro-RO"/>
        </w:rPr>
        <w:t>ă</w:t>
      </w:r>
      <w:r w:rsidR="0017594A" w:rsidRPr="00834B27">
        <w:rPr>
          <w:rFonts w:ascii="Calibri" w:hAnsi="Calibri" w:cs="Calibri"/>
          <w:lang w:val="ro-RO"/>
        </w:rPr>
        <w:t xml:space="preserve"> </w:t>
      </w:r>
      <w:r w:rsidR="00E86FFF" w:rsidRPr="00834B27">
        <w:rPr>
          <w:rFonts w:ascii="Calibri" w:hAnsi="Calibri" w:cs="Calibri"/>
          <w:lang w:val="ro-RO"/>
        </w:rPr>
        <w:t xml:space="preserve">impozitarea pensiilor </w:t>
      </w:r>
      <w:r w:rsidR="00701406" w:rsidRPr="00834B27">
        <w:rPr>
          <w:rFonts w:ascii="Calibri" w:hAnsi="Calibri" w:cs="Calibri"/>
          <w:lang w:val="ro-RO"/>
        </w:rPr>
        <w:t>î</w:t>
      </w:r>
      <w:r w:rsidR="00E86FFF" w:rsidRPr="00834B27">
        <w:rPr>
          <w:rFonts w:ascii="Calibri" w:hAnsi="Calibri" w:cs="Calibri"/>
          <w:lang w:val="ro-RO"/>
        </w:rPr>
        <w:t xml:space="preserve">n </w:t>
      </w:r>
      <w:r w:rsidR="00701406" w:rsidRPr="00834B27">
        <w:rPr>
          <w:rFonts w:ascii="Calibri" w:hAnsi="Calibri" w:cs="Calibri"/>
          <w:lang w:val="ro-RO"/>
        </w:rPr>
        <w:t>aceleași</w:t>
      </w:r>
      <w:r w:rsidR="00E86FFF" w:rsidRPr="00834B27">
        <w:rPr>
          <w:rFonts w:ascii="Calibri" w:hAnsi="Calibri" w:cs="Calibri"/>
          <w:lang w:val="ro-RO"/>
        </w:rPr>
        <w:t xml:space="preserve"> </w:t>
      </w:r>
      <w:r w:rsidR="00701406" w:rsidRPr="00834B27">
        <w:rPr>
          <w:rFonts w:ascii="Calibri" w:hAnsi="Calibri" w:cs="Calibri"/>
          <w:lang w:val="ro-RO"/>
        </w:rPr>
        <w:t>condi</w:t>
      </w:r>
      <w:r w:rsidR="00D77C4B" w:rsidRPr="00834B27">
        <w:rPr>
          <w:rFonts w:ascii="Calibri" w:hAnsi="Calibri" w:cs="Calibri"/>
          <w:lang w:val="ro-RO"/>
        </w:rPr>
        <w:t>ț</w:t>
      </w:r>
      <w:r w:rsidR="00701406" w:rsidRPr="00834B27">
        <w:rPr>
          <w:rFonts w:ascii="Calibri" w:hAnsi="Calibri" w:cs="Calibri"/>
          <w:lang w:val="ro-RO"/>
        </w:rPr>
        <w:t>ii</w:t>
      </w:r>
      <w:r w:rsidR="00E86FFF" w:rsidRPr="00834B27">
        <w:rPr>
          <w:rFonts w:ascii="Calibri" w:hAnsi="Calibri" w:cs="Calibri"/>
          <w:lang w:val="ro-RO"/>
        </w:rPr>
        <w:t xml:space="preserve"> </w:t>
      </w:r>
      <w:r w:rsidR="00701406" w:rsidRPr="00834B27">
        <w:rPr>
          <w:rFonts w:ascii="Calibri" w:hAnsi="Calibri" w:cs="Calibri"/>
          <w:lang w:val="ro-RO"/>
        </w:rPr>
        <w:t>î</w:t>
      </w:r>
      <w:r w:rsidR="00E86FFF" w:rsidRPr="00834B27">
        <w:rPr>
          <w:rFonts w:ascii="Calibri" w:hAnsi="Calibri" w:cs="Calibri"/>
          <w:lang w:val="ro-RO"/>
        </w:rPr>
        <w:t xml:space="preserve">n care a fost impozitat </w:t>
      </w:r>
      <w:r w:rsidR="00102759" w:rsidRPr="00834B27">
        <w:rPr>
          <w:rFonts w:ascii="Calibri" w:hAnsi="Calibri" w:cs="Calibri"/>
          <w:lang w:val="ro-RO"/>
        </w:rPr>
        <w:t>venitul din care a fost achitat</w:t>
      </w:r>
      <w:r w:rsidR="00701406" w:rsidRPr="00834B27">
        <w:rPr>
          <w:rFonts w:ascii="Calibri" w:hAnsi="Calibri" w:cs="Calibri"/>
          <w:lang w:val="ro-RO"/>
        </w:rPr>
        <w:t>ă</w:t>
      </w:r>
      <w:r w:rsidR="00102759" w:rsidRPr="00834B27">
        <w:rPr>
          <w:rFonts w:ascii="Calibri" w:hAnsi="Calibri" w:cs="Calibri"/>
          <w:lang w:val="ro-RO"/>
        </w:rPr>
        <w:t xml:space="preserve"> CAS</w:t>
      </w:r>
      <w:r w:rsidR="00942D84" w:rsidRPr="00834B27">
        <w:rPr>
          <w:rFonts w:ascii="Calibri" w:hAnsi="Calibri" w:cs="Calibri"/>
          <w:lang w:val="ro-RO"/>
        </w:rPr>
        <w:t xml:space="preserve">, inclusiv </w:t>
      </w:r>
      <w:r w:rsidR="00701406" w:rsidRPr="00834B27">
        <w:rPr>
          <w:rFonts w:ascii="Calibri" w:hAnsi="Calibri" w:cs="Calibri"/>
          <w:lang w:val="ro-RO"/>
        </w:rPr>
        <w:t>î</w:t>
      </w:r>
      <w:r w:rsidR="00942D84" w:rsidRPr="00834B27">
        <w:rPr>
          <w:rFonts w:ascii="Calibri" w:hAnsi="Calibri" w:cs="Calibri"/>
          <w:lang w:val="ro-RO"/>
        </w:rPr>
        <w:t xml:space="preserve">n ceea ce </w:t>
      </w:r>
      <w:r w:rsidR="00701406" w:rsidRPr="00834B27">
        <w:rPr>
          <w:rFonts w:ascii="Calibri" w:hAnsi="Calibri" w:cs="Calibri"/>
          <w:lang w:val="ro-RO"/>
        </w:rPr>
        <w:t>privește</w:t>
      </w:r>
      <w:r w:rsidR="00942D84" w:rsidRPr="00834B27">
        <w:rPr>
          <w:rFonts w:ascii="Calibri" w:hAnsi="Calibri" w:cs="Calibri"/>
          <w:lang w:val="ro-RO"/>
        </w:rPr>
        <w:t xml:space="preserve"> plata CASS.</w:t>
      </w:r>
    </w:p>
    <w:p w14:paraId="03522912" w14:textId="77777777" w:rsidR="0027457E" w:rsidRPr="00834B27" w:rsidRDefault="00701406" w:rsidP="0027457E">
      <w:pPr>
        <w:pStyle w:val="font-claude-response-body"/>
        <w:spacing w:line="276" w:lineRule="auto"/>
        <w:jc w:val="both"/>
        <w:rPr>
          <w:rFonts w:ascii="Calibri" w:hAnsi="Calibri" w:cs="Calibri"/>
          <w:lang w:val="ro-RO"/>
        </w:rPr>
      </w:pPr>
      <w:r w:rsidRPr="00834B27">
        <w:rPr>
          <w:rFonts w:ascii="Calibri" w:hAnsi="Calibri" w:cs="Calibri"/>
          <w:lang w:val="ro-RO"/>
        </w:rPr>
        <w:t>Î</w:t>
      </w:r>
      <w:r w:rsidR="00553B54" w:rsidRPr="00834B27">
        <w:rPr>
          <w:rFonts w:ascii="Calibri" w:hAnsi="Calibri" w:cs="Calibri"/>
          <w:lang w:val="ro-RO"/>
        </w:rPr>
        <w:t xml:space="preserve">n </w:t>
      </w:r>
      <w:r w:rsidRPr="00834B27">
        <w:rPr>
          <w:rFonts w:ascii="Calibri" w:hAnsi="Calibri" w:cs="Calibri"/>
          <w:lang w:val="ro-RO"/>
        </w:rPr>
        <w:t>consecin</w:t>
      </w:r>
      <w:r w:rsidR="00D77C4B" w:rsidRPr="00834B27">
        <w:rPr>
          <w:rFonts w:ascii="Calibri" w:hAnsi="Calibri" w:cs="Calibri"/>
          <w:lang w:val="ro-RO"/>
        </w:rPr>
        <w:t>ț</w:t>
      </w:r>
      <w:r w:rsidRPr="00834B27">
        <w:rPr>
          <w:rFonts w:ascii="Calibri" w:hAnsi="Calibri" w:cs="Calibri"/>
          <w:lang w:val="ro-RO"/>
        </w:rPr>
        <w:t>ă</w:t>
      </w:r>
      <w:r w:rsidR="00553B54" w:rsidRPr="00834B27">
        <w:rPr>
          <w:rFonts w:ascii="Calibri" w:hAnsi="Calibri" w:cs="Calibri"/>
          <w:lang w:val="ro-RO"/>
        </w:rPr>
        <w:t>, consider</w:t>
      </w:r>
      <w:r w:rsidRPr="00834B27">
        <w:rPr>
          <w:rFonts w:ascii="Calibri" w:hAnsi="Calibri" w:cs="Calibri"/>
          <w:lang w:val="ro-RO"/>
        </w:rPr>
        <w:t>ă</w:t>
      </w:r>
      <w:r w:rsidR="00553B54" w:rsidRPr="00834B27">
        <w:rPr>
          <w:rFonts w:ascii="Calibri" w:hAnsi="Calibri" w:cs="Calibri"/>
          <w:lang w:val="ro-RO"/>
        </w:rPr>
        <w:t>m c</w:t>
      </w:r>
      <w:r w:rsidRPr="00834B27">
        <w:rPr>
          <w:rFonts w:ascii="Calibri" w:hAnsi="Calibri" w:cs="Calibri"/>
          <w:lang w:val="ro-RO"/>
        </w:rPr>
        <w:t>ă –</w:t>
      </w:r>
      <w:r w:rsidR="00553B54" w:rsidRPr="00834B27">
        <w:rPr>
          <w:rFonts w:ascii="Calibri" w:hAnsi="Calibri" w:cs="Calibri"/>
          <w:lang w:val="ro-RO"/>
        </w:rPr>
        <w:t xml:space="preserve"> </w:t>
      </w:r>
      <w:r w:rsidRPr="00834B27">
        <w:rPr>
          <w:rFonts w:ascii="Calibri" w:hAnsi="Calibri" w:cs="Calibri"/>
          <w:lang w:val="ro-RO"/>
        </w:rPr>
        <w:t>î</w:t>
      </w:r>
      <w:r w:rsidR="00553B54" w:rsidRPr="00834B27">
        <w:rPr>
          <w:rFonts w:ascii="Calibri" w:hAnsi="Calibri" w:cs="Calibri"/>
          <w:lang w:val="ro-RO"/>
        </w:rPr>
        <w:t>n</w:t>
      </w:r>
      <w:r w:rsidRPr="00834B27">
        <w:rPr>
          <w:rFonts w:ascii="Calibri" w:hAnsi="Calibri" w:cs="Calibri"/>
          <w:lang w:val="ro-RO"/>
        </w:rPr>
        <w:t xml:space="preserve"> </w:t>
      </w:r>
      <w:r w:rsidR="00553B54" w:rsidRPr="00834B27">
        <w:rPr>
          <w:rFonts w:ascii="Calibri" w:hAnsi="Calibri" w:cs="Calibri"/>
          <w:lang w:val="ro-RO"/>
        </w:rPr>
        <w:t xml:space="preserve">ceea ce </w:t>
      </w:r>
      <w:r w:rsidRPr="00834B27">
        <w:rPr>
          <w:rFonts w:ascii="Calibri" w:hAnsi="Calibri" w:cs="Calibri"/>
          <w:lang w:val="ro-RO"/>
        </w:rPr>
        <w:t>privește</w:t>
      </w:r>
      <w:r w:rsidR="00553B54" w:rsidRPr="00834B27">
        <w:rPr>
          <w:rFonts w:ascii="Calibri" w:hAnsi="Calibri" w:cs="Calibri"/>
          <w:lang w:val="ro-RO"/>
        </w:rPr>
        <w:t xml:space="preserve"> baza de calcul al CASS, </w:t>
      </w:r>
      <w:r w:rsidR="00505209" w:rsidRPr="00834B27">
        <w:rPr>
          <w:rFonts w:ascii="Calibri" w:hAnsi="Calibri" w:cs="Calibri"/>
          <w:lang w:val="ro-RO"/>
        </w:rPr>
        <w:t xml:space="preserve">plata CASS doar pentru partea din pensie ce </w:t>
      </w:r>
      <w:r w:rsidRPr="00834B27">
        <w:rPr>
          <w:rFonts w:ascii="Calibri" w:hAnsi="Calibri" w:cs="Calibri"/>
          <w:lang w:val="ro-RO"/>
        </w:rPr>
        <w:t>depășește</w:t>
      </w:r>
      <w:r w:rsidR="00505209" w:rsidRPr="00834B27">
        <w:rPr>
          <w:rFonts w:ascii="Calibri" w:hAnsi="Calibri" w:cs="Calibri"/>
          <w:lang w:val="ro-RO"/>
        </w:rPr>
        <w:t xml:space="preserve"> 3.000 lei/lun</w:t>
      </w:r>
      <w:r w:rsidRPr="00834B27">
        <w:rPr>
          <w:rFonts w:ascii="Calibri" w:hAnsi="Calibri" w:cs="Calibri"/>
          <w:lang w:val="ro-RO"/>
        </w:rPr>
        <w:t>ă</w:t>
      </w:r>
      <w:r w:rsidR="00505209" w:rsidRPr="00834B27">
        <w:rPr>
          <w:rFonts w:ascii="Calibri" w:hAnsi="Calibri" w:cs="Calibri"/>
          <w:lang w:val="ro-RO"/>
        </w:rPr>
        <w:t xml:space="preserve"> nu este justific</w:t>
      </w:r>
      <w:r w:rsidR="00EC03AD" w:rsidRPr="00834B27">
        <w:rPr>
          <w:rFonts w:ascii="Calibri" w:hAnsi="Calibri" w:cs="Calibri"/>
          <w:lang w:val="ro-RO"/>
        </w:rPr>
        <w:t>at</w:t>
      </w:r>
      <w:r w:rsidRPr="00834B27">
        <w:rPr>
          <w:rFonts w:ascii="Calibri" w:hAnsi="Calibri" w:cs="Calibri"/>
          <w:lang w:val="ro-RO"/>
        </w:rPr>
        <w:t>ă</w:t>
      </w:r>
      <w:r w:rsidR="00EC03AD" w:rsidRPr="00834B27">
        <w:rPr>
          <w:rFonts w:ascii="Calibri" w:hAnsi="Calibri" w:cs="Calibri"/>
          <w:lang w:val="ro-RO"/>
        </w:rPr>
        <w:t xml:space="preserve"> nici economic, nici moral, deci propunem eliminarea acestui prag</w:t>
      </w:r>
      <w:r w:rsidR="00E6649F" w:rsidRPr="00834B27">
        <w:rPr>
          <w:rFonts w:ascii="Calibri" w:hAnsi="Calibri" w:cs="Calibri"/>
          <w:lang w:val="ro-RO"/>
        </w:rPr>
        <w:t xml:space="preserve"> </w:t>
      </w:r>
      <w:r w:rsidRPr="00834B27">
        <w:rPr>
          <w:rFonts w:ascii="Calibri" w:hAnsi="Calibri" w:cs="Calibri"/>
          <w:lang w:val="ro-RO"/>
        </w:rPr>
        <w:t>ș</w:t>
      </w:r>
      <w:r w:rsidR="00E6649F" w:rsidRPr="00834B27">
        <w:rPr>
          <w:rFonts w:ascii="Calibri" w:hAnsi="Calibri" w:cs="Calibri"/>
          <w:lang w:val="ro-RO"/>
        </w:rPr>
        <w:t xml:space="preserve">i </w:t>
      </w:r>
      <w:r w:rsidRPr="00834B27">
        <w:rPr>
          <w:rFonts w:ascii="Calibri" w:hAnsi="Calibri" w:cs="Calibri"/>
          <w:lang w:val="ro-RO"/>
        </w:rPr>
        <w:t>înlocuirea</w:t>
      </w:r>
      <w:r w:rsidR="00C85656" w:rsidRPr="00834B27">
        <w:rPr>
          <w:rFonts w:ascii="Calibri" w:hAnsi="Calibri" w:cs="Calibri"/>
          <w:lang w:val="ro-RO"/>
        </w:rPr>
        <w:t xml:space="preserve"> sumei fixe de 3.000 lei cu deducerea degresiv</w:t>
      </w:r>
      <w:r w:rsidRPr="00834B27">
        <w:rPr>
          <w:rFonts w:ascii="Calibri" w:hAnsi="Calibri" w:cs="Calibri"/>
          <w:lang w:val="ro-RO"/>
        </w:rPr>
        <w:t>ă</w:t>
      </w:r>
      <w:r w:rsidR="00C85656" w:rsidRPr="00834B27">
        <w:rPr>
          <w:rFonts w:ascii="Calibri" w:hAnsi="Calibri" w:cs="Calibri"/>
          <w:lang w:val="ro-RO"/>
        </w:rPr>
        <w:t xml:space="preserve"> </w:t>
      </w:r>
      <w:r w:rsidR="00506E42" w:rsidRPr="00834B27">
        <w:rPr>
          <w:rFonts w:ascii="Calibri" w:hAnsi="Calibri" w:cs="Calibri"/>
          <w:lang w:val="ro-RO"/>
        </w:rPr>
        <w:t>luat</w:t>
      </w:r>
      <w:r w:rsidRPr="00834B27">
        <w:rPr>
          <w:rFonts w:ascii="Calibri" w:hAnsi="Calibri" w:cs="Calibri"/>
          <w:lang w:val="ro-RO"/>
        </w:rPr>
        <w:t>ă</w:t>
      </w:r>
      <w:r w:rsidR="00506E42" w:rsidRPr="00834B27">
        <w:rPr>
          <w:rFonts w:ascii="Calibri" w:hAnsi="Calibri" w:cs="Calibri"/>
          <w:lang w:val="ro-RO"/>
        </w:rPr>
        <w:t xml:space="preserve"> </w:t>
      </w:r>
      <w:r w:rsidRPr="00834B27">
        <w:rPr>
          <w:rFonts w:ascii="Calibri" w:hAnsi="Calibri" w:cs="Calibri"/>
          <w:lang w:val="ro-RO"/>
        </w:rPr>
        <w:t>î</w:t>
      </w:r>
      <w:r w:rsidR="00506E42" w:rsidRPr="00834B27">
        <w:rPr>
          <w:rFonts w:ascii="Calibri" w:hAnsi="Calibri" w:cs="Calibri"/>
          <w:lang w:val="ro-RO"/>
        </w:rPr>
        <w:t>n calcul la stabilirea impozitului pe salariu</w:t>
      </w:r>
      <w:r w:rsidR="00C047AF" w:rsidRPr="00834B27">
        <w:rPr>
          <w:rFonts w:ascii="Calibri" w:hAnsi="Calibri" w:cs="Calibri"/>
          <w:lang w:val="ro-RO"/>
        </w:rPr>
        <w:t xml:space="preserve">. </w:t>
      </w:r>
      <w:r w:rsidR="0027457E" w:rsidRPr="00834B27">
        <w:rPr>
          <w:rFonts w:ascii="Calibri" w:hAnsi="Calibri" w:cs="Calibri"/>
          <w:lang w:val="ro-RO"/>
        </w:rPr>
        <w:t>Ceea ce propunem nu este „introducerea" impozitării pensiilor, ci înlocuirea unui prag fix arbitrar cu o deducere degresivă care protejează mai bine pensiile mici.</w:t>
      </w:r>
    </w:p>
    <w:p w14:paraId="144A48E2" w14:textId="31AEBFC4" w:rsidR="00EC03AD" w:rsidRPr="00834B27" w:rsidRDefault="00EC03AD" w:rsidP="0027457E">
      <w:pPr>
        <w:tabs>
          <w:tab w:val="left" w:pos="720"/>
        </w:tabs>
        <w:spacing w:line="276" w:lineRule="auto"/>
        <w:jc w:val="both"/>
        <w:rPr>
          <w:rFonts w:ascii="Calibri" w:hAnsi="Calibri" w:cs="Calibri"/>
          <w:lang w:val="ro-RO"/>
        </w:rPr>
      </w:pPr>
      <w:r w:rsidRPr="00834B27">
        <w:rPr>
          <w:rFonts w:ascii="Calibri" w:hAnsi="Calibri" w:cs="Calibri"/>
          <w:lang w:val="ro-RO"/>
        </w:rPr>
        <w:t>Aceast</w:t>
      </w:r>
      <w:r w:rsidR="00701406" w:rsidRPr="00834B27">
        <w:rPr>
          <w:rFonts w:ascii="Calibri" w:hAnsi="Calibri" w:cs="Calibri"/>
          <w:lang w:val="ro-RO"/>
        </w:rPr>
        <w:t>ă</w:t>
      </w:r>
      <w:r w:rsidRPr="00834B27">
        <w:rPr>
          <w:rFonts w:ascii="Calibri" w:hAnsi="Calibri" w:cs="Calibri"/>
          <w:lang w:val="ro-RO"/>
        </w:rPr>
        <w:t xml:space="preserve"> propunere se </w:t>
      </w:r>
      <w:r w:rsidR="00701406" w:rsidRPr="00834B27">
        <w:rPr>
          <w:rFonts w:ascii="Calibri" w:hAnsi="Calibri" w:cs="Calibri"/>
          <w:lang w:val="ro-RO"/>
        </w:rPr>
        <w:t>bazează</w:t>
      </w:r>
      <w:r w:rsidRPr="00834B27">
        <w:rPr>
          <w:rFonts w:ascii="Calibri" w:hAnsi="Calibri" w:cs="Calibri"/>
          <w:lang w:val="ro-RO"/>
        </w:rPr>
        <w:t xml:space="preserve"> </w:t>
      </w:r>
      <w:r w:rsidR="00701406" w:rsidRPr="00834B27">
        <w:rPr>
          <w:rFonts w:ascii="Calibri" w:hAnsi="Calibri" w:cs="Calibri"/>
          <w:lang w:val="ro-RO"/>
        </w:rPr>
        <w:t>ș</w:t>
      </w:r>
      <w:r w:rsidRPr="00834B27">
        <w:rPr>
          <w:rFonts w:ascii="Calibri" w:hAnsi="Calibri" w:cs="Calibri"/>
          <w:lang w:val="ro-RO"/>
        </w:rPr>
        <w:t>i pe faptul c</w:t>
      </w:r>
      <w:r w:rsidR="00701406" w:rsidRPr="00834B27">
        <w:rPr>
          <w:rFonts w:ascii="Calibri" w:hAnsi="Calibri" w:cs="Calibri"/>
          <w:lang w:val="ro-RO"/>
        </w:rPr>
        <w:t>ă</w:t>
      </w:r>
      <w:r w:rsidRPr="00834B27">
        <w:rPr>
          <w:rFonts w:ascii="Calibri" w:hAnsi="Calibri" w:cs="Calibri"/>
          <w:lang w:val="ro-RO"/>
        </w:rPr>
        <w:t xml:space="preserve"> CASS </w:t>
      </w:r>
      <w:r w:rsidR="00701406" w:rsidRPr="00834B27">
        <w:rPr>
          <w:rFonts w:ascii="Calibri" w:hAnsi="Calibri" w:cs="Calibri"/>
          <w:lang w:val="ro-RO"/>
        </w:rPr>
        <w:t>reprezintă</w:t>
      </w:r>
      <w:r w:rsidR="00F0598A" w:rsidRPr="00834B27">
        <w:rPr>
          <w:rFonts w:ascii="Calibri" w:hAnsi="Calibri" w:cs="Calibri"/>
          <w:lang w:val="ro-RO"/>
        </w:rPr>
        <w:t xml:space="preserve"> o asigurare de tip </w:t>
      </w:r>
      <w:r w:rsidR="00F0598A" w:rsidRPr="00834B27">
        <w:rPr>
          <w:rFonts w:ascii="Calibri" w:hAnsi="Calibri" w:cs="Calibri"/>
          <w:i/>
          <w:iCs/>
          <w:lang w:val="ro-RO"/>
        </w:rPr>
        <w:t>pay-as-you-go</w:t>
      </w:r>
      <w:r w:rsidR="00E31994" w:rsidRPr="00834B27">
        <w:rPr>
          <w:rFonts w:ascii="Calibri" w:hAnsi="Calibri" w:cs="Calibri"/>
          <w:lang w:val="ro-RO"/>
        </w:rPr>
        <w:t>, adic</w:t>
      </w:r>
      <w:r w:rsidR="00701406" w:rsidRPr="00834B27">
        <w:rPr>
          <w:rFonts w:ascii="Calibri" w:hAnsi="Calibri" w:cs="Calibri"/>
          <w:lang w:val="ro-RO"/>
        </w:rPr>
        <w:t>ă</w:t>
      </w:r>
      <w:r w:rsidR="00E31994" w:rsidRPr="00834B27">
        <w:rPr>
          <w:rFonts w:ascii="Calibri" w:hAnsi="Calibri" w:cs="Calibri"/>
          <w:lang w:val="ro-RO"/>
        </w:rPr>
        <w:t xml:space="preserve"> </w:t>
      </w:r>
      <w:r w:rsidR="00701406" w:rsidRPr="00834B27">
        <w:rPr>
          <w:rFonts w:ascii="Calibri" w:hAnsi="Calibri" w:cs="Calibri"/>
          <w:lang w:val="ro-RO"/>
        </w:rPr>
        <w:t>ești</w:t>
      </w:r>
      <w:r w:rsidR="00E31994" w:rsidRPr="00834B27">
        <w:rPr>
          <w:rFonts w:ascii="Calibri" w:hAnsi="Calibri" w:cs="Calibri"/>
          <w:lang w:val="ro-RO"/>
        </w:rPr>
        <w:t xml:space="preserve"> asigurat </w:t>
      </w:r>
      <w:r w:rsidR="00701406" w:rsidRPr="00834B27">
        <w:rPr>
          <w:rFonts w:ascii="Calibri" w:hAnsi="Calibri" w:cs="Calibri"/>
          <w:lang w:val="ro-RO"/>
        </w:rPr>
        <w:t>atât</w:t>
      </w:r>
      <w:r w:rsidR="00E31994" w:rsidRPr="00834B27">
        <w:rPr>
          <w:rFonts w:ascii="Calibri" w:hAnsi="Calibri" w:cs="Calibri"/>
          <w:lang w:val="ro-RO"/>
        </w:rPr>
        <w:t xml:space="preserve"> timp c</w:t>
      </w:r>
      <w:r w:rsidR="00701406" w:rsidRPr="00834B27">
        <w:rPr>
          <w:rFonts w:ascii="Calibri" w:hAnsi="Calibri" w:cs="Calibri"/>
          <w:lang w:val="ro-RO"/>
        </w:rPr>
        <w:t>â</w:t>
      </w:r>
      <w:r w:rsidR="00E31994" w:rsidRPr="00834B27">
        <w:rPr>
          <w:rFonts w:ascii="Calibri" w:hAnsi="Calibri" w:cs="Calibri"/>
          <w:lang w:val="ro-RO"/>
        </w:rPr>
        <w:t xml:space="preserve">t </w:t>
      </w:r>
      <w:r w:rsidR="00701406" w:rsidRPr="00834B27">
        <w:rPr>
          <w:rFonts w:ascii="Calibri" w:hAnsi="Calibri" w:cs="Calibri"/>
          <w:lang w:val="ro-RO"/>
        </w:rPr>
        <w:t>plătești</w:t>
      </w:r>
      <w:r w:rsidR="00E31994" w:rsidRPr="00834B27">
        <w:rPr>
          <w:rFonts w:ascii="Calibri" w:hAnsi="Calibri" w:cs="Calibri"/>
          <w:lang w:val="ro-RO"/>
        </w:rPr>
        <w:t>. Nu se poate re</w:t>
      </w:r>
      <w:r w:rsidR="00D77C4B" w:rsidRPr="00834B27">
        <w:rPr>
          <w:rFonts w:ascii="Calibri" w:hAnsi="Calibri" w:cs="Calibri"/>
          <w:lang w:val="ro-RO"/>
        </w:rPr>
        <w:t>ț</w:t>
      </w:r>
      <w:r w:rsidR="00E31994" w:rsidRPr="00834B27">
        <w:rPr>
          <w:rFonts w:ascii="Calibri" w:hAnsi="Calibri" w:cs="Calibri"/>
          <w:lang w:val="ro-RO"/>
        </w:rPr>
        <w:t>ine</w:t>
      </w:r>
      <w:r w:rsidR="00D14AED" w:rsidRPr="00834B27">
        <w:rPr>
          <w:rFonts w:ascii="Calibri" w:hAnsi="Calibri" w:cs="Calibri"/>
          <w:lang w:val="ro-RO"/>
        </w:rPr>
        <w:t>,</w:t>
      </w:r>
      <w:r w:rsidR="00E31994" w:rsidRPr="00834B27">
        <w:rPr>
          <w:rFonts w:ascii="Calibri" w:hAnsi="Calibri" w:cs="Calibri"/>
          <w:lang w:val="ro-RO"/>
        </w:rPr>
        <w:t xml:space="preserve"> </w:t>
      </w:r>
      <w:r w:rsidR="00DE52F2" w:rsidRPr="00834B27">
        <w:rPr>
          <w:rFonts w:ascii="Calibri" w:hAnsi="Calibri" w:cs="Calibri"/>
          <w:lang w:val="ro-RO"/>
        </w:rPr>
        <w:t>deci</w:t>
      </w:r>
      <w:r w:rsidR="00D14AED" w:rsidRPr="00834B27">
        <w:rPr>
          <w:rFonts w:ascii="Calibri" w:hAnsi="Calibri" w:cs="Calibri"/>
          <w:lang w:val="ro-RO"/>
        </w:rPr>
        <w:t>,</w:t>
      </w:r>
      <w:r w:rsidR="00E31994" w:rsidRPr="00834B27">
        <w:rPr>
          <w:rFonts w:ascii="Calibri" w:hAnsi="Calibri" w:cs="Calibri"/>
          <w:lang w:val="ro-RO"/>
        </w:rPr>
        <w:t xml:space="preserve"> argumentul des auzit conform </w:t>
      </w:r>
      <w:r w:rsidR="00701406" w:rsidRPr="00834B27">
        <w:rPr>
          <w:rFonts w:ascii="Calibri" w:hAnsi="Calibri" w:cs="Calibri"/>
          <w:lang w:val="ro-RO"/>
        </w:rPr>
        <w:t>căruia</w:t>
      </w:r>
      <w:r w:rsidR="00E31994" w:rsidRPr="00834B27">
        <w:rPr>
          <w:rFonts w:ascii="Calibri" w:hAnsi="Calibri" w:cs="Calibri"/>
          <w:lang w:val="ro-RO"/>
        </w:rPr>
        <w:t xml:space="preserve"> </w:t>
      </w:r>
      <w:r w:rsidR="009F0AE2" w:rsidRPr="00834B27">
        <w:rPr>
          <w:rFonts w:ascii="Calibri" w:hAnsi="Calibri" w:cs="Calibri"/>
          <w:lang w:val="ro-RO"/>
        </w:rPr>
        <w:t xml:space="preserve">„pensionarii” au </w:t>
      </w:r>
      <w:r w:rsidR="00701406" w:rsidRPr="00834B27">
        <w:rPr>
          <w:rFonts w:ascii="Calibri" w:hAnsi="Calibri" w:cs="Calibri"/>
          <w:lang w:val="ro-RO"/>
        </w:rPr>
        <w:t>plătit</w:t>
      </w:r>
      <w:r w:rsidR="009F0AE2" w:rsidRPr="00834B27">
        <w:rPr>
          <w:rFonts w:ascii="Calibri" w:hAnsi="Calibri" w:cs="Calibri"/>
          <w:lang w:val="ro-RO"/>
        </w:rPr>
        <w:t xml:space="preserve"> CASS pe perioada de dinaintea </w:t>
      </w:r>
      <w:r w:rsidR="00701406" w:rsidRPr="00834B27">
        <w:rPr>
          <w:rFonts w:ascii="Calibri" w:hAnsi="Calibri" w:cs="Calibri"/>
          <w:lang w:val="ro-RO"/>
        </w:rPr>
        <w:t>ieșirii</w:t>
      </w:r>
      <w:r w:rsidR="009F0AE2" w:rsidRPr="00834B27">
        <w:rPr>
          <w:rFonts w:ascii="Calibri" w:hAnsi="Calibri" w:cs="Calibri"/>
          <w:lang w:val="ro-RO"/>
        </w:rPr>
        <w:t xml:space="preserve"> la pensie</w:t>
      </w:r>
      <w:r w:rsidR="00DE52F2" w:rsidRPr="00834B27">
        <w:rPr>
          <w:rFonts w:ascii="Calibri" w:hAnsi="Calibri" w:cs="Calibri"/>
          <w:lang w:val="ro-RO"/>
        </w:rPr>
        <w:t xml:space="preserve">, acele </w:t>
      </w:r>
      <w:r w:rsidR="00701406" w:rsidRPr="00834B27">
        <w:rPr>
          <w:rFonts w:ascii="Calibri" w:hAnsi="Calibri" w:cs="Calibri"/>
          <w:lang w:val="ro-RO"/>
        </w:rPr>
        <w:t>plă</w:t>
      </w:r>
      <w:r w:rsidR="00D77C4B" w:rsidRPr="00834B27">
        <w:rPr>
          <w:rFonts w:ascii="Calibri" w:hAnsi="Calibri" w:cs="Calibri"/>
          <w:lang w:val="ro-RO"/>
        </w:rPr>
        <w:t>ț</w:t>
      </w:r>
      <w:r w:rsidR="00701406" w:rsidRPr="00834B27">
        <w:rPr>
          <w:rFonts w:ascii="Calibri" w:hAnsi="Calibri" w:cs="Calibri"/>
          <w:lang w:val="ro-RO"/>
        </w:rPr>
        <w:t>i</w:t>
      </w:r>
      <w:r w:rsidR="00DE52F2" w:rsidRPr="00834B27">
        <w:rPr>
          <w:rFonts w:ascii="Calibri" w:hAnsi="Calibri" w:cs="Calibri"/>
          <w:lang w:val="ro-RO"/>
        </w:rPr>
        <w:t xml:space="preserve"> fiind </w:t>
      </w:r>
      <w:r w:rsidR="00701406" w:rsidRPr="00834B27">
        <w:rPr>
          <w:rFonts w:ascii="Calibri" w:hAnsi="Calibri" w:cs="Calibri"/>
          <w:lang w:val="ro-RO"/>
        </w:rPr>
        <w:t>făcute</w:t>
      </w:r>
      <w:r w:rsidR="00DE52F2" w:rsidRPr="00834B27">
        <w:rPr>
          <w:rFonts w:ascii="Calibri" w:hAnsi="Calibri" w:cs="Calibri"/>
          <w:lang w:val="ro-RO"/>
        </w:rPr>
        <w:t xml:space="preserve"> pentru a beneficia de asigurare</w:t>
      </w:r>
      <w:r w:rsidR="00680AFD" w:rsidRPr="00834B27">
        <w:rPr>
          <w:rFonts w:ascii="Calibri" w:hAnsi="Calibri" w:cs="Calibri"/>
          <w:lang w:val="ro-RO"/>
        </w:rPr>
        <w:t xml:space="preserve"> </w:t>
      </w:r>
      <w:r w:rsidR="00C047AF" w:rsidRPr="00834B27">
        <w:rPr>
          <w:rFonts w:ascii="Calibri" w:hAnsi="Calibri" w:cs="Calibri"/>
          <w:lang w:val="ro-RO"/>
        </w:rPr>
        <w:t xml:space="preserve">atunci </w:t>
      </w:r>
      <w:r w:rsidR="00701406" w:rsidRPr="00834B27">
        <w:rPr>
          <w:rFonts w:ascii="Calibri" w:hAnsi="Calibri" w:cs="Calibri"/>
          <w:lang w:val="ro-RO"/>
        </w:rPr>
        <w:t>ș</w:t>
      </w:r>
      <w:r w:rsidR="00C047AF" w:rsidRPr="00834B27">
        <w:rPr>
          <w:rFonts w:ascii="Calibri" w:hAnsi="Calibri" w:cs="Calibri"/>
          <w:lang w:val="ro-RO"/>
        </w:rPr>
        <w:t>i nu acum</w:t>
      </w:r>
      <w:r w:rsidR="009F0AE2" w:rsidRPr="00834B27">
        <w:rPr>
          <w:rFonts w:ascii="Calibri" w:hAnsi="Calibri" w:cs="Calibri"/>
          <w:lang w:val="ro-RO"/>
        </w:rPr>
        <w:t>.</w:t>
      </w:r>
    </w:p>
    <w:p w14:paraId="1EDF8A07" w14:textId="5A85A9FB" w:rsidR="006E5386" w:rsidRPr="00834B27" w:rsidRDefault="006E5386" w:rsidP="007D74B1">
      <w:pPr>
        <w:tabs>
          <w:tab w:val="left" w:pos="720"/>
        </w:tabs>
        <w:spacing w:line="276" w:lineRule="auto"/>
        <w:jc w:val="both"/>
        <w:rPr>
          <w:rFonts w:ascii="Calibri" w:hAnsi="Calibri" w:cs="Calibri"/>
          <w:lang w:val="ro-RO"/>
        </w:rPr>
      </w:pPr>
      <w:r w:rsidRPr="00834B27">
        <w:rPr>
          <w:rFonts w:ascii="Calibri" w:hAnsi="Calibri" w:cs="Calibri"/>
          <w:lang w:val="ro-RO"/>
        </w:rPr>
        <w:t xml:space="preserve">Similar cu propunerea </w:t>
      </w:r>
      <w:r w:rsidR="00701406" w:rsidRPr="00834B27">
        <w:rPr>
          <w:rFonts w:ascii="Calibri" w:hAnsi="Calibri" w:cs="Calibri"/>
          <w:lang w:val="ro-RO"/>
        </w:rPr>
        <w:t>făcută</w:t>
      </w:r>
      <w:r w:rsidRPr="00834B27">
        <w:rPr>
          <w:rFonts w:ascii="Calibri" w:hAnsi="Calibri" w:cs="Calibri"/>
          <w:lang w:val="ro-RO"/>
        </w:rPr>
        <w:t xml:space="preserve"> </w:t>
      </w:r>
      <w:r w:rsidR="00701406" w:rsidRPr="00834B27">
        <w:rPr>
          <w:rFonts w:ascii="Calibri" w:hAnsi="Calibri" w:cs="Calibri"/>
          <w:lang w:val="ro-RO"/>
        </w:rPr>
        <w:t>î</w:t>
      </w:r>
      <w:r w:rsidRPr="00834B27">
        <w:rPr>
          <w:rFonts w:ascii="Calibri" w:hAnsi="Calibri" w:cs="Calibri"/>
          <w:lang w:val="ro-RO"/>
        </w:rPr>
        <w:t>n cazul veniturilor din salarii, consider</w:t>
      </w:r>
      <w:r w:rsidR="00701406" w:rsidRPr="00834B27">
        <w:rPr>
          <w:rFonts w:ascii="Calibri" w:hAnsi="Calibri" w:cs="Calibri"/>
          <w:lang w:val="ro-RO"/>
        </w:rPr>
        <w:t>ă</w:t>
      </w:r>
      <w:r w:rsidRPr="00834B27">
        <w:rPr>
          <w:rFonts w:ascii="Calibri" w:hAnsi="Calibri" w:cs="Calibri"/>
          <w:lang w:val="ro-RO"/>
        </w:rPr>
        <w:t>m c</w:t>
      </w:r>
      <w:r w:rsidR="00701406" w:rsidRPr="00834B27">
        <w:rPr>
          <w:rFonts w:ascii="Calibri" w:hAnsi="Calibri" w:cs="Calibri"/>
          <w:lang w:val="ro-RO"/>
        </w:rPr>
        <w:t>ă</w:t>
      </w:r>
      <w:r w:rsidRPr="00834B27">
        <w:rPr>
          <w:rFonts w:ascii="Calibri" w:hAnsi="Calibri" w:cs="Calibri"/>
          <w:lang w:val="ro-RO"/>
        </w:rPr>
        <w:t xml:space="preserve"> </w:t>
      </w:r>
      <w:r w:rsidR="00701406" w:rsidRPr="00834B27">
        <w:rPr>
          <w:rFonts w:ascii="Calibri" w:hAnsi="Calibri" w:cs="Calibri"/>
          <w:lang w:val="ro-RO"/>
        </w:rPr>
        <w:t>scăderea</w:t>
      </w:r>
      <w:r w:rsidR="003D0D5B" w:rsidRPr="00834B27">
        <w:rPr>
          <w:rFonts w:ascii="Calibri" w:hAnsi="Calibri" w:cs="Calibri"/>
          <w:lang w:val="ro-RO"/>
        </w:rPr>
        <w:t xml:space="preserve"> din baza de calcul al CASS a deducerii degresive </w:t>
      </w:r>
      <w:r w:rsidR="00F607F7" w:rsidRPr="00834B27">
        <w:rPr>
          <w:rFonts w:ascii="Calibri" w:hAnsi="Calibri" w:cs="Calibri"/>
          <w:lang w:val="ro-RO"/>
        </w:rPr>
        <w:t>(la pensiile mici) este perfect justificat</w:t>
      </w:r>
      <w:r w:rsidR="00701406" w:rsidRPr="00834B27">
        <w:rPr>
          <w:rFonts w:ascii="Calibri" w:hAnsi="Calibri" w:cs="Calibri"/>
          <w:lang w:val="ro-RO"/>
        </w:rPr>
        <w:t>ă</w:t>
      </w:r>
      <w:r w:rsidR="00765FFE" w:rsidRPr="00834B27">
        <w:rPr>
          <w:rFonts w:ascii="Calibri" w:hAnsi="Calibri" w:cs="Calibri"/>
          <w:lang w:val="ro-RO"/>
        </w:rPr>
        <w:t xml:space="preserve">, </w:t>
      </w:r>
      <w:r w:rsidR="00701406" w:rsidRPr="00834B27">
        <w:rPr>
          <w:rFonts w:ascii="Calibri" w:hAnsi="Calibri" w:cs="Calibri"/>
          <w:lang w:val="ro-RO"/>
        </w:rPr>
        <w:t>atât</w:t>
      </w:r>
      <w:r w:rsidR="00765FFE" w:rsidRPr="00834B27">
        <w:rPr>
          <w:rFonts w:ascii="Calibri" w:hAnsi="Calibri" w:cs="Calibri"/>
          <w:lang w:val="ro-RO"/>
        </w:rPr>
        <w:t xml:space="preserve"> din punct de vedere </w:t>
      </w:r>
      <w:r w:rsidR="00CD053C" w:rsidRPr="00834B27">
        <w:rPr>
          <w:rFonts w:ascii="Calibri" w:hAnsi="Calibri" w:cs="Calibri"/>
          <w:lang w:val="ro-RO"/>
        </w:rPr>
        <w:t>fiscal</w:t>
      </w:r>
      <w:r w:rsidR="00765FFE" w:rsidRPr="00834B27">
        <w:rPr>
          <w:rFonts w:ascii="Calibri" w:hAnsi="Calibri" w:cs="Calibri"/>
          <w:lang w:val="ro-RO"/>
        </w:rPr>
        <w:t>, c</w:t>
      </w:r>
      <w:r w:rsidR="00701406" w:rsidRPr="00834B27">
        <w:rPr>
          <w:rFonts w:ascii="Calibri" w:hAnsi="Calibri" w:cs="Calibri"/>
          <w:lang w:val="ro-RO"/>
        </w:rPr>
        <w:t>â</w:t>
      </w:r>
      <w:r w:rsidR="00765FFE" w:rsidRPr="00834B27">
        <w:rPr>
          <w:rFonts w:ascii="Calibri" w:hAnsi="Calibri" w:cs="Calibri"/>
          <w:lang w:val="ro-RO"/>
        </w:rPr>
        <w:t xml:space="preserve">t </w:t>
      </w:r>
      <w:r w:rsidR="00701406" w:rsidRPr="00834B27">
        <w:rPr>
          <w:rFonts w:ascii="Calibri" w:hAnsi="Calibri" w:cs="Calibri"/>
          <w:lang w:val="ro-RO"/>
        </w:rPr>
        <w:t>ș</w:t>
      </w:r>
      <w:r w:rsidR="00765FFE" w:rsidRPr="00834B27">
        <w:rPr>
          <w:rFonts w:ascii="Calibri" w:hAnsi="Calibri" w:cs="Calibri"/>
          <w:lang w:val="ro-RO"/>
        </w:rPr>
        <w:t>i moral. O propunere similar</w:t>
      </w:r>
      <w:r w:rsidR="00701406" w:rsidRPr="00834B27">
        <w:rPr>
          <w:rFonts w:ascii="Calibri" w:hAnsi="Calibri" w:cs="Calibri"/>
          <w:lang w:val="ro-RO"/>
        </w:rPr>
        <w:t>ă</w:t>
      </w:r>
      <w:r w:rsidR="00765FFE" w:rsidRPr="00834B27">
        <w:rPr>
          <w:rFonts w:ascii="Calibri" w:hAnsi="Calibri" w:cs="Calibri"/>
          <w:lang w:val="ro-RO"/>
        </w:rPr>
        <w:t xml:space="preserve"> vom face </w:t>
      </w:r>
      <w:r w:rsidR="00701406" w:rsidRPr="00834B27">
        <w:rPr>
          <w:rFonts w:ascii="Calibri" w:hAnsi="Calibri" w:cs="Calibri"/>
          <w:lang w:val="ro-RO"/>
        </w:rPr>
        <w:t>ș</w:t>
      </w:r>
      <w:r w:rsidR="00765FFE" w:rsidRPr="00834B27">
        <w:rPr>
          <w:rFonts w:ascii="Calibri" w:hAnsi="Calibri" w:cs="Calibri"/>
          <w:lang w:val="ro-RO"/>
        </w:rPr>
        <w:t xml:space="preserve">i </w:t>
      </w:r>
      <w:r w:rsidR="00701406" w:rsidRPr="00834B27">
        <w:rPr>
          <w:rFonts w:ascii="Calibri" w:hAnsi="Calibri" w:cs="Calibri"/>
          <w:lang w:val="ro-RO"/>
        </w:rPr>
        <w:t>î</w:t>
      </w:r>
      <w:r w:rsidR="00765FFE" w:rsidRPr="00834B27">
        <w:rPr>
          <w:rFonts w:ascii="Calibri" w:hAnsi="Calibri" w:cs="Calibri"/>
          <w:lang w:val="ro-RO"/>
        </w:rPr>
        <w:t>n cazul impozitului pe venit.</w:t>
      </w:r>
      <w:r w:rsidR="00876C6B" w:rsidRPr="00834B27">
        <w:rPr>
          <w:rStyle w:val="Referinnotdesubsol"/>
          <w:rFonts w:ascii="Calibri" w:hAnsi="Calibri" w:cs="Calibri"/>
          <w:lang w:val="ro-RO"/>
        </w:rPr>
        <w:footnoteReference w:id="31"/>
      </w:r>
    </w:p>
    <w:p w14:paraId="62172D23" w14:textId="1C31D5E5" w:rsidR="00C047AF" w:rsidRPr="00834B27" w:rsidRDefault="00701406" w:rsidP="007D74B1">
      <w:pPr>
        <w:tabs>
          <w:tab w:val="left" w:pos="720"/>
        </w:tabs>
        <w:spacing w:line="276" w:lineRule="auto"/>
        <w:jc w:val="both"/>
        <w:rPr>
          <w:rFonts w:ascii="Calibri" w:hAnsi="Calibri" w:cs="Calibri"/>
          <w:lang w:val="ro-RO"/>
        </w:rPr>
      </w:pPr>
      <w:r w:rsidRPr="00834B27">
        <w:rPr>
          <w:rFonts w:ascii="Calibri" w:hAnsi="Calibri" w:cs="Calibri"/>
          <w:lang w:val="ro-RO"/>
        </w:rPr>
        <w:lastRenderedPageBreak/>
        <w:t>Î</w:t>
      </w:r>
      <w:r w:rsidR="00C047AF" w:rsidRPr="00834B27">
        <w:rPr>
          <w:rFonts w:ascii="Calibri" w:hAnsi="Calibri" w:cs="Calibri"/>
          <w:lang w:val="ro-RO"/>
        </w:rPr>
        <w:t xml:space="preserve">n ceea ce </w:t>
      </w:r>
      <w:r w:rsidRPr="00834B27">
        <w:rPr>
          <w:rFonts w:ascii="Calibri" w:hAnsi="Calibri" w:cs="Calibri"/>
          <w:lang w:val="ro-RO"/>
        </w:rPr>
        <w:t>privește</w:t>
      </w:r>
      <w:r w:rsidR="00C047AF" w:rsidRPr="00834B27">
        <w:rPr>
          <w:rFonts w:ascii="Calibri" w:hAnsi="Calibri" w:cs="Calibri"/>
          <w:lang w:val="ro-RO"/>
        </w:rPr>
        <w:t xml:space="preserve"> </w:t>
      </w:r>
      <w:r w:rsidR="00DA5143" w:rsidRPr="00834B27">
        <w:rPr>
          <w:rFonts w:ascii="Calibri" w:hAnsi="Calibri" w:cs="Calibri"/>
          <w:lang w:val="ro-RO"/>
        </w:rPr>
        <w:t>DP</w:t>
      </w:r>
      <w:r w:rsidR="002961F3" w:rsidRPr="00834B27">
        <w:rPr>
          <w:rFonts w:ascii="Calibri" w:hAnsi="Calibri" w:cs="Calibri"/>
          <w:lang w:val="ro-RO"/>
        </w:rPr>
        <w:t xml:space="preserve">, </w:t>
      </w:r>
      <w:r w:rsidR="00DA5143" w:rsidRPr="00834B27">
        <w:rPr>
          <w:rFonts w:ascii="Calibri" w:hAnsi="Calibri" w:cs="Calibri"/>
          <w:lang w:val="ro-RO"/>
        </w:rPr>
        <w:t>am ca</w:t>
      </w:r>
      <w:r w:rsidR="00D21003" w:rsidRPr="00834B27">
        <w:rPr>
          <w:rFonts w:ascii="Calibri" w:hAnsi="Calibri" w:cs="Calibri"/>
          <w:lang w:val="ro-RO"/>
        </w:rPr>
        <w:t>l</w:t>
      </w:r>
      <w:r w:rsidR="00DA5143" w:rsidRPr="00834B27">
        <w:rPr>
          <w:rFonts w:ascii="Calibri" w:hAnsi="Calibri" w:cs="Calibri"/>
          <w:lang w:val="ro-RO"/>
        </w:rPr>
        <w:t xml:space="preserve">culat impactul </w:t>
      </w:r>
      <w:r w:rsidRPr="00834B27">
        <w:rPr>
          <w:rFonts w:ascii="Calibri" w:hAnsi="Calibri" w:cs="Calibri"/>
          <w:lang w:val="ro-RO"/>
        </w:rPr>
        <w:t>î</w:t>
      </w:r>
      <w:r w:rsidR="00DA5143" w:rsidRPr="00834B27">
        <w:rPr>
          <w:rFonts w:ascii="Calibri" w:hAnsi="Calibri" w:cs="Calibri"/>
          <w:lang w:val="ro-RO"/>
        </w:rPr>
        <w:t>n dou</w:t>
      </w:r>
      <w:r w:rsidRPr="00834B27">
        <w:rPr>
          <w:rFonts w:ascii="Calibri" w:hAnsi="Calibri" w:cs="Calibri"/>
          <w:lang w:val="ro-RO"/>
        </w:rPr>
        <w:t xml:space="preserve">ă </w:t>
      </w:r>
      <w:r w:rsidR="00DA5143" w:rsidRPr="00834B27">
        <w:rPr>
          <w:rFonts w:ascii="Calibri" w:hAnsi="Calibri" w:cs="Calibri"/>
          <w:lang w:val="ro-RO"/>
        </w:rPr>
        <w:t>scenarii</w:t>
      </w:r>
      <w:r w:rsidR="00D21003" w:rsidRPr="00834B27">
        <w:rPr>
          <w:rFonts w:ascii="Calibri" w:hAnsi="Calibri" w:cs="Calibri"/>
          <w:lang w:val="ro-RO"/>
        </w:rPr>
        <w:t xml:space="preserve">: DP </w:t>
      </w:r>
      <w:r w:rsidRPr="00834B27">
        <w:rPr>
          <w:rFonts w:ascii="Calibri" w:hAnsi="Calibri" w:cs="Calibri"/>
          <w:lang w:val="ro-RO"/>
        </w:rPr>
        <w:t>fără</w:t>
      </w:r>
      <w:r w:rsidR="00D21003" w:rsidRPr="00834B27">
        <w:rPr>
          <w:rFonts w:ascii="Calibri" w:hAnsi="Calibri" w:cs="Calibri"/>
          <w:lang w:val="ro-RO"/>
        </w:rPr>
        <w:t xml:space="preserve"> persoane </w:t>
      </w:r>
      <w:r w:rsidRPr="00834B27">
        <w:rPr>
          <w:rFonts w:ascii="Calibri" w:hAnsi="Calibri" w:cs="Calibri"/>
          <w:lang w:val="ro-RO"/>
        </w:rPr>
        <w:t>î</w:t>
      </w:r>
      <w:r w:rsidR="00D21003" w:rsidRPr="00834B27">
        <w:rPr>
          <w:rFonts w:ascii="Calibri" w:hAnsi="Calibri" w:cs="Calibri"/>
          <w:lang w:val="ro-RO"/>
        </w:rPr>
        <w:t xml:space="preserve">n </w:t>
      </w:r>
      <w:r w:rsidRPr="00834B27">
        <w:rPr>
          <w:rFonts w:ascii="Calibri" w:hAnsi="Calibri" w:cs="Calibri"/>
          <w:lang w:val="ro-RO"/>
        </w:rPr>
        <w:t>între</w:t>
      </w:r>
      <w:r w:rsidR="00D77C4B" w:rsidRPr="00834B27">
        <w:rPr>
          <w:rFonts w:ascii="Calibri" w:hAnsi="Calibri" w:cs="Calibri"/>
          <w:lang w:val="ro-RO"/>
        </w:rPr>
        <w:t>ț</w:t>
      </w:r>
      <w:r w:rsidRPr="00834B27">
        <w:rPr>
          <w:rFonts w:ascii="Calibri" w:hAnsi="Calibri" w:cs="Calibri"/>
          <w:lang w:val="ro-RO"/>
        </w:rPr>
        <w:t>inere</w:t>
      </w:r>
      <w:r w:rsidR="00D21003" w:rsidRPr="00834B27">
        <w:rPr>
          <w:rFonts w:ascii="Calibri" w:hAnsi="Calibri" w:cs="Calibri"/>
          <w:lang w:val="ro-RO"/>
        </w:rPr>
        <w:t xml:space="preserve">, sau DP pentru 4 sau mai multe persoane </w:t>
      </w:r>
      <w:r w:rsidRPr="00834B27">
        <w:rPr>
          <w:rFonts w:ascii="Calibri" w:hAnsi="Calibri" w:cs="Calibri"/>
          <w:lang w:val="ro-RO"/>
        </w:rPr>
        <w:t>î</w:t>
      </w:r>
      <w:r w:rsidR="00D21003" w:rsidRPr="00834B27">
        <w:rPr>
          <w:rFonts w:ascii="Calibri" w:hAnsi="Calibri" w:cs="Calibri"/>
          <w:lang w:val="ro-RO"/>
        </w:rPr>
        <w:t xml:space="preserve">n </w:t>
      </w:r>
      <w:r w:rsidRPr="00834B27">
        <w:rPr>
          <w:rFonts w:ascii="Calibri" w:hAnsi="Calibri" w:cs="Calibri"/>
          <w:lang w:val="ro-RO"/>
        </w:rPr>
        <w:t>între</w:t>
      </w:r>
      <w:r w:rsidR="00D77C4B" w:rsidRPr="00834B27">
        <w:rPr>
          <w:rFonts w:ascii="Calibri" w:hAnsi="Calibri" w:cs="Calibri"/>
          <w:lang w:val="ro-RO"/>
        </w:rPr>
        <w:t>ț</w:t>
      </w:r>
      <w:r w:rsidRPr="00834B27">
        <w:rPr>
          <w:rFonts w:ascii="Calibri" w:hAnsi="Calibri" w:cs="Calibri"/>
          <w:lang w:val="ro-RO"/>
        </w:rPr>
        <w:t>inere</w:t>
      </w:r>
      <w:r w:rsidR="00D21003" w:rsidRPr="00834B27">
        <w:rPr>
          <w:rFonts w:ascii="Calibri" w:hAnsi="Calibri" w:cs="Calibri"/>
          <w:lang w:val="ro-RO"/>
        </w:rPr>
        <w:t xml:space="preserve"> (DP maxim</w:t>
      </w:r>
      <w:r w:rsidRPr="00834B27">
        <w:rPr>
          <w:rFonts w:ascii="Calibri" w:hAnsi="Calibri" w:cs="Calibri"/>
          <w:lang w:val="ro-RO"/>
        </w:rPr>
        <w:t>ă</w:t>
      </w:r>
      <w:r w:rsidR="00D21003" w:rsidRPr="00834B27">
        <w:rPr>
          <w:rFonts w:ascii="Calibri" w:hAnsi="Calibri" w:cs="Calibri"/>
          <w:lang w:val="ro-RO"/>
        </w:rPr>
        <w:t>)</w:t>
      </w:r>
      <w:r w:rsidR="000B4AF5" w:rsidRPr="00834B27">
        <w:rPr>
          <w:rFonts w:ascii="Calibri" w:hAnsi="Calibri" w:cs="Calibri"/>
          <w:lang w:val="ro-RO"/>
        </w:rPr>
        <w:t>, aceasta din urm</w:t>
      </w:r>
      <w:r w:rsidRPr="00834B27">
        <w:rPr>
          <w:rFonts w:ascii="Calibri" w:hAnsi="Calibri" w:cs="Calibri"/>
          <w:lang w:val="ro-RO"/>
        </w:rPr>
        <w:t>ă</w:t>
      </w:r>
      <w:r w:rsidR="000B4AF5" w:rsidRPr="00834B27">
        <w:rPr>
          <w:rFonts w:ascii="Calibri" w:hAnsi="Calibri" w:cs="Calibri"/>
          <w:lang w:val="ro-RO"/>
        </w:rPr>
        <w:t xml:space="preserve"> </w:t>
      </w:r>
      <w:r w:rsidRPr="00834B27">
        <w:rPr>
          <w:rFonts w:ascii="Calibri" w:hAnsi="Calibri" w:cs="Calibri"/>
          <w:lang w:val="ro-RO"/>
        </w:rPr>
        <w:t>având</w:t>
      </w:r>
      <w:r w:rsidR="000B4AF5" w:rsidRPr="00834B27">
        <w:rPr>
          <w:rFonts w:ascii="Calibri" w:hAnsi="Calibri" w:cs="Calibri"/>
          <w:lang w:val="ro-RO"/>
        </w:rPr>
        <w:t xml:space="preserve"> </w:t>
      </w:r>
      <w:r w:rsidR="00DB6C78" w:rsidRPr="00834B27">
        <w:rPr>
          <w:rFonts w:ascii="Calibri" w:hAnsi="Calibri" w:cs="Calibri"/>
          <w:lang w:val="ro-RO"/>
        </w:rPr>
        <w:t>impact doar asupra pensiilor de peste 2.000 lei</w:t>
      </w:r>
      <w:r w:rsidR="00E94FE5" w:rsidRPr="00834B27">
        <w:rPr>
          <w:rFonts w:ascii="Calibri" w:hAnsi="Calibri" w:cs="Calibri"/>
          <w:lang w:val="ro-RO"/>
        </w:rPr>
        <w:t>, impactul fiind evident progresiv</w:t>
      </w:r>
      <w:r w:rsidR="00E41B9C" w:rsidRPr="00834B27">
        <w:rPr>
          <w:rFonts w:ascii="Calibri" w:hAnsi="Calibri" w:cs="Calibri"/>
          <w:lang w:val="ro-RO"/>
        </w:rPr>
        <w:t xml:space="preserve">, dat fiind </w:t>
      </w:r>
      <w:r w:rsidR="00F51C2B" w:rsidRPr="00834B27">
        <w:rPr>
          <w:rFonts w:ascii="Calibri" w:hAnsi="Calibri" w:cs="Calibri"/>
          <w:lang w:val="ro-RO"/>
        </w:rPr>
        <w:t>degresivitatea</w:t>
      </w:r>
      <w:r w:rsidR="00E41B9C" w:rsidRPr="00834B27">
        <w:rPr>
          <w:rFonts w:ascii="Calibri" w:hAnsi="Calibri" w:cs="Calibri"/>
          <w:lang w:val="ro-RO"/>
        </w:rPr>
        <w:t xml:space="preserve"> DP.</w:t>
      </w:r>
      <w:r w:rsidR="00956433" w:rsidRPr="00834B27">
        <w:rPr>
          <w:rFonts w:ascii="Calibri" w:hAnsi="Calibri" w:cs="Calibri"/>
          <w:lang w:val="ro-RO"/>
        </w:rPr>
        <w:t xml:space="preserve"> La </w:t>
      </w:r>
      <w:r w:rsidR="000A369A" w:rsidRPr="00834B27">
        <w:rPr>
          <w:rFonts w:ascii="Calibri" w:hAnsi="Calibri" w:cs="Calibri"/>
          <w:lang w:val="ro-RO"/>
        </w:rPr>
        <w:t xml:space="preserve">calculul final am luat </w:t>
      </w:r>
      <w:r w:rsidRPr="00834B27">
        <w:rPr>
          <w:rFonts w:ascii="Calibri" w:hAnsi="Calibri" w:cs="Calibri"/>
          <w:lang w:val="ro-RO"/>
        </w:rPr>
        <w:t>însă</w:t>
      </w:r>
      <w:r w:rsidR="000A369A" w:rsidRPr="00834B27">
        <w:rPr>
          <w:rFonts w:ascii="Calibri" w:hAnsi="Calibri" w:cs="Calibri"/>
          <w:lang w:val="ro-RO"/>
        </w:rPr>
        <w:t xml:space="preserve"> </w:t>
      </w:r>
      <w:r w:rsidRPr="00834B27">
        <w:rPr>
          <w:rFonts w:ascii="Calibri" w:hAnsi="Calibri" w:cs="Calibri"/>
          <w:lang w:val="ro-RO"/>
        </w:rPr>
        <w:t>î</w:t>
      </w:r>
      <w:r w:rsidR="000A369A" w:rsidRPr="00834B27">
        <w:rPr>
          <w:rFonts w:ascii="Calibri" w:hAnsi="Calibri" w:cs="Calibri"/>
          <w:lang w:val="ro-RO"/>
        </w:rPr>
        <w:t xml:space="preserve">n considerare </w:t>
      </w:r>
      <w:r w:rsidRPr="00834B27">
        <w:rPr>
          <w:rFonts w:ascii="Calibri" w:hAnsi="Calibri" w:cs="Calibri"/>
          <w:lang w:val="ro-RO"/>
        </w:rPr>
        <w:t>op</w:t>
      </w:r>
      <w:r w:rsidR="00D77C4B" w:rsidRPr="00834B27">
        <w:rPr>
          <w:rFonts w:ascii="Calibri" w:hAnsi="Calibri" w:cs="Calibri"/>
          <w:lang w:val="ro-RO"/>
        </w:rPr>
        <w:t>ț</w:t>
      </w:r>
      <w:r w:rsidRPr="00834B27">
        <w:rPr>
          <w:rFonts w:ascii="Calibri" w:hAnsi="Calibri" w:cs="Calibri"/>
          <w:lang w:val="ro-RO"/>
        </w:rPr>
        <w:t>iunea</w:t>
      </w:r>
      <w:r w:rsidR="000A369A" w:rsidRPr="00834B27">
        <w:rPr>
          <w:rFonts w:ascii="Calibri" w:hAnsi="Calibri" w:cs="Calibri"/>
          <w:lang w:val="ro-RO"/>
        </w:rPr>
        <w:t xml:space="preserve"> deducerii degresive maxime, pentru a reduce impactul social </w:t>
      </w:r>
      <w:r w:rsidR="003D4558" w:rsidRPr="00834B27">
        <w:rPr>
          <w:rFonts w:ascii="Calibri" w:hAnsi="Calibri" w:cs="Calibri"/>
          <w:lang w:val="ro-RO"/>
        </w:rPr>
        <w:t xml:space="preserve">al </w:t>
      </w:r>
      <w:r w:rsidRPr="00834B27">
        <w:rPr>
          <w:rFonts w:ascii="Calibri" w:hAnsi="Calibri" w:cs="Calibri"/>
          <w:lang w:val="ro-RO"/>
        </w:rPr>
        <w:t>măsurii</w:t>
      </w:r>
      <w:r w:rsidR="003D4558" w:rsidRPr="00834B27">
        <w:rPr>
          <w:rFonts w:ascii="Calibri" w:hAnsi="Calibri" w:cs="Calibri"/>
          <w:lang w:val="ro-RO"/>
        </w:rPr>
        <w:t>, dac</w:t>
      </w:r>
      <w:r w:rsidRPr="00834B27">
        <w:rPr>
          <w:rFonts w:ascii="Calibri" w:hAnsi="Calibri" w:cs="Calibri"/>
          <w:lang w:val="ro-RO"/>
        </w:rPr>
        <w:t>ă</w:t>
      </w:r>
      <w:r w:rsidR="003D4558" w:rsidRPr="00834B27">
        <w:rPr>
          <w:rFonts w:ascii="Calibri" w:hAnsi="Calibri" w:cs="Calibri"/>
          <w:lang w:val="ro-RO"/>
        </w:rPr>
        <w:t xml:space="preserve"> ar fi adoptat</w:t>
      </w:r>
      <w:r w:rsidRPr="00834B27">
        <w:rPr>
          <w:rFonts w:ascii="Calibri" w:hAnsi="Calibri" w:cs="Calibri"/>
          <w:lang w:val="ro-RO"/>
        </w:rPr>
        <w:t>ă</w:t>
      </w:r>
      <w:r w:rsidR="003D4558" w:rsidRPr="00834B27">
        <w:rPr>
          <w:rFonts w:ascii="Calibri" w:hAnsi="Calibri" w:cs="Calibri"/>
          <w:lang w:val="ro-RO"/>
        </w:rPr>
        <w:t>.</w:t>
      </w:r>
    </w:p>
    <w:p w14:paraId="0D6048D3" w14:textId="72E830D8" w:rsidR="00F51C2B" w:rsidRPr="00834B27" w:rsidRDefault="00D14AED" w:rsidP="007D74B1">
      <w:pPr>
        <w:tabs>
          <w:tab w:val="left" w:pos="720"/>
        </w:tabs>
        <w:spacing w:line="276" w:lineRule="auto"/>
        <w:jc w:val="both"/>
        <w:rPr>
          <w:rFonts w:ascii="Calibri" w:hAnsi="Calibri" w:cs="Calibri"/>
          <w:lang w:val="ro-RO"/>
        </w:rPr>
      </w:pPr>
      <w:r w:rsidRPr="00834B27">
        <w:rPr>
          <w:rFonts w:ascii="Calibri" w:hAnsi="Calibri" w:cs="Calibri"/>
          <w:lang w:val="ro-RO"/>
        </w:rPr>
        <w:t>Concret: o pensie de 2.000 lei/lună ar beneficia de o deducere personală integrală și ar rămâne efectiv neimpozitată</w:t>
      </w:r>
      <w:r w:rsidR="00612AC3" w:rsidRPr="00834B27">
        <w:rPr>
          <w:rFonts w:ascii="Calibri" w:hAnsi="Calibri" w:cs="Calibri"/>
          <w:lang w:val="ro-RO"/>
        </w:rPr>
        <w:t xml:space="preserve"> – mai protejată decât în sistemul actual</w:t>
      </w:r>
      <w:r w:rsidRPr="00834B27">
        <w:rPr>
          <w:rFonts w:ascii="Calibri" w:hAnsi="Calibri" w:cs="Calibri"/>
          <w:lang w:val="ro-RO"/>
        </w:rPr>
        <w:t>. O pensie de 4.000 lei/lună ar beneficia de o deducere parțială. O pensie de 10.000 lei/lună ar beneficia de o deducere minimă sau zero. Prin contrast, în sistemul actual, toate cele trei pensii beneficiază de exact aceeași scutire fixă de 3.000 lei</w:t>
      </w:r>
      <w:r w:rsidR="00612AC3" w:rsidRPr="00834B27">
        <w:rPr>
          <w:lang w:val="ro-RO"/>
        </w:rPr>
        <w:t xml:space="preserve"> </w:t>
      </w:r>
      <w:r w:rsidR="00612AC3" w:rsidRPr="00834B27">
        <w:rPr>
          <w:rFonts w:ascii="Calibri" w:hAnsi="Calibri" w:cs="Calibri"/>
          <w:lang w:val="ro-RO"/>
        </w:rPr>
        <w:t>— ceea ce înseamnă că pensionarul cu 10.000 lei primește aceeași protecție ca cel cu 4.000 lei. Aceasta nu este echitate — este o subvenție regresivă.</w:t>
      </w:r>
    </w:p>
    <w:p w14:paraId="0E41489E" w14:textId="565858D3" w:rsidR="00BD08EE" w:rsidRPr="00834B27" w:rsidRDefault="00BD08EE" w:rsidP="007D74B1">
      <w:pPr>
        <w:tabs>
          <w:tab w:val="left" w:pos="720"/>
        </w:tabs>
        <w:spacing w:line="276" w:lineRule="auto"/>
        <w:jc w:val="both"/>
        <w:rPr>
          <w:rFonts w:ascii="Calibri" w:hAnsi="Calibri" w:cs="Calibri"/>
          <w:lang w:val="ro-RO"/>
        </w:rPr>
      </w:pPr>
      <w:r w:rsidRPr="00834B27">
        <w:rPr>
          <w:rFonts w:ascii="Calibri" w:hAnsi="Calibri" w:cs="Calibri"/>
          <w:lang w:val="ro-RO"/>
        </w:rPr>
        <w:t xml:space="preserve">Am analizat și </w:t>
      </w:r>
      <w:r w:rsidR="00D1225E" w:rsidRPr="00834B27">
        <w:rPr>
          <w:rFonts w:ascii="Calibri" w:hAnsi="Calibri" w:cs="Calibri"/>
          <w:lang w:val="ro-RO"/>
        </w:rPr>
        <w:t xml:space="preserve">păstrarea regimului actual de impozitare al veniturilor din pensii doar pentru </w:t>
      </w:r>
      <w:r w:rsidR="007F1291" w:rsidRPr="00834B27">
        <w:rPr>
          <w:rFonts w:ascii="Calibri" w:hAnsi="Calibri" w:cs="Calibri"/>
          <w:lang w:val="ro-RO"/>
        </w:rPr>
        <w:t xml:space="preserve">pensiile ce depășesc 3.000 lei/lună, dar cu aplicarea unei </w:t>
      </w:r>
      <w:r w:rsidR="00D73F6A" w:rsidRPr="00834B27">
        <w:rPr>
          <w:rFonts w:ascii="Calibri" w:hAnsi="Calibri" w:cs="Calibri"/>
          <w:lang w:val="ro-RO"/>
        </w:rPr>
        <w:t xml:space="preserve">deduceri degresive pentru pensiile de până la </w:t>
      </w:r>
      <w:r w:rsidR="008A414B" w:rsidRPr="00834B27">
        <w:rPr>
          <w:rFonts w:ascii="Calibri" w:hAnsi="Calibri" w:cs="Calibri"/>
          <w:lang w:val="ro-RO"/>
        </w:rPr>
        <w:t>5.000 lei/lună (similar cu modul de aplicare al deducerii personale la salariii, unde deducerea personal</w:t>
      </w:r>
      <w:r w:rsidR="006E538C" w:rsidRPr="00834B27">
        <w:rPr>
          <w:rFonts w:ascii="Calibri" w:hAnsi="Calibri" w:cs="Calibri"/>
          <w:lang w:val="ro-RO"/>
        </w:rPr>
        <w:t>ă</w:t>
      </w:r>
      <w:r w:rsidR="008A414B" w:rsidRPr="00834B27">
        <w:rPr>
          <w:rFonts w:ascii="Calibri" w:hAnsi="Calibri" w:cs="Calibri"/>
          <w:lang w:val="ro-RO"/>
        </w:rPr>
        <w:t xml:space="preserve"> </w:t>
      </w:r>
      <w:r w:rsidR="006E538C" w:rsidRPr="00834B27">
        <w:rPr>
          <w:rFonts w:ascii="Calibri" w:hAnsi="Calibri" w:cs="Calibri"/>
          <w:lang w:val="ro-RO"/>
        </w:rPr>
        <w:t xml:space="preserve">este deasemenea degresivă, fiind acordată doar </w:t>
      </w:r>
      <w:r w:rsidR="00302274" w:rsidRPr="00834B27">
        <w:rPr>
          <w:rFonts w:ascii="Calibri" w:hAnsi="Calibri" w:cs="Calibri"/>
          <w:lang w:val="ro-RO"/>
        </w:rPr>
        <w:t>pentru salariile ce nu depășesc SM + 2.000 lei.</w:t>
      </w:r>
      <w:r w:rsidR="006E538C" w:rsidRPr="00834B27">
        <w:rPr>
          <w:rFonts w:ascii="Calibri" w:hAnsi="Calibri" w:cs="Calibri"/>
          <w:lang w:val="ro-RO"/>
        </w:rPr>
        <w:t xml:space="preserve"> </w:t>
      </w:r>
    </w:p>
    <w:p w14:paraId="1165AB92" w14:textId="46E6DD9B" w:rsidR="00D14AED" w:rsidRPr="00834B27" w:rsidRDefault="00994DB2" w:rsidP="007D74B1">
      <w:pPr>
        <w:tabs>
          <w:tab w:val="left" w:pos="720"/>
        </w:tabs>
        <w:spacing w:line="276" w:lineRule="auto"/>
        <w:jc w:val="both"/>
        <w:rPr>
          <w:rFonts w:ascii="Calibri" w:hAnsi="Calibri" w:cs="Calibri"/>
          <w:lang w:val="ro-RO"/>
        </w:rPr>
      </w:pPr>
      <w:r w:rsidRPr="00834B27">
        <w:rPr>
          <w:rFonts w:ascii="Calibri" w:hAnsi="Calibri" w:cs="Calibri"/>
          <w:lang w:val="ro-RO"/>
        </w:rPr>
        <w:t>P</w:t>
      </w:r>
      <w:r w:rsidR="00D14AED" w:rsidRPr="00834B27">
        <w:rPr>
          <w:rFonts w:ascii="Calibri" w:hAnsi="Calibri" w:cs="Calibri"/>
          <w:lang w:val="ro-RO"/>
        </w:rPr>
        <w:t xml:space="preserve">ropunerea este conformă </w:t>
      </w:r>
      <w:r w:rsidRPr="00834B27">
        <w:rPr>
          <w:rFonts w:ascii="Calibri" w:hAnsi="Calibri" w:cs="Calibri"/>
          <w:lang w:val="ro-RO"/>
        </w:rPr>
        <w:t xml:space="preserve">și </w:t>
      </w:r>
      <w:r w:rsidR="00D14AED" w:rsidRPr="00834B27">
        <w:rPr>
          <w:rFonts w:ascii="Calibri" w:hAnsi="Calibri" w:cs="Calibri"/>
          <w:lang w:val="ro-RO"/>
        </w:rPr>
        <w:t>cu jurisprudența CCR, care a admis constant că impozitarea pensiilor nu este neconstituțională, ci doar trebuie să respecte principiul proporționalității — principiu pe care deducerea degresivă îl respectă prin protejarea pensiilor mici.</w:t>
      </w:r>
    </w:p>
    <w:p w14:paraId="1FE7C556" w14:textId="4DC76EB1" w:rsidR="00EE193A" w:rsidRPr="00834B27" w:rsidRDefault="00F54995" w:rsidP="007D74B1">
      <w:pPr>
        <w:tabs>
          <w:tab w:val="left" w:pos="720"/>
        </w:tabs>
        <w:spacing w:line="276" w:lineRule="auto"/>
        <w:jc w:val="both"/>
        <w:rPr>
          <w:rFonts w:ascii="Calibri" w:hAnsi="Calibri" w:cs="Calibri"/>
          <w:lang w:val="ro-RO"/>
        </w:rPr>
      </w:pPr>
      <w:r w:rsidRPr="00834B27">
        <w:rPr>
          <w:rFonts w:ascii="Calibri" w:hAnsi="Calibri" w:cs="Calibri"/>
          <w:lang w:val="ro-RO"/>
        </w:rPr>
        <w:t>Considerăm că același mecanism trebuie aplicat și in cazul pensiei din Pilonul II</w:t>
      </w:r>
      <w:r w:rsidR="004D3F94" w:rsidRPr="00834B27">
        <w:rPr>
          <w:rFonts w:ascii="Calibri" w:hAnsi="Calibri" w:cs="Calibri"/>
          <w:lang w:val="ro-RO"/>
        </w:rPr>
        <w:t xml:space="preserve">, contribuția fiind deductibilă din baza de calcul al IV. </w:t>
      </w:r>
    </w:p>
    <w:p w14:paraId="388FA91F" w14:textId="2E6BCD72" w:rsidR="004D3F94" w:rsidRPr="00834B27" w:rsidRDefault="004D3F94" w:rsidP="007D74B1">
      <w:pPr>
        <w:tabs>
          <w:tab w:val="left" w:pos="720"/>
        </w:tabs>
        <w:spacing w:line="276" w:lineRule="auto"/>
        <w:jc w:val="both"/>
        <w:rPr>
          <w:rFonts w:ascii="Calibri" w:hAnsi="Calibri" w:cs="Calibri"/>
          <w:lang w:val="ro-RO"/>
        </w:rPr>
      </w:pPr>
      <w:r w:rsidRPr="00834B27">
        <w:rPr>
          <w:rFonts w:ascii="Calibri" w:hAnsi="Calibri" w:cs="Calibri"/>
          <w:lang w:val="ro-RO"/>
        </w:rPr>
        <w:t xml:space="preserve">In ceea ce privește pensiile </w:t>
      </w:r>
      <w:r w:rsidR="007D6369" w:rsidRPr="00834B27">
        <w:rPr>
          <w:rFonts w:ascii="Calibri" w:hAnsi="Calibri" w:cs="Calibri"/>
          <w:lang w:val="ro-RO"/>
        </w:rPr>
        <w:t>din Pilonul III și Pilonul IV</w:t>
      </w:r>
      <w:r w:rsidR="00604B7F" w:rsidRPr="00834B27">
        <w:rPr>
          <w:rFonts w:ascii="Calibri" w:hAnsi="Calibri" w:cs="Calibri"/>
          <w:lang w:val="ro-RO"/>
        </w:rPr>
        <w:t xml:space="preserve"> – încă insuficient dezvoltate, considerăm </w:t>
      </w:r>
      <w:r w:rsidR="004E2909" w:rsidRPr="00834B27">
        <w:rPr>
          <w:rFonts w:ascii="Calibri" w:hAnsi="Calibri" w:cs="Calibri"/>
          <w:lang w:val="ro-RO"/>
        </w:rPr>
        <w:t xml:space="preserve">că ar trebui impozitate doar </w:t>
      </w:r>
      <w:r w:rsidR="00B25B20" w:rsidRPr="00834B27">
        <w:rPr>
          <w:rFonts w:ascii="Calibri" w:hAnsi="Calibri" w:cs="Calibri"/>
          <w:lang w:val="ro-RO"/>
        </w:rPr>
        <w:t xml:space="preserve">sumele ce depășesc </w:t>
      </w:r>
      <w:r w:rsidR="009678DB" w:rsidRPr="00834B27">
        <w:rPr>
          <w:rFonts w:ascii="Calibri" w:hAnsi="Calibri" w:cs="Calibri"/>
          <w:lang w:val="ro-RO"/>
        </w:rPr>
        <w:t>contribuția proprie ce a fost dedusă din baza de calcul al IV.</w:t>
      </w:r>
    </w:p>
    <w:p w14:paraId="609F5967" w14:textId="78D70F59" w:rsidR="00C55DE8" w:rsidRPr="00834B27" w:rsidRDefault="002E3499" w:rsidP="006B08D6">
      <w:pPr>
        <w:pStyle w:val="Listparagraf"/>
        <w:numPr>
          <w:ilvl w:val="6"/>
          <w:numId w:val="23"/>
        </w:numPr>
        <w:tabs>
          <w:tab w:val="left" w:pos="720"/>
        </w:tabs>
        <w:spacing w:line="276" w:lineRule="auto"/>
        <w:jc w:val="both"/>
        <w:rPr>
          <w:rFonts w:ascii="Calibri" w:hAnsi="Calibri" w:cs="Calibri"/>
          <w:b/>
          <w:bCs/>
          <w:lang w:val="ro-RO"/>
        </w:rPr>
      </w:pPr>
      <w:r w:rsidRPr="00834B27">
        <w:rPr>
          <w:rFonts w:ascii="Calibri" w:hAnsi="Calibri" w:cs="Calibri"/>
          <w:b/>
          <w:bCs/>
          <w:lang w:val="ro-RO"/>
        </w:rPr>
        <w:t>Venituri din transferul bunurilor din patrimoniul personal</w:t>
      </w:r>
    </w:p>
    <w:p w14:paraId="36B7F310" w14:textId="7C64ED10" w:rsidR="002E3499" w:rsidRPr="00834B27" w:rsidRDefault="002B6AE4" w:rsidP="002B6AE4">
      <w:pPr>
        <w:tabs>
          <w:tab w:val="left" w:pos="720"/>
        </w:tabs>
        <w:spacing w:line="276" w:lineRule="auto"/>
        <w:jc w:val="both"/>
        <w:rPr>
          <w:rFonts w:ascii="Calibri" w:hAnsi="Calibri" w:cs="Calibri"/>
          <w:lang w:val="ro-RO"/>
        </w:rPr>
      </w:pPr>
      <w:r w:rsidRPr="00834B27">
        <w:rPr>
          <w:rFonts w:ascii="Calibri" w:hAnsi="Calibri" w:cs="Calibri"/>
          <w:lang w:val="ro-RO"/>
        </w:rPr>
        <w:t xml:space="preserve">Condiderăm că actualul sistem </w:t>
      </w:r>
      <w:r w:rsidR="00865761" w:rsidRPr="00834B27">
        <w:rPr>
          <w:rFonts w:ascii="Calibri" w:hAnsi="Calibri" w:cs="Calibri"/>
          <w:lang w:val="ro-RO"/>
        </w:rPr>
        <w:t>de impunere al venitului din transferul acestor bunuri</w:t>
      </w:r>
      <w:r w:rsidR="00F00BDC" w:rsidRPr="00834B27">
        <w:rPr>
          <w:rFonts w:ascii="Calibri" w:hAnsi="Calibri" w:cs="Calibri"/>
          <w:lang w:val="ro-RO"/>
        </w:rPr>
        <w:t xml:space="preserve"> este unul</w:t>
      </w:r>
      <w:r w:rsidR="00B650E5" w:rsidRPr="00834B27">
        <w:rPr>
          <w:rFonts w:ascii="Calibri" w:hAnsi="Calibri" w:cs="Calibri"/>
          <w:lang w:val="ro-RO"/>
        </w:rPr>
        <w:t xml:space="preserve"> inechitabil, deoarece – pe de o parte, impozitul trebuie pl</w:t>
      </w:r>
      <w:r w:rsidR="0052351F" w:rsidRPr="00834B27">
        <w:rPr>
          <w:rFonts w:ascii="Calibri" w:hAnsi="Calibri" w:cs="Calibri"/>
          <w:lang w:val="ro-RO"/>
        </w:rPr>
        <w:t xml:space="preserve">ătit și atunci când </w:t>
      </w:r>
      <w:r w:rsidR="003840C7" w:rsidRPr="00834B27">
        <w:rPr>
          <w:rFonts w:ascii="Calibri" w:hAnsi="Calibri" w:cs="Calibri"/>
          <w:lang w:val="ro-RO"/>
        </w:rPr>
        <w:t>vânzarea se face în pierdere (la un preț mai mic decât cel de cumpărare), pe de altă parte impozitul este prea mic</w:t>
      </w:r>
      <w:r w:rsidR="00180336" w:rsidRPr="00834B27">
        <w:rPr>
          <w:rFonts w:ascii="Calibri" w:hAnsi="Calibri" w:cs="Calibri"/>
          <w:lang w:val="ro-RO"/>
        </w:rPr>
        <w:t>, atunci când vânzarea se face la un preț semnificativ mai mare decât cel de cumpă</w:t>
      </w:r>
      <w:r w:rsidR="0055770E" w:rsidRPr="00834B27">
        <w:rPr>
          <w:rFonts w:ascii="Calibri" w:hAnsi="Calibri" w:cs="Calibri"/>
          <w:lang w:val="ro-RO"/>
        </w:rPr>
        <w:t xml:space="preserve">rare. În plus, el deviază </w:t>
      </w:r>
      <w:r w:rsidR="00455A89" w:rsidRPr="00834B27">
        <w:rPr>
          <w:rFonts w:ascii="Calibri" w:hAnsi="Calibri" w:cs="Calibri"/>
          <w:lang w:val="ro-RO"/>
        </w:rPr>
        <w:t xml:space="preserve">și de la principiul enunțat mai sus, și anume așezarea sarcinii fiscale în funcție de </w:t>
      </w:r>
      <w:r w:rsidR="00B039EB" w:rsidRPr="00834B27">
        <w:rPr>
          <w:rFonts w:ascii="Calibri" w:hAnsi="Calibri" w:cs="Calibri"/>
          <w:lang w:val="ro-RO"/>
        </w:rPr>
        <w:t xml:space="preserve">mărimea câștigului și nu de tipul </w:t>
      </w:r>
      <w:r w:rsidR="00C04D79" w:rsidRPr="00834B27">
        <w:rPr>
          <w:rFonts w:ascii="Calibri" w:hAnsi="Calibri" w:cs="Calibri"/>
          <w:lang w:val="ro-RO"/>
        </w:rPr>
        <w:t>câștigului</w:t>
      </w:r>
      <w:r w:rsidR="00B039EB" w:rsidRPr="00834B27">
        <w:rPr>
          <w:rFonts w:ascii="Calibri" w:hAnsi="Calibri" w:cs="Calibri"/>
          <w:lang w:val="ro-RO"/>
        </w:rPr>
        <w:t>.</w:t>
      </w:r>
    </w:p>
    <w:p w14:paraId="2CD43391" w14:textId="46E76C22" w:rsidR="00B039EB" w:rsidRPr="00834B27" w:rsidRDefault="002F2CB9" w:rsidP="002B6AE4">
      <w:pPr>
        <w:tabs>
          <w:tab w:val="left" w:pos="720"/>
        </w:tabs>
        <w:spacing w:line="276" w:lineRule="auto"/>
        <w:jc w:val="both"/>
        <w:rPr>
          <w:rFonts w:ascii="Calibri" w:hAnsi="Calibri" w:cs="Calibri"/>
          <w:lang w:val="ro-RO"/>
        </w:rPr>
      </w:pPr>
      <w:r w:rsidRPr="00834B27">
        <w:rPr>
          <w:rFonts w:ascii="Calibri" w:hAnsi="Calibri" w:cs="Calibri"/>
          <w:lang w:val="ro-RO"/>
        </w:rPr>
        <w:lastRenderedPageBreak/>
        <w:t xml:space="preserve">În consecință, propunem </w:t>
      </w:r>
      <w:r w:rsidR="008A7189" w:rsidRPr="00834B27">
        <w:rPr>
          <w:rFonts w:ascii="Calibri" w:hAnsi="Calibri" w:cs="Calibri"/>
          <w:lang w:val="ro-RO"/>
        </w:rPr>
        <w:t>renunțarea la impoz</w:t>
      </w:r>
      <w:r w:rsidR="00BB0888" w:rsidRPr="00834B27">
        <w:rPr>
          <w:rFonts w:ascii="Calibri" w:hAnsi="Calibri" w:cs="Calibri"/>
          <w:lang w:val="ro-RO"/>
        </w:rPr>
        <w:t>itul pe</w:t>
      </w:r>
      <w:r w:rsidR="008A7189" w:rsidRPr="00834B27">
        <w:rPr>
          <w:rFonts w:ascii="Calibri" w:hAnsi="Calibri" w:cs="Calibri"/>
          <w:lang w:val="ro-RO"/>
        </w:rPr>
        <w:t xml:space="preserve"> venitul</w:t>
      </w:r>
      <w:r w:rsidR="00BB0888" w:rsidRPr="00834B27">
        <w:rPr>
          <w:rFonts w:ascii="Calibri" w:hAnsi="Calibri" w:cs="Calibri"/>
          <w:lang w:val="ro-RO"/>
        </w:rPr>
        <w:t xml:space="preserve"> </w:t>
      </w:r>
      <w:r w:rsidR="005A4C69" w:rsidRPr="00834B27">
        <w:rPr>
          <w:rFonts w:ascii="Calibri" w:hAnsi="Calibri" w:cs="Calibri"/>
          <w:lang w:val="ro-RO"/>
        </w:rPr>
        <w:t>obținut din transferul bunurilor imobile din patrimoniul personal</w:t>
      </w:r>
      <w:r w:rsidR="008A7189" w:rsidRPr="00834B27">
        <w:rPr>
          <w:rFonts w:ascii="Calibri" w:hAnsi="Calibri" w:cs="Calibri"/>
          <w:lang w:val="ro-RO"/>
        </w:rPr>
        <w:t xml:space="preserve"> </w:t>
      </w:r>
      <w:r w:rsidR="00AE643D" w:rsidRPr="00834B27">
        <w:rPr>
          <w:rFonts w:ascii="Calibri" w:hAnsi="Calibri" w:cs="Calibri"/>
          <w:lang w:val="ro-RO"/>
        </w:rPr>
        <w:t xml:space="preserve">și înlocuirea </w:t>
      </w:r>
      <w:r w:rsidR="001A75F0" w:rsidRPr="00834B27">
        <w:rPr>
          <w:rFonts w:ascii="Calibri" w:hAnsi="Calibri" w:cs="Calibri"/>
          <w:lang w:val="ro-RO"/>
        </w:rPr>
        <w:t xml:space="preserve">acestuia cu impozit pe câștigul din </w:t>
      </w:r>
      <w:r w:rsidR="009973FC" w:rsidRPr="00834B27">
        <w:rPr>
          <w:rFonts w:ascii="Calibri" w:hAnsi="Calibri" w:cs="Calibri"/>
          <w:lang w:val="ro-RO"/>
        </w:rPr>
        <w:t>vânzarea bunurilor imobile din patrimoniul personal</w:t>
      </w:r>
      <w:r w:rsidR="000016EC" w:rsidRPr="00834B27">
        <w:rPr>
          <w:rFonts w:ascii="Calibri" w:hAnsi="Calibri" w:cs="Calibri"/>
          <w:lang w:val="ro-RO"/>
        </w:rPr>
        <w:t xml:space="preserve">, câstig determinat ca diferență dintre prețul de </w:t>
      </w:r>
      <w:r w:rsidR="007B3556" w:rsidRPr="00834B27">
        <w:rPr>
          <w:rFonts w:ascii="Calibri" w:hAnsi="Calibri" w:cs="Calibri"/>
          <w:lang w:val="ro-RO"/>
        </w:rPr>
        <w:t xml:space="preserve">vânzare si cel de </w:t>
      </w:r>
      <w:r w:rsidR="000016EC" w:rsidRPr="00834B27">
        <w:rPr>
          <w:rFonts w:ascii="Calibri" w:hAnsi="Calibri" w:cs="Calibri"/>
          <w:lang w:val="ro-RO"/>
        </w:rPr>
        <w:t>dob</w:t>
      </w:r>
      <w:r w:rsidR="007B3556" w:rsidRPr="00834B27">
        <w:rPr>
          <w:rFonts w:ascii="Calibri" w:hAnsi="Calibri" w:cs="Calibri"/>
          <w:lang w:val="ro-RO"/>
        </w:rPr>
        <w:t>ândire</w:t>
      </w:r>
      <w:r w:rsidR="009D08EE" w:rsidRPr="00834B27">
        <w:rPr>
          <w:rFonts w:ascii="Calibri" w:hAnsi="Calibri" w:cs="Calibri"/>
          <w:lang w:val="ro-RO"/>
        </w:rPr>
        <w:t>, cu urm</w:t>
      </w:r>
      <w:r w:rsidR="00666E3A" w:rsidRPr="00834B27">
        <w:rPr>
          <w:rFonts w:ascii="Calibri" w:hAnsi="Calibri" w:cs="Calibri"/>
          <w:lang w:val="ro-RO"/>
        </w:rPr>
        <w:t>ă</w:t>
      </w:r>
      <w:r w:rsidR="009D08EE" w:rsidRPr="00834B27">
        <w:rPr>
          <w:rFonts w:ascii="Calibri" w:hAnsi="Calibri" w:cs="Calibri"/>
          <w:lang w:val="ro-RO"/>
        </w:rPr>
        <w:t>toarele mențiuni:</w:t>
      </w:r>
    </w:p>
    <w:p w14:paraId="0D7C9AF4" w14:textId="03278390" w:rsidR="00E81BB8" w:rsidRPr="00834B27" w:rsidRDefault="00E81BB8" w:rsidP="00E81BB8">
      <w:pPr>
        <w:pStyle w:val="Listparagraf"/>
        <w:numPr>
          <w:ilvl w:val="0"/>
          <w:numId w:val="1"/>
        </w:numPr>
        <w:tabs>
          <w:tab w:val="left" w:pos="720"/>
        </w:tabs>
        <w:spacing w:line="276" w:lineRule="auto"/>
        <w:jc w:val="both"/>
        <w:rPr>
          <w:rFonts w:ascii="Calibri" w:hAnsi="Calibri" w:cs="Calibri"/>
          <w:lang w:val="ro-RO"/>
        </w:rPr>
      </w:pPr>
      <w:r w:rsidRPr="00834B27">
        <w:rPr>
          <w:rFonts w:ascii="Calibri" w:hAnsi="Calibri" w:cs="Calibri"/>
          <w:lang w:val="ro-RO"/>
        </w:rPr>
        <w:t xml:space="preserve">Pentru </w:t>
      </w:r>
      <w:r w:rsidR="00666E3A" w:rsidRPr="00834B27">
        <w:rPr>
          <w:rFonts w:ascii="Calibri" w:hAnsi="Calibri" w:cs="Calibri"/>
          <w:lang w:val="ro-RO"/>
        </w:rPr>
        <w:t>bunurile imobile dobândite prin moștenire, valoarea de dob</w:t>
      </w:r>
      <w:r w:rsidR="00C61DFB" w:rsidRPr="00834B27">
        <w:rPr>
          <w:rFonts w:ascii="Calibri" w:hAnsi="Calibri" w:cs="Calibri"/>
          <w:lang w:val="ro-RO"/>
        </w:rPr>
        <w:t>â</w:t>
      </w:r>
      <w:r w:rsidR="00666E3A" w:rsidRPr="00834B27">
        <w:rPr>
          <w:rFonts w:ascii="Calibri" w:hAnsi="Calibri" w:cs="Calibri"/>
          <w:lang w:val="ro-RO"/>
        </w:rPr>
        <w:t xml:space="preserve">ndire </w:t>
      </w:r>
      <w:r w:rsidR="00B079E5" w:rsidRPr="00834B27">
        <w:rPr>
          <w:rFonts w:ascii="Calibri" w:hAnsi="Calibri" w:cs="Calibri"/>
          <w:lang w:val="ro-RO"/>
        </w:rPr>
        <w:t xml:space="preserve">ar trebui să fie egala cu valoarea </w:t>
      </w:r>
      <w:r w:rsidR="00C61DFB" w:rsidRPr="00834B27">
        <w:rPr>
          <w:rFonts w:ascii="Calibri" w:hAnsi="Calibri" w:cs="Calibri"/>
          <w:lang w:val="ro-RO"/>
        </w:rPr>
        <w:t>prevăzută in grila notarilor publici</w:t>
      </w:r>
    </w:p>
    <w:p w14:paraId="769C1988" w14:textId="02D50030" w:rsidR="00C61DFB" w:rsidRPr="00834B27" w:rsidRDefault="00C61DFB" w:rsidP="00E81BB8">
      <w:pPr>
        <w:pStyle w:val="Listparagraf"/>
        <w:numPr>
          <w:ilvl w:val="0"/>
          <w:numId w:val="1"/>
        </w:numPr>
        <w:tabs>
          <w:tab w:val="left" w:pos="720"/>
        </w:tabs>
        <w:spacing w:line="276" w:lineRule="auto"/>
        <w:jc w:val="both"/>
        <w:rPr>
          <w:rFonts w:ascii="Calibri" w:hAnsi="Calibri" w:cs="Calibri"/>
          <w:lang w:val="ro-RO"/>
        </w:rPr>
      </w:pPr>
      <w:r w:rsidRPr="00834B27">
        <w:rPr>
          <w:rFonts w:ascii="Calibri" w:hAnsi="Calibri" w:cs="Calibri"/>
          <w:lang w:val="ro-RO"/>
        </w:rPr>
        <w:t>Pentru bunurile imobile obținute prin donație</w:t>
      </w:r>
      <w:r w:rsidR="00CC34AD" w:rsidRPr="00834B27">
        <w:rPr>
          <w:rFonts w:ascii="Calibri" w:hAnsi="Calibri" w:cs="Calibri"/>
          <w:lang w:val="ro-RO"/>
        </w:rPr>
        <w:t>, valoarea de dobândire ar trebui să fie egală cu valoarea la care bunul a fost dob</w:t>
      </w:r>
      <w:r w:rsidR="00442892" w:rsidRPr="00834B27">
        <w:rPr>
          <w:rFonts w:ascii="Calibri" w:hAnsi="Calibri" w:cs="Calibri"/>
          <w:lang w:val="ro-RO"/>
        </w:rPr>
        <w:t>ândit de către donator</w:t>
      </w:r>
    </w:p>
    <w:p w14:paraId="46493F1F" w14:textId="7AE3856E" w:rsidR="00574D81" w:rsidRPr="00834B27" w:rsidRDefault="00574D81" w:rsidP="00E81BB8">
      <w:pPr>
        <w:pStyle w:val="Listparagraf"/>
        <w:numPr>
          <w:ilvl w:val="0"/>
          <w:numId w:val="1"/>
        </w:numPr>
        <w:tabs>
          <w:tab w:val="left" w:pos="720"/>
        </w:tabs>
        <w:spacing w:line="276" w:lineRule="auto"/>
        <w:jc w:val="both"/>
        <w:rPr>
          <w:rFonts w:ascii="Calibri" w:hAnsi="Calibri" w:cs="Calibri"/>
          <w:lang w:val="ro-RO"/>
        </w:rPr>
      </w:pPr>
      <w:r w:rsidRPr="00834B27">
        <w:rPr>
          <w:rFonts w:ascii="Calibri" w:hAnsi="Calibri" w:cs="Calibri"/>
          <w:lang w:val="ro-RO"/>
        </w:rPr>
        <w:t>Pentru bunurile imobile dobândite prin schimb, valoarea de dobândire ar trebui să fie egală cu valoarea bunului imobil dat la schimb</w:t>
      </w:r>
    </w:p>
    <w:p w14:paraId="5B0FFCF5" w14:textId="1139EB71" w:rsidR="0050698B" w:rsidRPr="00834B27" w:rsidRDefault="0050698B" w:rsidP="0050698B">
      <w:pPr>
        <w:tabs>
          <w:tab w:val="left" w:pos="720"/>
        </w:tabs>
        <w:spacing w:line="276" w:lineRule="auto"/>
        <w:jc w:val="both"/>
        <w:rPr>
          <w:rFonts w:ascii="Calibri" w:hAnsi="Calibri" w:cs="Calibri"/>
          <w:lang w:val="ro-RO"/>
        </w:rPr>
      </w:pPr>
      <w:r w:rsidRPr="00834B27">
        <w:rPr>
          <w:rFonts w:ascii="Calibri" w:hAnsi="Calibri" w:cs="Calibri"/>
          <w:lang w:val="ro-RO"/>
        </w:rPr>
        <w:t>Cons</w:t>
      </w:r>
      <w:r w:rsidR="002D6A62" w:rsidRPr="00834B27">
        <w:rPr>
          <w:rFonts w:ascii="Calibri" w:hAnsi="Calibri" w:cs="Calibri"/>
          <w:lang w:val="ro-RO"/>
        </w:rPr>
        <w:t>iderăm deasemenea că – având în vedere specificul na</w:t>
      </w:r>
      <w:r w:rsidR="009C684E" w:rsidRPr="00834B27">
        <w:rPr>
          <w:rFonts w:ascii="Calibri" w:hAnsi="Calibri" w:cs="Calibri"/>
          <w:lang w:val="ro-RO"/>
        </w:rPr>
        <w:t>țional (oamenii preferă să își achiziționeze locuințele, mai degrabă decât să le închirieze), considerăm că se impune scutirea de la impozit</w:t>
      </w:r>
      <w:r w:rsidR="00A327B3" w:rsidRPr="00834B27">
        <w:rPr>
          <w:rFonts w:ascii="Calibri" w:hAnsi="Calibri" w:cs="Calibri"/>
          <w:lang w:val="ro-RO"/>
        </w:rPr>
        <w:t xml:space="preserve"> </w:t>
      </w:r>
      <w:r w:rsidR="00752CEF" w:rsidRPr="00834B27">
        <w:rPr>
          <w:rFonts w:ascii="Calibri" w:hAnsi="Calibri" w:cs="Calibri"/>
          <w:lang w:val="ro-RO"/>
        </w:rPr>
        <w:t>câștigul obținut din vânzarea imobilului folosit ca locuință principală</w:t>
      </w:r>
      <w:r w:rsidR="007543A9" w:rsidRPr="00834B27">
        <w:rPr>
          <w:rFonts w:ascii="Calibri" w:hAnsi="Calibri" w:cs="Calibri"/>
          <w:lang w:val="ro-RO"/>
        </w:rPr>
        <w:t>, o singură dată intr-o perioadă de 5 ani.</w:t>
      </w:r>
    </w:p>
    <w:p w14:paraId="08069A14" w14:textId="51FD4EDB" w:rsidR="007543A9" w:rsidRPr="00834B27" w:rsidRDefault="00460567" w:rsidP="0050698B">
      <w:pPr>
        <w:tabs>
          <w:tab w:val="left" w:pos="720"/>
        </w:tabs>
        <w:spacing w:line="276" w:lineRule="auto"/>
        <w:jc w:val="both"/>
        <w:rPr>
          <w:rFonts w:ascii="Calibri" w:hAnsi="Calibri" w:cs="Calibri"/>
          <w:lang w:val="ro-RO"/>
        </w:rPr>
      </w:pPr>
      <w:r w:rsidRPr="00834B27">
        <w:rPr>
          <w:rFonts w:ascii="Calibri" w:hAnsi="Calibri" w:cs="Calibri"/>
          <w:lang w:val="ro-RO"/>
        </w:rPr>
        <w:t xml:space="preserve">Impozitul pe </w:t>
      </w:r>
      <w:r w:rsidR="007435A6" w:rsidRPr="00834B27">
        <w:rPr>
          <w:rFonts w:ascii="Calibri" w:hAnsi="Calibri" w:cs="Calibri"/>
          <w:lang w:val="ro-RO"/>
        </w:rPr>
        <w:t>câștig de 16%</w:t>
      </w:r>
      <w:r w:rsidR="008B5175" w:rsidRPr="00834B27">
        <w:rPr>
          <w:rFonts w:ascii="Calibri" w:hAnsi="Calibri" w:cs="Calibri"/>
          <w:lang w:val="ro-RO"/>
        </w:rPr>
        <w:t xml:space="preserve"> poate fi </w:t>
      </w:r>
      <w:r w:rsidR="002909CB" w:rsidRPr="00834B27">
        <w:rPr>
          <w:rFonts w:ascii="Calibri" w:hAnsi="Calibri" w:cs="Calibri"/>
          <w:lang w:val="ro-RO"/>
        </w:rPr>
        <w:t>în continuare retinut de către notari, la autentificarea contractului de vânzare-cumpărare, in baza declara</w:t>
      </w:r>
      <w:r w:rsidR="00C74717" w:rsidRPr="00834B27">
        <w:rPr>
          <w:rFonts w:ascii="Calibri" w:hAnsi="Calibri" w:cs="Calibri"/>
          <w:lang w:val="ro-RO"/>
        </w:rPr>
        <w:t>ției pe proprie răspundere a vânzătorului</w:t>
      </w:r>
      <w:r w:rsidR="00990587" w:rsidRPr="00834B27">
        <w:rPr>
          <w:rFonts w:ascii="Calibri" w:hAnsi="Calibri" w:cs="Calibri"/>
          <w:lang w:val="ro-RO"/>
        </w:rPr>
        <w:t>, fie plătit de către vânzător odată cu depunerea D212</w:t>
      </w:r>
      <w:r w:rsidR="00D42DC7" w:rsidRPr="00834B27">
        <w:rPr>
          <w:rFonts w:ascii="Calibri" w:hAnsi="Calibri" w:cs="Calibri"/>
          <w:lang w:val="ro-RO"/>
        </w:rPr>
        <w:t>. Consider</w:t>
      </w:r>
      <w:r w:rsidR="005907E8" w:rsidRPr="00834B27">
        <w:rPr>
          <w:rFonts w:ascii="Calibri" w:hAnsi="Calibri" w:cs="Calibri"/>
          <w:lang w:val="ro-RO"/>
        </w:rPr>
        <w:t xml:space="preserve">ăm însă că cea de a doua soluție este de preferat, pentru că permite scăderea CASS din </w:t>
      </w:r>
      <w:r w:rsidR="00A60108" w:rsidRPr="00834B27">
        <w:rPr>
          <w:rFonts w:ascii="Calibri" w:hAnsi="Calibri" w:cs="Calibri"/>
          <w:lang w:val="ro-RO"/>
        </w:rPr>
        <w:t>baza de calcul al IV</w:t>
      </w:r>
      <w:r w:rsidR="00990587" w:rsidRPr="00834B27">
        <w:rPr>
          <w:rFonts w:ascii="Calibri" w:hAnsi="Calibri" w:cs="Calibri"/>
          <w:lang w:val="ro-RO"/>
        </w:rPr>
        <w:t>.</w:t>
      </w:r>
    </w:p>
    <w:p w14:paraId="7ABABE84" w14:textId="0B672DC4" w:rsidR="00586864" w:rsidRPr="00834B27" w:rsidRDefault="00586864" w:rsidP="00B43347">
      <w:pPr>
        <w:pStyle w:val="Listparagraf"/>
        <w:keepNext/>
        <w:numPr>
          <w:ilvl w:val="6"/>
          <w:numId w:val="23"/>
        </w:numPr>
        <w:spacing w:line="276" w:lineRule="auto"/>
        <w:ind w:left="1260" w:hanging="540"/>
        <w:jc w:val="both"/>
        <w:rPr>
          <w:rFonts w:ascii="Calibri" w:hAnsi="Calibri" w:cs="Calibri"/>
          <w:b/>
          <w:bCs/>
          <w:lang w:val="ro-RO"/>
        </w:rPr>
      </w:pPr>
      <w:r w:rsidRPr="00834B27">
        <w:rPr>
          <w:rFonts w:ascii="Calibri" w:hAnsi="Calibri" w:cs="Calibri"/>
          <w:b/>
          <w:bCs/>
          <w:lang w:val="ro-RO"/>
        </w:rPr>
        <w:t>Alte venituri</w:t>
      </w:r>
    </w:p>
    <w:p w14:paraId="4A41FDA4" w14:textId="5C2DA1C1" w:rsidR="00586864" w:rsidRPr="00834B27" w:rsidRDefault="00482539" w:rsidP="00F51C2B">
      <w:pPr>
        <w:keepNext/>
        <w:tabs>
          <w:tab w:val="left" w:pos="720"/>
        </w:tabs>
        <w:spacing w:line="276" w:lineRule="auto"/>
        <w:jc w:val="both"/>
        <w:rPr>
          <w:rFonts w:ascii="Calibri" w:hAnsi="Calibri" w:cs="Calibri"/>
          <w:lang w:val="ro-RO"/>
        </w:rPr>
      </w:pPr>
      <w:r w:rsidRPr="00834B27">
        <w:rPr>
          <w:rFonts w:ascii="Calibri" w:hAnsi="Calibri" w:cs="Calibri"/>
          <w:lang w:val="ro-RO"/>
        </w:rPr>
        <w:t xml:space="preserve">Cu </w:t>
      </w:r>
      <w:r w:rsidR="00701406" w:rsidRPr="00834B27">
        <w:rPr>
          <w:rFonts w:ascii="Calibri" w:hAnsi="Calibri" w:cs="Calibri"/>
          <w:lang w:val="ro-RO"/>
        </w:rPr>
        <w:t>excep</w:t>
      </w:r>
      <w:r w:rsidR="00D77C4B" w:rsidRPr="00834B27">
        <w:rPr>
          <w:rFonts w:ascii="Calibri" w:hAnsi="Calibri" w:cs="Calibri"/>
          <w:lang w:val="ro-RO"/>
        </w:rPr>
        <w:t>ț</w:t>
      </w:r>
      <w:r w:rsidR="00701406" w:rsidRPr="00834B27">
        <w:rPr>
          <w:rFonts w:ascii="Calibri" w:hAnsi="Calibri" w:cs="Calibri"/>
          <w:lang w:val="ro-RO"/>
        </w:rPr>
        <w:t>ia</w:t>
      </w:r>
      <w:r w:rsidRPr="00834B27">
        <w:rPr>
          <w:rFonts w:ascii="Calibri" w:hAnsi="Calibri" w:cs="Calibri"/>
          <w:lang w:val="ro-RO"/>
        </w:rPr>
        <w:t xml:space="preserve"> veniturilor din </w:t>
      </w:r>
      <w:r w:rsidR="00701406" w:rsidRPr="00834B27">
        <w:rPr>
          <w:rFonts w:ascii="Calibri" w:hAnsi="Calibri" w:cs="Calibri"/>
          <w:lang w:val="ro-RO"/>
        </w:rPr>
        <w:t>tranzac</w:t>
      </w:r>
      <w:r w:rsidR="00D77C4B" w:rsidRPr="00834B27">
        <w:rPr>
          <w:rFonts w:ascii="Calibri" w:hAnsi="Calibri" w:cs="Calibri"/>
          <w:lang w:val="ro-RO"/>
        </w:rPr>
        <w:t>ț</w:t>
      </w:r>
      <w:r w:rsidR="00701406" w:rsidRPr="00834B27">
        <w:rPr>
          <w:rFonts w:ascii="Calibri" w:hAnsi="Calibri" w:cs="Calibri"/>
          <w:lang w:val="ro-RO"/>
        </w:rPr>
        <w:t>ionarea</w:t>
      </w:r>
      <w:r w:rsidR="009E668A" w:rsidRPr="00834B27">
        <w:rPr>
          <w:rFonts w:ascii="Calibri" w:hAnsi="Calibri" w:cs="Calibri"/>
          <w:lang w:val="ro-RO"/>
        </w:rPr>
        <w:t xml:space="preserve"> de cr</w:t>
      </w:r>
      <w:r w:rsidR="00701406" w:rsidRPr="00834B27">
        <w:rPr>
          <w:rFonts w:ascii="Calibri" w:hAnsi="Calibri" w:cs="Calibri"/>
          <w:lang w:val="ro-RO"/>
        </w:rPr>
        <w:t>i</w:t>
      </w:r>
      <w:r w:rsidR="009E668A" w:rsidRPr="00834B27">
        <w:rPr>
          <w:rFonts w:ascii="Calibri" w:hAnsi="Calibri" w:cs="Calibri"/>
          <w:lang w:val="ro-RO"/>
        </w:rPr>
        <w:t xml:space="preserve">ptomonede </w:t>
      </w:r>
      <w:r w:rsidR="00701406" w:rsidRPr="00834B27">
        <w:rPr>
          <w:rFonts w:ascii="Calibri" w:hAnsi="Calibri" w:cs="Calibri"/>
          <w:lang w:val="ro-RO"/>
        </w:rPr>
        <w:t>ș</w:t>
      </w:r>
      <w:r w:rsidR="009E668A" w:rsidRPr="00834B27">
        <w:rPr>
          <w:rFonts w:ascii="Calibri" w:hAnsi="Calibri" w:cs="Calibri"/>
          <w:lang w:val="ro-RO"/>
        </w:rPr>
        <w:t xml:space="preserve">i a </w:t>
      </w:r>
      <w:r w:rsidR="00C469E9" w:rsidRPr="00834B27">
        <w:rPr>
          <w:rFonts w:ascii="Calibri" w:hAnsi="Calibri" w:cs="Calibri"/>
          <w:lang w:val="ro-RO"/>
        </w:rPr>
        <w:t xml:space="preserve">cheltuielilor </w:t>
      </w:r>
      <w:r w:rsidR="00701406" w:rsidRPr="00834B27">
        <w:rPr>
          <w:rFonts w:ascii="Calibri" w:hAnsi="Calibri" w:cs="Calibri"/>
          <w:lang w:val="ro-RO"/>
        </w:rPr>
        <w:t>făcute</w:t>
      </w:r>
      <w:r w:rsidR="00C469E9" w:rsidRPr="00834B27">
        <w:rPr>
          <w:rFonts w:ascii="Calibri" w:hAnsi="Calibri" w:cs="Calibri"/>
          <w:lang w:val="ro-RO"/>
        </w:rPr>
        <w:t xml:space="preserve"> de companie </w:t>
      </w:r>
      <w:r w:rsidR="00701406" w:rsidRPr="00834B27">
        <w:rPr>
          <w:rFonts w:ascii="Calibri" w:hAnsi="Calibri" w:cs="Calibri"/>
          <w:lang w:val="ro-RO"/>
        </w:rPr>
        <w:t>î</w:t>
      </w:r>
      <w:r w:rsidR="00C469E9" w:rsidRPr="00834B27">
        <w:rPr>
          <w:rFonts w:ascii="Calibri" w:hAnsi="Calibri" w:cs="Calibri"/>
          <w:lang w:val="ro-RO"/>
        </w:rPr>
        <w:t xml:space="preserve">n favoarea </w:t>
      </w:r>
      <w:r w:rsidR="00701406" w:rsidRPr="00834B27">
        <w:rPr>
          <w:rFonts w:ascii="Calibri" w:hAnsi="Calibri" w:cs="Calibri"/>
          <w:lang w:val="ro-RO"/>
        </w:rPr>
        <w:t>asocia</w:t>
      </w:r>
      <w:r w:rsidR="00D77C4B" w:rsidRPr="00834B27">
        <w:rPr>
          <w:rFonts w:ascii="Calibri" w:hAnsi="Calibri" w:cs="Calibri"/>
          <w:lang w:val="ro-RO"/>
        </w:rPr>
        <w:t>ț</w:t>
      </w:r>
      <w:r w:rsidR="00701406" w:rsidRPr="00834B27">
        <w:rPr>
          <w:rFonts w:ascii="Calibri" w:hAnsi="Calibri" w:cs="Calibri"/>
          <w:lang w:val="ro-RO"/>
        </w:rPr>
        <w:t>ilor</w:t>
      </w:r>
      <w:r w:rsidR="009E668A" w:rsidRPr="00834B27">
        <w:rPr>
          <w:rFonts w:ascii="Calibri" w:hAnsi="Calibri" w:cs="Calibri"/>
          <w:lang w:val="ro-RO"/>
        </w:rPr>
        <w:t>, aceast</w:t>
      </w:r>
      <w:r w:rsidR="00701406" w:rsidRPr="00834B27">
        <w:rPr>
          <w:rFonts w:ascii="Calibri" w:hAnsi="Calibri" w:cs="Calibri"/>
          <w:lang w:val="ro-RO"/>
        </w:rPr>
        <w:t>ă</w:t>
      </w:r>
      <w:r w:rsidR="009E668A" w:rsidRPr="00834B27">
        <w:rPr>
          <w:rFonts w:ascii="Calibri" w:hAnsi="Calibri" w:cs="Calibri"/>
          <w:lang w:val="ro-RO"/>
        </w:rPr>
        <w:t xml:space="preserve"> </w:t>
      </w:r>
      <w:r w:rsidR="00701406" w:rsidRPr="00834B27">
        <w:rPr>
          <w:rFonts w:ascii="Calibri" w:hAnsi="Calibri" w:cs="Calibri"/>
          <w:lang w:val="ro-RO"/>
        </w:rPr>
        <w:t>sec</w:t>
      </w:r>
      <w:r w:rsidR="00D77C4B" w:rsidRPr="00834B27">
        <w:rPr>
          <w:rFonts w:ascii="Calibri" w:hAnsi="Calibri" w:cs="Calibri"/>
          <w:lang w:val="ro-RO"/>
        </w:rPr>
        <w:t>ț</w:t>
      </w:r>
      <w:r w:rsidR="00701406" w:rsidRPr="00834B27">
        <w:rPr>
          <w:rFonts w:ascii="Calibri" w:hAnsi="Calibri" w:cs="Calibri"/>
          <w:lang w:val="ro-RO"/>
        </w:rPr>
        <w:t>iune</w:t>
      </w:r>
      <w:r w:rsidR="009E668A" w:rsidRPr="00834B27">
        <w:rPr>
          <w:rFonts w:ascii="Calibri" w:hAnsi="Calibri" w:cs="Calibri"/>
          <w:lang w:val="ro-RO"/>
        </w:rPr>
        <w:t xml:space="preserve"> poate fi </w:t>
      </w:r>
      <w:r w:rsidR="00701406" w:rsidRPr="00834B27">
        <w:rPr>
          <w:rFonts w:ascii="Calibri" w:hAnsi="Calibri" w:cs="Calibri"/>
          <w:lang w:val="ro-RO"/>
        </w:rPr>
        <w:t>păstrată</w:t>
      </w:r>
      <w:r w:rsidR="009E668A" w:rsidRPr="00834B27">
        <w:rPr>
          <w:rFonts w:ascii="Calibri" w:hAnsi="Calibri" w:cs="Calibri"/>
          <w:lang w:val="ro-RO"/>
        </w:rPr>
        <w:t xml:space="preserve"> </w:t>
      </w:r>
      <w:r w:rsidR="00701406" w:rsidRPr="00834B27">
        <w:rPr>
          <w:rFonts w:ascii="Calibri" w:hAnsi="Calibri" w:cs="Calibri"/>
          <w:lang w:val="ro-RO"/>
        </w:rPr>
        <w:t>așa</w:t>
      </w:r>
      <w:r w:rsidR="009E668A" w:rsidRPr="00834B27">
        <w:rPr>
          <w:rFonts w:ascii="Calibri" w:hAnsi="Calibri" w:cs="Calibri"/>
          <w:lang w:val="ro-RO"/>
        </w:rPr>
        <w:t xml:space="preserve"> cum este </w:t>
      </w:r>
      <w:r w:rsidR="00701406" w:rsidRPr="00834B27">
        <w:rPr>
          <w:rFonts w:ascii="Calibri" w:hAnsi="Calibri" w:cs="Calibri"/>
          <w:lang w:val="ro-RO"/>
        </w:rPr>
        <w:t>î</w:t>
      </w:r>
      <w:r w:rsidR="009E668A" w:rsidRPr="00834B27">
        <w:rPr>
          <w:rFonts w:ascii="Calibri" w:hAnsi="Calibri" w:cs="Calibri"/>
          <w:lang w:val="ro-RO"/>
        </w:rPr>
        <w:t>n prezent.</w:t>
      </w:r>
    </w:p>
    <w:p w14:paraId="3FD4E2D2" w14:textId="4242A212" w:rsidR="00765FFE" w:rsidRPr="00834B27" w:rsidRDefault="00701406" w:rsidP="00B43347">
      <w:pPr>
        <w:tabs>
          <w:tab w:val="left" w:pos="720"/>
        </w:tabs>
        <w:spacing w:line="276" w:lineRule="auto"/>
        <w:jc w:val="both"/>
        <w:rPr>
          <w:rFonts w:ascii="Calibri" w:hAnsi="Calibri" w:cs="Calibri"/>
          <w:lang w:val="ro-RO"/>
        </w:rPr>
      </w:pPr>
      <w:r w:rsidRPr="00834B27">
        <w:rPr>
          <w:rFonts w:ascii="Calibri" w:hAnsi="Calibri" w:cs="Calibri"/>
          <w:lang w:val="ro-RO"/>
        </w:rPr>
        <w:t>Î</w:t>
      </w:r>
      <w:r w:rsidR="002E73DC" w:rsidRPr="00834B27">
        <w:rPr>
          <w:rFonts w:ascii="Calibri" w:hAnsi="Calibri" w:cs="Calibri"/>
          <w:lang w:val="ro-RO"/>
        </w:rPr>
        <w:t xml:space="preserve">n ceea ce </w:t>
      </w:r>
      <w:r w:rsidRPr="00834B27">
        <w:rPr>
          <w:rFonts w:ascii="Calibri" w:hAnsi="Calibri" w:cs="Calibri"/>
          <w:lang w:val="ro-RO"/>
        </w:rPr>
        <w:t>privește</w:t>
      </w:r>
      <w:r w:rsidR="002E73DC" w:rsidRPr="00834B27">
        <w:rPr>
          <w:rFonts w:ascii="Calibri" w:hAnsi="Calibri" w:cs="Calibri"/>
          <w:lang w:val="ro-RO"/>
        </w:rPr>
        <w:t xml:space="preserve"> </w:t>
      </w:r>
      <w:r w:rsidRPr="00834B27">
        <w:rPr>
          <w:rFonts w:ascii="Calibri" w:hAnsi="Calibri" w:cs="Calibri"/>
          <w:lang w:val="ro-RO"/>
        </w:rPr>
        <w:t>câștigurile</w:t>
      </w:r>
      <w:r w:rsidR="002E73DC" w:rsidRPr="00834B27">
        <w:rPr>
          <w:rFonts w:ascii="Calibri" w:hAnsi="Calibri" w:cs="Calibri"/>
          <w:lang w:val="ro-RO"/>
        </w:rPr>
        <w:t xml:space="preserve"> din </w:t>
      </w:r>
      <w:r w:rsidRPr="00834B27">
        <w:rPr>
          <w:rFonts w:ascii="Calibri" w:hAnsi="Calibri" w:cs="Calibri"/>
          <w:lang w:val="ro-RO"/>
        </w:rPr>
        <w:t>tranzac</w:t>
      </w:r>
      <w:r w:rsidR="00D77C4B" w:rsidRPr="00834B27">
        <w:rPr>
          <w:rFonts w:ascii="Calibri" w:hAnsi="Calibri" w:cs="Calibri"/>
          <w:lang w:val="ro-RO"/>
        </w:rPr>
        <w:t>ț</w:t>
      </w:r>
      <w:r w:rsidRPr="00834B27">
        <w:rPr>
          <w:rFonts w:ascii="Calibri" w:hAnsi="Calibri" w:cs="Calibri"/>
          <w:lang w:val="ro-RO"/>
        </w:rPr>
        <w:t>ionarea</w:t>
      </w:r>
      <w:r w:rsidR="002E73DC" w:rsidRPr="00834B27">
        <w:rPr>
          <w:rFonts w:ascii="Calibri" w:hAnsi="Calibri" w:cs="Calibri"/>
          <w:lang w:val="ro-RO"/>
        </w:rPr>
        <w:t xml:space="preserve"> de cr</w:t>
      </w:r>
      <w:r w:rsidRPr="00834B27">
        <w:rPr>
          <w:rFonts w:ascii="Calibri" w:hAnsi="Calibri" w:cs="Calibri"/>
          <w:lang w:val="ro-RO"/>
        </w:rPr>
        <w:t>i</w:t>
      </w:r>
      <w:r w:rsidR="000F418E" w:rsidRPr="00834B27">
        <w:rPr>
          <w:rFonts w:ascii="Calibri" w:hAnsi="Calibri" w:cs="Calibri"/>
          <w:lang w:val="ro-RO"/>
        </w:rPr>
        <w:t>pt</w:t>
      </w:r>
      <w:r w:rsidRPr="00834B27">
        <w:rPr>
          <w:rFonts w:ascii="Calibri" w:hAnsi="Calibri" w:cs="Calibri"/>
          <w:lang w:val="ro-RO"/>
        </w:rPr>
        <w:t>o</w:t>
      </w:r>
      <w:r w:rsidR="000F418E" w:rsidRPr="00834B27">
        <w:rPr>
          <w:rFonts w:ascii="Calibri" w:hAnsi="Calibri" w:cs="Calibri"/>
          <w:lang w:val="ro-RO"/>
        </w:rPr>
        <w:t>monede, consider</w:t>
      </w:r>
      <w:r w:rsidRPr="00834B27">
        <w:rPr>
          <w:rFonts w:ascii="Calibri" w:hAnsi="Calibri" w:cs="Calibri"/>
          <w:lang w:val="ro-RO"/>
        </w:rPr>
        <w:t>ă</w:t>
      </w:r>
      <w:r w:rsidR="000F418E" w:rsidRPr="00834B27">
        <w:rPr>
          <w:rFonts w:ascii="Calibri" w:hAnsi="Calibri" w:cs="Calibri"/>
          <w:lang w:val="ro-RO"/>
        </w:rPr>
        <w:t>m c</w:t>
      </w:r>
      <w:r w:rsidRPr="00834B27">
        <w:rPr>
          <w:rFonts w:ascii="Calibri" w:hAnsi="Calibri" w:cs="Calibri"/>
          <w:lang w:val="ro-RO"/>
        </w:rPr>
        <w:t>ă</w:t>
      </w:r>
      <w:r w:rsidR="000F418E" w:rsidRPr="00834B27">
        <w:rPr>
          <w:rFonts w:ascii="Calibri" w:hAnsi="Calibri" w:cs="Calibri"/>
          <w:lang w:val="ro-RO"/>
        </w:rPr>
        <w:t xml:space="preserve"> aceste</w:t>
      </w:r>
      <w:r w:rsidRPr="00834B27">
        <w:rPr>
          <w:rFonts w:ascii="Calibri" w:hAnsi="Calibri" w:cs="Calibri"/>
          <w:lang w:val="ro-RO"/>
        </w:rPr>
        <w:t>a</w:t>
      </w:r>
      <w:r w:rsidR="000F418E" w:rsidRPr="00834B27">
        <w:rPr>
          <w:rFonts w:ascii="Calibri" w:hAnsi="Calibri" w:cs="Calibri"/>
          <w:lang w:val="ro-RO"/>
        </w:rPr>
        <w:t xml:space="preserve"> trebuie </w:t>
      </w:r>
      <w:r w:rsidR="00914E1E" w:rsidRPr="00834B27">
        <w:rPr>
          <w:rFonts w:ascii="Calibri" w:hAnsi="Calibri" w:cs="Calibri"/>
          <w:lang w:val="ro-RO"/>
        </w:rPr>
        <w:t xml:space="preserve">asimilate </w:t>
      </w:r>
      <w:r w:rsidRPr="00834B27">
        <w:rPr>
          <w:rFonts w:ascii="Calibri" w:hAnsi="Calibri" w:cs="Calibri"/>
          <w:lang w:val="ro-RO"/>
        </w:rPr>
        <w:t>câștigurilor</w:t>
      </w:r>
      <w:r w:rsidR="008D1064" w:rsidRPr="00834B27">
        <w:rPr>
          <w:rFonts w:ascii="Calibri" w:hAnsi="Calibri" w:cs="Calibri"/>
          <w:lang w:val="ro-RO"/>
        </w:rPr>
        <w:t xml:space="preserve"> transferul titlurilor de participare tranzacționate pe piețe bursiere</w:t>
      </w:r>
      <w:r w:rsidR="00914E1E" w:rsidRPr="00834B27">
        <w:rPr>
          <w:rFonts w:ascii="Calibri" w:hAnsi="Calibri" w:cs="Calibri"/>
          <w:lang w:val="ro-RO"/>
        </w:rPr>
        <w:t xml:space="preserve"> </w:t>
      </w:r>
      <w:r w:rsidRPr="00834B27">
        <w:rPr>
          <w:rFonts w:ascii="Calibri" w:hAnsi="Calibri" w:cs="Calibri"/>
          <w:lang w:val="ro-RO"/>
        </w:rPr>
        <w:t>ș</w:t>
      </w:r>
      <w:r w:rsidR="00914E1E" w:rsidRPr="00834B27">
        <w:rPr>
          <w:rFonts w:ascii="Calibri" w:hAnsi="Calibri" w:cs="Calibri"/>
          <w:lang w:val="ro-RO"/>
        </w:rPr>
        <w:t xml:space="preserve">i </w:t>
      </w:r>
      <w:r w:rsidR="000F418E" w:rsidRPr="00834B27">
        <w:rPr>
          <w:rFonts w:ascii="Calibri" w:hAnsi="Calibri" w:cs="Calibri"/>
          <w:lang w:val="ro-RO"/>
        </w:rPr>
        <w:t xml:space="preserve">impozitate </w:t>
      </w:r>
      <w:r w:rsidRPr="00834B27">
        <w:rPr>
          <w:rFonts w:ascii="Calibri" w:hAnsi="Calibri" w:cs="Calibri"/>
          <w:lang w:val="ro-RO"/>
        </w:rPr>
        <w:t>î</w:t>
      </w:r>
      <w:r w:rsidR="000F418E" w:rsidRPr="00834B27">
        <w:rPr>
          <w:rFonts w:ascii="Calibri" w:hAnsi="Calibri" w:cs="Calibri"/>
          <w:lang w:val="ro-RO"/>
        </w:rPr>
        <w:t xml:space="preserve">n </w:t>
      </w:r>
      <w:r w:rsidRPr="00834B27">
        <w:rPr>
          <w:rFonts w:ascii="Calibri" w:hAnsi="Calibri" w:cs="Calibri"/>
          <w:lang w:val="ro-RO"/>
        </w:rPr>
        <w:t>același</w:t>
      </w:r>
      <w:r w:rsidR="000F418E" w:rsidRPr="00834B27">
        <w:rPr>
          <w:rFonts w:ascii="Calibri" w:hAnsi="Calibri" w:cs="Calibri"/>
          <w:lang w:val="ro-RO"/>
        </w:rPr>
        <w:t xml:space="preserve"> mod cu </w:t>
      </w:r>
      <w:r w:rsidR="00D43C2C" w:rsidRPr="00834B27">
        <w:rPr>
          <w:rFonts w:ascii="Calibri" w:hAnsi="Calibri" w:cs="Calibri"/>
          <w:lang w:val="ro-RO"/>
        </w:rPr>
        <w:t>acestea</w:t>
      </w:r>
      <w:r w:rsidR="00914E1E" w:rsidRPr="00834B27">
        <w:rPr>
          <w:rFonts w:ascii="Calibri" w:hAnsi="Calibri" w:cs="Calibri"/>
          <w:lang w:val="ro-RO"/>
        </w:rPr>
        <w:t>.</w:t>
      </w:r>
    </w:p>
    <w:p w14:paraId="0801B77C" w14:textId="73168F20" w:rsidR="00A1202C" w:rsidRPr="00834B27" w:rsidRDefault="00765FFE" w:rsidP="00A1202C">
      <w:pPr>
        <w:pStyle w:val="Listparagraf"/>
        <w:numPr>
          <w:ilvl w:val="0"/>
          <w:numId w:val="48"/>
        </w:numPr>
        <w:tabs>
          <w:tab w:val="left" w:pos="720"/>
        </w:tabs>
        <w:spacing w:line="276" w:lineRule="auto"/>
        <w:ind w:left="720"/>
        <w:jc w:val="both"/>
        <w:rPr>
          <w:rFonts w:ascii="Calibri" w:hAnsi="Calibri" w:cs="Calibri"/>
          <w:b/>
          <w:bCs/>
          <w:lang w:val="ro-RO"/>
        </w:rPr>
      </w:pPr>
      <w:r w:rsidRPr="00834B27">
        <w:rPr>
          <w:rFonts w:ascii="Calibri" w:hAnsi="Calibri" w:cs="Calibri"/>
          <w:b/>
          <w:bCs/>
          <w:lang w:val="ro-RO"/>
        </w:rPr>
        <w:t>Baza de calcul al impozitului pe venit</w:t>
      </w:r>
    </w:p>
    <w:p w14:paraId="3432AC78" w14:textId="77777777" w:rsidR="00701406" w:rsidRPr="00834B27" w:rsidRDefault="00701406" w:rsidP="00701406">
      <w:pPr>
        <w:pStyle w:val="Listparagraf"/>
        <w:tabs>
          <w:tab w:val="left" w:pos="720"/>
        </w:tabs>
        <w:spacing w:line="276" w:lineRule="auto"/>
        <w:ind w:left="1080"/>
        <w:jc w:val="both"/>
        <w:rPr>
          <w:rFonts w:ascii="Calibri" w:hAnsi="Calibri" w:cs="Calibri"/>
          <w:b/>
          <w:bCs/>
          <w:lang w:val="ro-RO"/>
        </w:rPr>
      </w:pPr>
    </w:p>
    <w:p w14:paraId="45562266" w14:textId="4A06308D" w:rsidR="007849A3" w:rsidRPr="00834B27" w:rsidRDefault="00F41762" w:rsidP="00B43347">
      <w:pPr>
        <w:pStyle w:val="Listparagraf"/>
        <w:numPr>
          <w:ilvl w:val="0"/>
          <w:numId w:val="41"/>
        </w:numPr>
        <w:tabs>
          <w:tab w:val="left" w:pos="540"/>
        </w:tabs>
        <w:spacing w:after="0" w:line="276" w:lineRule="auto"/>
        <w:ind w:left="540" w:hanging="540"/>
        <w:contextualSpacing w:val="0"/>
        <w:jc w:val="both"/>
        <w:rPr>
          <w:rFonts w:ascii="Calibri" w:hAnsi="Calibri" w:cs="Calibri"/>
          <w:lang w:val="ro-RO"/>
        </w:rPr>
      </w:pPr>
      <w:r w:rsidRPr="00834B27">
        <w:rPr>
          <w:rFonts w:ascii="Calibri" w:hAnsi="Calibri" w:cs="Calibri"/>
          <w:lang w:val="ro-RO"/>
        </w:rPr>
        <w:t xml:space="preserve">Pentru venituri din salarii </w:t>
      </w:r>
      <w:r w:rsidR="00701406" w:rsidRPr="00834B27">
        <w:rPr>
          <w:rFonts w:ascii="Calibri" w:hAnsi="Calibri" w:cs="Calibri"/>
          <w:lang w:val="ro-RO"/>
        </w:rPr>
        <w:t>ș</w:t>
      </w:r>
      <w:r w:rsidRPr="00834B27">
        <w:rPr>
          <w:rFonts w:ascii="Calibri" w:hAnsi="Calibri" w:cs="Calibri"/>
          <w:lang w:val="ro-RO"/>
        </w:rPr>
        <w:t>i asimilate salariilor</w:t>
      </w:r>
      <w:r w:rsidR="002F5B1C" w:rsidRPr="00834B27">
        <w:rPr>
          <w:rFonts w:ascii="Calibri" w:hAnsi="Calibri" w:cs="Calibri"/>
          <w:lang w:val="ro-RO"/>
        </w:rPr>
        <w:t>, inclusiv pentru veniturile din contracte sportive</w:t>
      </w:r>
      <w:r w:rsidR="00783EDE" w:rsidRPr="00834B27">
        <w:rPr>
          <w:rFonts w:ascii="Calibri" w:hAnsi="Calibri" w:cs="Calibri"/>
          <w:lang w:val="ro-RO"/>
        </w:rPr>
        <w:t>: Venitul brut – CAS – CASS – DP</w:t>
      </w:r>
      <w:r w:rsidR="00F47D11" w:rsidRPr="00834B27">
        <w:rPr>
          <w:rFonts w:ascii="Calibri" w:hAnsi="Calibri" w:cs="Calibri"/>
          <w:lang w:val="ro-RO"/>
        </w:rPr>
        <w:t>.</w:t>
      </w:r>
    </w:p>
    <w:p w14:paraId="415AC501" w14:textId="77777777" w:rsidR="00701406" w:rsidRPr="00834B27" w:rsidRDefault="00701406" w:rsidP="00B43347">
      <w:pPr>
        <w:tabs>
          <w:tab w:val="left" w:pos="540"/>
        </w:tabs>
        <w:spacing w:after="0" w:line="276" w:lineRule="auto"/>
        <w:jc w:val="both"/>
        <w:rPr>
          <w:rFonts w:ascii="Calibri" w:hAnsi="Calibri" w:cs="Calibri"/>
          <w:lang w:val="ro-RO"/>
        </w:rPr>
      </w:pPr>
    </w:p>
    <w:p w14:paraId="56008214" w14:textId="10A46313" w:rsidR="00A1595F" w:rsidRPr="00834B27" w:rsidRDefault="00F15DFD" w:rsidP="00B43347">
      <w:pPr>
        <w:pStyle w:val="Listparagraf"/>
        <w:numPr>
          <w:ilvl w:val="0"/>
          <w:numId w:val="41"/>
        </w:numPr>
        <w:tabs>
          <w:tab w:val="left" w:pos="540"/>
        </w:tabs>
        <w:spacing w:after="0" w:line="276" w:lineRule="auto"/>
        <w:ind w:left="540" w:hanging="540"/>
        <w:contextualSpacing w:val="0"/>
        <w:jc w:val="both"/>
        <w:rPr>
          <w:rFonts w:ascii="Calibri" w:hAnsi="Calibri" w:cs="Calibri"/>
          <w:lang w:val="ro-RO"/>
        </w:rPr>
      </w:pPr>
      <w:r w:rsidRPr="00834B27">
        <w:rPr>
          <w:rFonts w:ascii="Calibri" w:hAnsi="Calibri" w:cs="Calibri"/>
          <w:lang w:val="ro-RO"/>
        </w:rPr>
        <w:t xml:space="preserve">Pentru venituri din </w:t>
      </w:r>
      <w:r w:rsidR="00701406" w:rsidRPr="00834B27">
        <w:rPr>
          <w:rFonts w:ascii="Calibri" w:hAnsi="Calibri" w:cs="Calibri"/>
          <w:lang w:val="ro-RO"/>
        </w:rPr>
        <w:t>activită</w:t>
      </w:r>
      <w:r w:rsidR="00D77C4B" w:rsidRPr="00834B27">
        <w:rPr>
          <w:rFonts w:ascii="Calibri" w:hAnsi="Calibri" w:cs="Calibri"/>
          <w:lang w:val="ro-RO"/>
        </w:rPr>
        <w:t>ț</w:t>
      </w:r>
      <w:r w:rsidR="00701406" w:rsidRPr="00834B27">
        <w:rPr>
          <w:rFonts w:ascii="Calibri" w:hAnsi="Calibri" w:cs="Calibri"/>
          <w:lang w:val="ro-RO"/>
        </w:rPr>
        <w:t>i</w:t>
      </w:r>
      <w:r w:rsidRPr="00834B27">
        <w:rPr>
          <w:rFonts w:ascii="Calibri" w:hAnsi="Calibri" w:cs="Calibri"/>
          <w:lang w:val="ro-RO"/>
        </w:rPr>
        <w:t xml:space="preserve"> independente: </w:t>
      </w:r>
      <w:r w:rsidR="00D84F6D" w:rsidRPr="00834B27">
        <w:rPr>
          <w:rFonts w:ascii="Calibri" w:hAnsi="Calibri" w:cs="Calibri"/>
          <w:lang w:val="ro-RO"/>
        </w:rPr>
        <w:t>î</w:t>
      </w:r>
      <w:r w:rsidR="00C47786" w:rsidRPr="00834B27">
        <w:rPr>
          <w:rFonts w:ascii="Calibri" w:hAnsi="Calibri" w:cs="Calibri"/>
          <w:lang w:val="ro-RO"/>
        </w:rPr>
        <w:t>ncasări – cheltuieli (pe baza datelor din contabilitatea în partidă simplă) – CAS – CASS</w:t>
      </w:r>
    </w:p>
    <w:p w14:paraId="4919ED75" w14:textId="5C6FF7F6" w:rsidR="00701406" w:rsidRPr="00834B27" w:rsidRDefault="00C640C0" w:rsidP="00B43347">
      <w:pPr>
        <w:tabs>
          <w:tab w:val="left" w:pos="540"/>
        </w:tabs>
        <w:spacing w:after="0" w:line="276" w:lineRule="auto"/>
        <w:jc w:val="both"/>
        <w:rPr>
          <w:rFonts w:ascii="Calibri" w:hAnsi="Calibri" w:cs="Calibri"/>
          <w:lang w:val="ro-RO"/>
        </w:rPr>
      </w:pPr>
      <w:r w:rsidRPr="00834B27">
        <w:rPr>
          <w:rFonts w:ascii="Calibri" w:hAnsi="Calibri" w:cs="Calibri"/>
          <w:lang w:val="ro-RO"/>
        </w:rPr>
        <w:t xml:space="preserve">, </w:t>
      </w:r>
    </w:p>
    <w:p w14:paraId="1199237A" w14:textId="7BFFB235" w:rsidR="000E1877" w:rsidRPr="00834B27" w:rsidRDefault="000E1877" w:rsidP="00B43347">
      <w:pPr>
        <w:pStyle w:val="Listparagraf"/>
        <w:numPr>
          <w:ilvl w:val="0"/>
          <w:numId w:val="41"/>
        </w:numPr>
        <w:tabs>
          <w:tab w:val="left" w:pos="540"/>
        </w:tabs>
        <w:spacing w:after="0" w:line="276" w:lineRule="auto"/>
        <w:ind w:left="540" w:hanging="540"/>
        <w:contextualSpacing w:val="0"/>
        <w:jc w:val="both"/>
        <w:rPr>
          <w:rFonts w:ascii="Calibri" w:hAnsi="Calibri" w:cs="Calibri"/>
          <w:lang w:val="ro-RO"/>
        </w:rPr>
      </w:pPr>
      <w:r w:rsidRPr="00834B27">
        <w:rPr>
          <w:rFonts w:ascii="Calibri" w:hAnsi="Calibri" w:cs="Calibri"/>
          <w:lang w:val="ro-RO"/>
        </w:rPr>
        <w:t xml:space="preserve">Pentru venituri din cedarea </w:t>
      </w:r>
      <w:r w:rsidR="00201A98" w:rsidRPr="00834B27">
        <w:rPr>
          <w:rFonts w:ascii="Calibri" w:hAnsi="Calibri" w:cs="Calibri"/>
          <w:lang w:val="ro-RO"/>
        </w:rPr>
        <w:t>drepturilor de proprietate intelectual</w:t>
      </w:r>
      <w:r w:rsidR="00701406" w:rsidRPr="00834B27">
        <w:rPr>
          <w:rFonts w:ascii="Calibri" w:hAnsi="Calibri" w:cs="Calibri"/>
          <w:lang w:val="ro-RO"/>
        </w:rPr>
        <w:t>ă</w:t>
      </w:r>
      <w:r w:rsidR="00C9216C" w:rsidRPr="00834B27">
        <w:rPr>
          <w:rFonts w:ascii="Calibri" w:hAnsi="Calibri" w:cs="Calibri"/>
          <w:lang w:val="ro-RO"/>
        </w:rPr>
        <w:t>:</w:t>
      </w:r>
    </w:p>
    <w:p w14:paraId="502BB4BB" w14:textId="6101CF2C" w:rsidR="00C9216C" w:rsidRPr="00834B27" w:rsidRDefault="00701406" w:rsidP="00A1202C">
      <w:pPr>
        <w:pStyle w:val="Listparagraf"/>
        <w:numPr>
          <w:ilvl w:val="0"/>
          <w:numId w:val="53"/>
        </w:numPr>
        <w:tabs>
          <w:tab w:val="left" w:pos="900"/>
        </w:tabs>
        <w:spacing w:after="0" w:line="276" w:lineRule="auto"/>
        <w:ind w:left="900"/>
        <w:jc w:val="both"/>
        <w:rPr>
          <w:rFonts w:ascii="Calibri" w:hAnsi="Calibri" w:cs="Calibri"/>
          <w:lang w:val="ro-RO"/>
        </w:rPr>
      </w:pPr>
      <w:r w:rsidRPr="00834B27">
        <w:rPr>
          <w:rFonts w:ascii="Calibri" w:hAnsi="Calibri" w:cs="Calibri"/>
          <w:lang w:val="ro-RO"/>
        </w:rPr>
        <w:t>Încasări</w:t>
      </w:r>
      <w:r w:rsidR="008D3901" w:rsidRPr="00834B27">
        <w:rPr>
          <w:rFonts w:ascii="Calibri" w:hAnsi="Calibri" w:cs="Calibri"/>
          <w:lang w:val="ro-RO"/>
        </w:rPr>
        <w:t xml:space="preserve"> – 20%*</w:t>
      </w:r>
      <w:r w:rsidRPr="00834B27">
        <w:rPr>
          <w:rFonts w:ascii="Calibri" w:hAnsi="Calibri" w:cs="Calibri"/>
          <w:lang w:val="ro-RO"/>
        </w:rPr>
        <w:t>Încasări</w:t>
      </w:r>
      <w:r w:rsidR="008D3901" w:rsidRPr="00834B27">
        <w:rPr>
          <w:rFonts w:ascii="Calibri" w:hAnsi="Calibri" w:cs="Calibri"/>
          <w:lang w:val="ro-RO"/>
        </w:rPr>
        <w:t xml:space="preserve"> – CAS – CASS, sau </w:t>
      </w:r>
    </w:p>
    <w:p w14:paraId="1F170C74" w14:textId="5E1065E0" w:rsidR="002B3730" w:rsidRPr="00834B27" w:rsidRDefault="00701406" w:rsidP="00A1202C">
      <w:pPr>
        <w:pStyle w:val="Listparagraf"/>
        <w:numPr>
          <w:ilvl w:val="0"/>
          <w:numId w:val="53"/>
        </w:numPr>
        <w:tabs>
          <w:tab w:val="left" w:pos="900"/>
        </w:tabs>
        <w:spacing w:after="0" w:line="276" w:lineRule="auto"/>
        <w:ind w:left="900"/>
        <w:jc w:val="both"/>
        <w:rPr>
          <w:rFonts w:ascii="Calibri" w:hAnsi="Calibri" w:cs="Calibri"/>
          <w:lang w:val="ro-RO"/>
        </w:rPr>
      </w:pPr>
      <w:r w:rsidRPr="00834B27">
        <w:rPr>
          <w:rFonts w:ascii="Calibri" w:hAnsi="Calibri" w:cs="Calibri"/>
          <w:lang w:val="ro-RO"/>
        </w:rPr>
        <w:t>Încasări</w:t>
      </w:r>
      <w:r w:rsidR="008D3901" w:rsidRPr="00834B27">
        <w:rPr>
          <w:rFonts w:ascii="Calibri" w:hAnsi="Calibri" w:cs="Calibri"/>
          <w:lang w:val="ro-RO"/>
        </w:rPr>
        <w:t xml:space="preserve"> – 40%*</w:t>
      </w:r>
      <w:r w:rsidRPr="00834B27">
        <w:rPr>
          <w:rFonts w:ascii="Calibri" w:hAnsi="Calibri" w:cs="Calibri"/>
          <w:lang w:val="ro-RO"/>
        </w:rPr>
        <w:t>încasări</w:t>
      </w:r>
      <w:r w:rsidR="008D3901" w:rsidRPr="00834B27">
        <w:rPr>
          <w:rFonts w:ascii="Calibri" w:hAnsi="Calibri" w:cs="Calibri"/>
          <w:lang w:val="ro-RO"/>
        </w:rPr>
        <w:t xml:space="preserve"> – CAS – CASS (pentru </w:t>
      </w:r>
      <w:r w:rsidRPr="00834B27">
        <w:rPr>
          <w:rFonts w:ascii="Calibri" w:hAnsi="Calibri" w:cs="Calibri"/>
          <w:lang w:val="ro-RO"/>
        </w:rPr>
        <w:t>lucrări</w:t>
      </w:r>
      <w:r w:rsidR="008D3901" w:rsidRPr="00834B27">
        <w:rPr>
          <w:rFonts w:ascii="Calibri" w:hAnsi="Calibri" w:cs="Calibri"/>
          <w:lang w:val="ro-RO"/>
        </w:rPr>
        <w:t xml:space="preserve"> de art</w:t>
      </w:r>
      <w:r w:rsidRPr="00834B27">
        <w:rPr>
          <w:rFonts w:ascii="Calibri" w:hAnsi="Calibri" w:cs="Calibri"/>
          <w:lang w:val="ro-RO"/>
        </w:rPr>
        <w:t>ă</w:t>
      </w:r>
      <w:r w:rsidR="008D3901" w:rsidRPr="00834B27">
        <w:rPr>
          <w:rFonts w:ascii="Calibri" w:hAnsi="Calibri" w:cs="Calibri"/>
          <w:lang w:val="ro-RO"/>
        </w:rPr>
        <w:t xml:space="preserve"> monumental</w:t>
      </w:r>
      <w:r w:rsidRPr="00834B27">
        <w:rPr>
          <w:rFonts w:ascii="Calibri" w:hAnsi="Calibri" w:cs="Calibri"/>
          <w:lang w:val="ro-RO"/>
        </w:rPr>
        <w:t>ă</w:t>
      </w:r>
      <w:r w:rsidR="008D3901" w:rsidRPr="00834B27">
        <w:rPr>
          <w:rFonts w:ascii="Calibri" w:hAnsi="Calibri" w:cs="Calibri"/>
          <w:lang w:val="ro-RO"/>
        </w:rPr>
        <w:t>)</w:t>
      </w:r>
      <w:r w:rsidR="00031B83" w:rsidRPr="00834B27">
        <w:rPr>
          <w:rFonts w:ascii="Calibri" w:hAnsi="Calibri" w:cs="Calibri"/>
          <w:lang w:val="ro-RO"/>
        </w:rPr>
        <w:t>, sau</w:t>
      </w:r>
    </w:p>
    <w:p w14:paraId="6A11C9E1" w14:textId="414943BE" w:rsidR="00701406" w:rsidRPr="00834B27" w:rsidRDefault="00031B83" w:rsidP="00A1202C">
      <w:pPr>
        <w:pStyle w:val="Listparagraf"/>
        <w:numPr>
          <w:ilvl w:val="0"/>
          <w:numId w:val="53"/>
        </w:numPr>
        <w:tabs>
          <w:tab w:val="left" w:pos="900"/>
        </w:tabs>
        <w:spacing w:after="0" w:line="276" w:lineRule="auto"/>
        <w:ind w:left="900"/>
        <w:jc w:val="both"/>
        <w:rPr>
          <w:rFonts w:ascii="Calibri" w:hAnsi="Calibri" w:cs="Calibri"/>
          <w:lang w:val="ro-RO"/>
        </w:rPr>
      </w:pPr>
      <w:r w:rsidRPr="00834B27">
        <w:rPr>
          <w:rFonts w:ascii="Calibri" w:hAnsi="Calibri" w:cs="Calibri"/>
          <w:lang w:val="ro-RO"/>
        </w:rPr>
        <w:lastRenderedPageBreak/>
        <w:t xml:space="preserve">Venitul net calculat in baza datelor din contabilitatea </w:t>
      </w:r>
      <w:r w:rsidR="00E424BD" w:rsidRPr="00834B27">
        <w:rPr>
          <w:rFonts w:ascii="Calibri" w:hAnsi="Calibri" w:cs="Calibri"/>
          <w:lang w:val="ro-RO"/>
        </w:rPr>
        <w:t>în partidă simplă.</w:t>
      </w:r>
    </w:p>
    <w:p w14:paraId="6D614FED" w14:textId="77777777" w:rsidR="00B72A14" w:rsidRPr="00834B27" w:rsidRDefault="00B72A14" w:rsidP="00B43347">
      <w:pPr>
        <w:tabs>
          <w:tab w:val="left" w:pos="540"/>
        </w:tabs>
        <w:spacing w:after="0" w:line="276" w:lineRule="auto"/>
        <w:jc w:val="both"/>
        <w:rPr>
          <w:rFonts w:ascii="Calibri" w:hAnsi="Calibri" w:cs="Calibri"/>
          <w:lang w:val="ro-RO"/>
        </w:rPr>
      </w:pPr>
    </w:p>
    <w:p w14:paraId="1744CADC" w14:textId="5175405A" w:rsidR="002F5B1C" w:rsidRPr="00834B27" w:rsidRDefault="00C41570" w:rsidP="00B43347">
      <w:pPr>
        <w:pStyle w:val="Listparagraf"/>
        <w:numPr>
          <w:ilvl w:val="0"/>
          <w:numId w:val="41"/>
        </w:numPr>
        <w:tabs>
          <w:tab w:val="left" w:pos="540"/>
        </w:tabs>
        <w:spacing w:after="0" w:line="276" w:lineRule="auto"/>
        <w:ind w:left="540" w:hanging="540"/>
        <w:contextualSpacing w:val="0"/>
        <w:jc w:val="both"/>
        <w:rPr>
          <w:rFonts w:ascii="Calibri" w:hAnsi="Calibri" w:cs="Calibri"/>
          <w:lang w:val="ro-RO"/>
        </w:rPr>
      </w:pPr>
      <w:r w:rsidRPr="00834B27">
        <w:rPr>
          <w:rFonts w:ascii="Calibri" w:hAnsi="Calibri" w:cs="Calibri"/>
          <w:lang w:val="ro-RO"/>
        </w:rPr>
        <w:t xml:space="preserve">Pentru venituri din </w:t>
      </w:r>
      <w:r w:rsidR="00701406" w:rsidRPr="00834B27">
        <w:rPr>
          <w:rFonts w:ascii="Calibri" w:hAnsi="Calibri" w:cs="Calibri"/>
          <w:lang w:val="ro-RO"/>
        </w:rPr>
        <w:t>microîntreprinderi</w:t>
      </w:r>
      <w:r w:rsidR="002936EE" w:rsidRPr="00834B27">
        <w:rPr>
          <w:rFonts w:ascii="Calibri" w:hAnsi="Calibri" w:cs="Calibri"/>
          <w:lang w:val="ro-RO"/>
        </w:rPr>
        <w:t xml:space="preserve"> (transparentizate fiscal)</w:t>
      </w:r>
      <w:r w:rsidR="002F5B1C" w:rsidRPr="00834B27">
        <w:rPr>
          <w:rFonts w:ascii="Calibri" w:hAnsi="Calibri" w:cs="Calibri"/>
          <w:lang w:val="ro-RO"/>
        </w:rPr>
        <w:t>:</w:t>
      </w:r>
      <w:r w:rsidR="00021917" w:rsidRPr="00834B27">
        <w:rPr>
          <w:rFonts w:ascii="Calibri" w:hAnsi="Calibri" w:cs="Calibri"/>
          <w:lang w:val="ro-RO"/>
        </w:rPr>
        <w:t xml:space="preserve"> Profit – CAS – CASS;</w:t>
      </w:r>
    </w:p>
    <w:p w14:paraId="0F9ECA74" w14:textId="77777777" w:rsidR="00701406" w:rsidRPr="00834B27" w:rsidRDefault="00701406" w:rsidP="00B43347">
      <w:pPr>
        <w:tabs>
          <w:tab w:val="left" w:pos="540"/>
        </w:tabs>
        <w:spacing w:after="0" w:line="276" w:lineRule="auto"/>
        <w:jc w:val="both"/>
        <w:rPr>
          <w:rFonts w:ascii="Calibri" w:hAnsi="Calibri" w:cs="Calibri"/>
          <w:lang w:val="ro-RO"/>
        </w:rPr>
      </w:pPr>
    </w:p>
    <w:p w14:paraId="10DE887A" w14:textId="457DBA49" w:rsidR="0053227E" w:rsidRPr="00834B27" w:rsidRDefault="004E2219" w:rsidP="00B43347">
      <w:pPr>
        <w:pStyle w:val="Listparagraf"/>
        <w:numPr>
          <w:ilvl w:val="0"/>
          <w:numId w:val="41"/>
        </w:numPr>
        <w:tabs>
          <w:tab w:val="left" w:pos="540"/>
        </w:tabs>
        <w:spacing w:after="0" w:line="276" w:lineRule="auto"/>
        <w:ind w:left="540" w:hanging="540"/>
        <w:contextualSpacing w:val="0"/>
        <w:jc w:val="both"/>
        <w:rPr>
          <w:rFonts w:ascii="Calibri" w:hAnsi="Calibri" w:cs="Calibri"/>
          <w:lang w:val="ro-RO"/>
        </w:rPr>
      </w:pPr>
      <w:r w:rsidRPr="00834B27">
        <w:rPr>
          <w:rFonts w:ascii="Calibri" w:hAnsi="Calibri" w:cs="Calibri"/>
          <w:lang w:val="ro-RO"/>
        </w:rPr>
        <w:t xml:space="preserve"> Pentru venituri din </w:t>
      </w:r>
      <w:r w:rsidR="00701406" w:rsidRPr="00834B27">
        <w:rPr>
          <w:rFonts w:ascii="Calibri" w:hAnsi="Calibri" w:cs="Calibri"/>
          <w:lang w:val="ro-RO"/>
        </w:rPr>
        <w:t>închiriere</w:t>
      </w:r>
      <w:r w:rsidR="00543897" w:rsidRPr="00834B27">
        <w:rPr>
          <w:rFonts w:ascii="Calibri" w:hAnsi="Calibri" w:cs="Calibri"/>
          <w:lang w:val="ro-RO"/>
        </w:rPr>
        <w:t>/arendă</w:t>
      </w:r>
      <w:r w:rsidRPr="00834B27">
        <w:rPr>
          <w:rFonts w:ascii="Calibri" w:hAnsi="Calibri" w:cs="Calibri"/>
          <w:lang w:val="ro-RO"/>
        </w:rPr>
        <w:t xml:space="preserve">: </w:t>
      </w:r>
    </w:p>
    <w:p w14:paraId="44265C9A" w14:textId="77777777" w:rsidR="0053227E" w:rsidRPr="00834B27" w:rsidRDefault="0053227E" w:rsidP="00474A05">
      <w:pPr>
        <w:pStyle w:val="Listparagraf"/>
        <w:rPr>
          <w:rFonts w:ascii="Calibri" w:hAnsi="Calibri" w:cs="Calibri"/>
          <w:lang w:val="ro-RO"/>
        </w:rPr>
      </w:pPr>
    </w:p>
    <w:p w14:paraId="24EBD06D" w14:textId="32B89BA1" w:rsidR="0053227E" w:rsidRPr="00834B27" w:rsidRDefault="0053227E" w:rsidP="0053227E">
      <w:pPr>
        <w:tabs>
          <w:tab w:val="left" w:pos="540"/>
        </w:tabs>
        <w:spacing w:after="0" w:line="276" w:lineRule="auto"/>
        <w:jc w:val="both"/>
        <w:rPr>
          <w:rFonts w:ascii="Calibri" w:hAnsi="Calibri" w:cs="Calibri"/>
          <w:lang w:val="ro-RO"/>
        </w:rPr>
      </w:pPr>
      <w:r w:rsidRPr="00834B27">
        <w:rPr>
          <w:rFonts w:ascii="Calibri" w:hAnsi="Calibri" w:cs="Calibri"/>
          <w:lang w:val="ro-RO"/>
        </w:rPr>
        <w:t xml:space="preserve">- </w:t>
      </w:r>
      <w:r w:rsidR="00701406" w:rsidRPr="00834B27">
        <w:rPr>
          <w:rFonts w:ascii="Calibri" w:hAnsi="Calibri" w:cs="Calibri"/>
          <w:lang w:val="ro-RO"/>
        </w:rPr>
        <w:t>încasări</w:t>
      </w:r>
      <w:r w:rsidR="004E2219" w:rsidRPr="00834B27">
        <w:rPr>
          <w:rFonts w:ascii="Calibri" w:hAnsi="Calibri" w:cs="Calibri"/>
          <w:lang w:val="ro-RO"/>
        </w:rPr>
        <w:t xml:space="preserve"> – 20%*</w:t>
      </w:r>
      <w:r w:rsidR="00701406" w:rsidRPr="00834B27">
        <w:rPr>
          <w:rFonts w:ascii="Calibri" w:hAnsi="Calibri" w:cs="Calibri"/>
          <w:lang w:val="ro-RO"/>
        </w:rPr>
        <w:t>încasări</w:t>
      </w:r>
      <w:r w:rsidR="004E2219" w:rsidRPr="00834B27">
        <w:rPr>
          <w:rFonts w:ascii="Calibri" w:hAnsi="Calibri" w:cs="Calibri"/>
          <w:lang w:val="ro-RO"/>
        </w:rPr>
        <w:t xml:space="preserve"> –  CASS</w:t>
      </w:r>
      <w:r w:rsidRPr="00834B27">
        <w:rPr>
          <w:rFonts w:ascii="Calibri" w:hAnsi="Calibri" w:cs="Calibri"/>
          <w:lang w:val="ro-RO"/>
        </w:rPr>
        <w:t>,sau</w:t>
      </w:r>
    </w:p>
    <w:p w14:paraId="15278F7A" w14:textId="2E4C9BF6" w:rsidR="00021917" w:rsidRPr="00834B27" w:rsidRDefault="0053227E" w:rsidP="00474A05">
      <w:pPr>
        <w:tabs>
          <w:tab w:val="left" w:pos="540"/>
        </w:tabs>
        <w:spacing w:after="0" w:line="276" w:lineRule="auto"/>
        <w:jc w:val="both"/>
        <w:rPr>
          <w:rFonts w:ascii="Calibri" w:hAnsi="Calibri" w:cs="Calibri"/>
          <w:lang w:val="ro-RO"/>
        </w:rPr>
      </w:pPr>
      <w:r w:rsidRPr="00834B27">
        <w:rPr>
          <w:rFonts w:ascii="Calibri" w:hAnsi="Calibri" w:cs="Calibri"/>
          <w:lang w:val="ro-RO"/>
        </w:rPr>
        <w:t>- venitul net calculat pe baza datelor din contabilitatea în partidă simplă</w:t>
      </w:r>
      <w:r w:rsidR="004615BA" w:rsidRPr="00834B27">
        <w:rPr>
          <w:rFonts w:ascii="Calibri" w:hAnsi="Calibri" w:cs="Calibri"/>
          <w:lang w:val="ro-RO"/>
        </w:rPr>
        <w:t>.</w:t>
      </w:r>
    </w:p>
    <w:p w14:paraId="2FA53BAF" w14:textId="77777777" w:rsidR="00701406" w:rsidRPr="00834B27" w:rsidRDefault="00701406" w:rsidP="00B43347">
      <w:pPr>
        <w:tabs>
          <w:tab w:val="left" w:pos="540"/>
        </w:tabs>
        <w:spacing w:after="0" w:line="276" w:lineRule="auto"/>
        <w:jc w:val="both"/>
        <w:rPr>
          <w:rFonts w:ascii="Calibri" w:hAnsi="Calibri" w:cs="Calibri"/>
          <w:lang w:val="ro-RO"/>
        </w:rPr>
      </w:pPr>
    </w:p>
    <w:p w14:paraId="27DF15FA" w14:textId="6CEE2D69" w:rsidR="00B72A14" w:rsidRPr="00834B27" w:rsidRDefault="007E6241" w:rsidP="00B43347">
      <w:pPr>
        <w:pStyle w:val="Listparagraf"/>
        <w:numPr>
          <w:ilvl w:val="0"/>
          <w:numId w:val="41"/>
        </w:numPr>
        <w:tabs>
          <w:tab w:val="left" w:pos="540"/>
        </w:tabs>
        <w:spacing w:after="0" w:line="276" w:lineRule="auto"/>
        <w:ind w:left="540" w:hanging="540"/>
        <w:contextualSpacing w:val="0"/>
        <w:jc w:val="both"/>
        <w:rPr>
          <w:rFonts w:ascii="Calibri" w:hAnsi="Calibri" w:cs="Calibri"/>
          <w:lang w:val="ro-RO"/>
        </w:rPr>
      </w:pPr>
      <w:r w:rsidRPr="00834B27">
        <w:rPr>
          <w:rFonts w:ascii="Calibri" w:hAnsi="Calibri" w:cs="Calibri"/>
          <w:lang w:val="ro-RO"/>
        </w:rPr>
        <w:t>Pentru venituri din dividende</w:t>
      </w:r>
      <w:r w:rsidR="00785953" w:rsidRPr="00834B27">
        <w:rPr>
          <w:rFonts w:ascii="Calibri" w:hAnsi="Calibri" w:cs="Calibri"/>
          <w:lang w:val="ro-RO"/>
        </w:rPr>
        <w:t xml:space="preserve">: </w:t>
      </w:r>
      <w:r w:rsidR="00B72A14" w:rsidRPr="00834B27">
        <w:rPr>
          <w:rFonts w:ascii="Calibri" w:hAnsi="Calibri" w:cs="Calibri"/>
          <w:lang w:val="ro-RO"/>
        </w:rPr>
        <w:t>încasări</w:t>
      </w:r>
      <w:r w:rsidR="00785953" w:rsidRPr="00834B27">
        <w:rPr>
          <w:rFonts w:ascii="Calibri" w:hAnsi="Calibri" w:cs="Calibri"/>
          <w:lang w:val="ro-RO"/>
        </w:rPr>
        <w:t xml:space="preserve"> – CASS</w:t>
      </w:r>
      <w:r w:rsidR="004615BA" w:rsidRPr="00834B27">
        <w:rPr>
          <w:rFonts w:ascii="Calibri" w:hAnsi="Calibri" w:cs="Calibri"/>
          <w:lang w:val="ro-RO"/>
        </w:rPr>
        <w:t>.</w:t>
      </w:r>
    </w:p>
    <w:p w14:paraId="452976BE" w14:textId="77777777" w:rsidR="00B72A14" w:rsidRPr="00834B27" w:rsidRDefault="00B72A14" w:rsidP="00B43347">
      <w:pPr>
        <w:tabs>
          <w:tab w:val="left" w:pos="540"/>
        </w:tabs>
        <w:spacing w:after="0" w:line="276" w:lineRule="auto"/>
        <w:jc w:val="both"/>
        <w:rPr>
          <w:rFonts w:ascii="Calibri" w:hAnsi="Calibri" w:cs="Calibri"/>
          <w:lang w:val="ro-RO"/>
        </w:rPr>
      </w:pPr>
    </w:p>
    <w:p w14:paraId="5AE2C599" w14:textId="374D19F3" w:rsidR="00B72A14" w:rsidRPr="00834B27" w:rsidRDefault="00785953" w:rsidP="00B43347">
      <w:pPr>
        <w:pStyle w:val="Listparagraf"/>
        <w:numPr>
          <w:ilvl w:val="0"/>
          <w:numId w:val="41"/>
        </w:numPr>
        <w:tabs>
          <w:tab w:val="left" w:pos="540"/>
        </w:tabs>
        <w:spacing w:after="0" w:line="276" w:lineRule="auto"/>
        <w:ind w:left="540" w:hanging="540"/>
        <w:contextualSpacing w:val="0"/>
        <w:jc w:val="both"/>
        <w:rPr>
          <w:rFonts w:ascii="Calibri" w:hAnsi="Calibri" w:cs="Calibri"/>
          <w:lang w:val="ro-RO"/>
        </w:rPr>
      </w:pPr>
      <w:r w:rsidRPr="00834B27">
        <w:rPr>
          <w:rFonts w:ascii="Calibri" w:hAnsi="Calibri" w:cs="Calibri"/>
          <w:lang w:val="ro-RO"/>
        </w:rPr>
        <w:t xml:space="preserve">Pentru </w:t>
      </w:r>
      <w:r w:rsidR="00B72A14" w:rsidRPr="00834B27">
        <w:rPr>
          <w:rFonts w:ascii="Calibri" w:hAnsi="Calibri" w:cs="Calibri"/>
          <w:lang w:val="ro-RO"/>
        </w:rPr>
        <w:t>câștiguri</w:t>
      </w:r>
      <w:r w:rsidRPr="00834B27">
        <w:rPr>
          <w:rFonts w:ascii="Calibri" w:hAnsi="Calibri" w:cs="Calibri"/>
          <w:lang w:val="ro-RO"/>
        </w:rPr>
        <w:t xml:space="preserve"> din </w:t>
      </w:r>
      <w:r w:rsidR="00B72A14" w:rsidRPr="00834B27">
        <w:rPr>
          <w:rFonts w:ascii="Calibri" w:hAnsi="Calibri" w:cs="Calibri"/>
          <w:lang w:val="ro-RO"/>
        </w:rPr>
        <w:t>vânzarea</w:t>
      </w:r>
      <w:r w:rsidR="009B2351" w:rsidRPr="00834B27">
        <w:rPr>
          <w:rFonts w:ascii="Calibri" w:hAnsi="Calibri" w:cs="Calibri"/>
          <w:lang w:val="ro-RO"/>
        </w:rPr>
        <w:t xml:space="preserve"> de titluri de participare, aur de </w:t>
      </w:r>
      <w:r w:rsidR="00B72A14" w:rsidRPr="00834B27">
        <w:rPr>
          <w:rFonts w:ascii="Calibri" w:hAnsi="Calibri" w:cs="Calibri"/>
          <w:lang w:val="ro-RO"/>
        </w:rPr>
        <w:t>investi</w:t>
      </w:r>
      <w:r w:rsidR="00D77C4B" w:rsidRPr="00834B27">
        <w:rPr>
          <w:rFonts w:ascii="Calibri" w:hAnsi="Calibri" w:cs="Calibri"/>
          <w:lang w:val="ro-RO"/>
        </w:rPr>
        <w:t>ț</w:t>
      </w:r>
      <w:r w:rsidR="00B72A14" w:rsidRPr="00834B27">
        <w:rPr>
          <w:rFonts w:ascii="Calibri" w:hAnsi="Calibri" w:cs="Calibri"/>
          <w:lang w:val="ro-RO"/>
        </w:rPr>
        <w:t>ii</w:t>
      </w:r>
      <w:r w:rsidR="009B2351" w:rsidRPr="00834B27">
        <w:rPr>
          <w:rFonts w:ascii="Calibri" w:hAnsi="Calibri" w:cs="Calibri"/>
          <w:lang w:val="ro-RO"/>
        </w:rPr>
        <w:t>, cr</w:t>
      </w:r>
      <w:r w:rsidR="00B72A14" w:rsidRPr="00834B27">
        <w:rPr>
          <w:rFonts w:ascii="Calibri" w:hAnsi="Calibri" w:cs="Calibri"/>
          <w:lang w:val="ro-RO"/>
        </w:rPr>
        <w:t>i</w:t>
      </w:r>
      <w:r w:rsidR="009B2351" w:rsidRPr="00834B27">
        <w:rPr>
          <w:rFonts w:ascii="Calibri" w:hAnsi="Calibri" w:cs="Calibri"/>
          <w:lang w:val="ro-RO"/>
        </w:rPr>
        <w:t xml:space="preserve">ptomonede: </w:t>
      </w:r>
      <w:r w:rsidR="00B72A14" w:rsidRPr="00834B27">
        <w:rPr>
          <w:rFonts w:ascii="Calibri" w:hAnsi="Calibri" w:cs="Calibri"/>
          <w:lang w:val="ro-RO"/>
        </w:rPr>
        <w:t>Câștig</w:t>
      </w:r>
      <w:r w:rsidR="009B2351" w:rsidRPr="00834B27">
        <w:rPr>
          <w:rFonts w:ascii="Calibri" w:hAnsi="Calibri" w:cs="Calibri"/>
          <w:lang w:val="ro-RO"/>
        </w:rPr>
        <w:t xml:space="preserve"> </w:t>
      </w:r>
      <w:r w:rsidR="00200461" w:rsidRPr="00834B27">
        <w:rPr>
          <w:rFonts w:ascii="Calibri" w:hAnsi="Calibri" w:cs="Calibri"/>
          <w:lang w:val="ro-RO"/>
        </w:rPr>
        <w:t>–</w:t>
      </w:r>
      <w:r w:rsidR="009B2351" w:rsidRPr="00834B27">
        <w:rPr>
          <w:rFonts w:ascii="Calibri" w:hAnsi="Calibri" w:cs="Calibri"/>
          <w:lang w:val="ro-RO"/>
        </w:rPr>
        <w:t xml:space="preserve"> CASS</w:t>
      </w:r>
      <w:r w:rsidR="00F55B5D" w:rsidRPr="00834B27">
        <w:rPr>
          <w:rFonts w:ascii="Calibri" w:hAnsi="Calibri" w:cs="Calibri"/>
          <w:lang w:val="ro-RO"/>
        </w:rPr>
        <w:t>.</w:t>
      </w:r>
    </w:p>
    <w:p w14:paraId="3507F894" w14:textId="77777777" w:rsidR="00B72A14" w:rsidRPr="00834B27" w:rsidRDefault="00B72A14" w:rsidP="00B43347">
      <w:pPr>
        <w:tabs>
          <w:tab w:val="left" w:pos="540"/>
        </w:tabs>
        <w:spacing w:after="0" w:line="276" w:lineRule="auto"/>
        <w:jc w:val="both"/>
        <w:rPr>
          <w:rFonts w:ascii="Calibri" w:hAnsi="Calibri" w:cs="Calibri"/>
          <w:lang w:val="ro-RO"/>
        </w:rPr>
      </w:pPr>
    </w:p>
    <w:p w14:paraId="6383DBBF" w14:textId="277247D0" w:rsidR="00200461" w:rsidRPr="00834B27" w:rsidRDefault="00200461" w:rsidP="00B43347">
      <w:pPr>
        <w:pStyle w:val="Listparagraf"/>
        <w:numPr>
          <w:ilvl w:val="0"/>
          <w:numId w:val="41"/>
        </w:numPr>
        <w:tabs>
          <w:tab w:val="left" w:pos="540"/>
        </w:tabs>
        <w:spacing w:after="0" w:line="276" w:lineRule="auto"/>
        <w:ind w:left="540" w:hanging="540"/>
        <w:contextualSpacing w:val="0"/>
        <w:jc w:val="both"/>
        <w:rPr>
          <w:rFonts w:ascii="Calibri" w:hAnsi="Calibri" w:cs="Calibri"/>
          <w:lang w:val="ro-RO"/>
        </w:rPr>
      </w:pPr>
      <w:r w:rsidRPr="00834B27">
        <w:rPr>
          <w:rFonts w:ascii="Calibri" w:hAnsi="Calibri" w:cs="Calibri"/>
          <w:lang w:val="ro-RO"/>
        </w:rPr>
        <w:t xml:space="preserve">Pentru </w:t>
      </w:r>
      <w:r w:rsidR="00B72A14" w:rsidRPr="00834B27">
        <w:rPr>
          <w:rFonts w:ascii="Calibri" w:hAnsi="Calibri" w:cs="Calibri"/>
          <w:lang w:val="ro-RO"/>
        </w:rPr>
        <w:t>câștiguri</w:t>
      </w:r>
      <w:r w:rsidRPr="00834B27">
        <w:rPr>
          <w:rFonts w:ascii="Calibri" w:hAnsi="Calibri" w:cs="Calibri"/>
          <w:lang w:val="ro-RO"/>
        </w:rPr>
        <w:t xml:space="preserve"> din </w:t>
      </w:r>
      <w:r w:rsidR="00B72A14" w:rsidRPr="00834B27">
        <w:rPr>
          <w:rFonts w:ascii="Calibri" w:hAnsi="Calibri" w:cs="Calibri"/>
          <w:lang w:val="ro-RO"/>
        </w:rPr>
        <w:t>dobânzi</w:t>
      </w:r>
      <w:r w:rsidR="00D07393" w:rsidRPr="00834B27">
        <w:rPr>
          <w:rFonts w:ascii="Calibri" w:hAnsi="Calibri" w:cs="Calibri"/>
          <w:lang w:val="ro-RO"/>
        </w:rPr>
        <w:t xml:space="preserve">: </w:t>
      </w:r>
      <w:r w:rsidR="00B72A14" w:rsidRPr="00834B27">
        <w:rPr>
          <w:rFonts w:ascii="Calibri" w:hAnsi="Calibri" w:cs="Calibri"/>
          <w:lang w:val="ro-RO"/>
        </w:rPr>
        <w:t>Dobândă</w:t>
      </w:r>
      <w:r w:rsidR="00364BCA" w:rsidRPr="00834B27">
        <w:rPr>
          <w:rFonts w:ascii="Calibri" w:hAnsi="Calibri" w:cs="Calibri"/>
          <w:lang w:val="ro-RO"/>
        </w:rPr>
        <w:t xml:space="preserve"> - CASS.</w:t>
      </w:r>
    </w:p>
    <w:p w14:paraId="0F773BA3" w14:textId="77777777" w:rsidR="00B72A14" w:rsidRPr="00834B27" w:rsidRDefault="00B72A14" w:rsidP="00B43347">
      <w:pPr>
        <w:tabs>
          <w:tab w:val="left" w:pos="540"/>
        </w:tabs>
        <w:spacing w:after="0" w:line="276" w:lineRule="auto"/>
        <w:jc w:val="both"/>
        <w:rPr>
          <w:rFonts w:ascii="Calibri" w:hAnsi="Calibri" w:cs="Calibri"/>
          <w:lang w:val="ro-RO"/>
        </w:rPr>
      </w:pPr>
    </w:p>
    <w:p w14:paraId="11EE0929" w14:textId="2995BD86" w:rsidR="00BC3742" w:rsidRPr="00834B27" w:rsidRDefault="00BC3742" w:rsidP="00B43347">
      <w:pPr>
        <w:pStyle w:val="Listparagraf"/>
        <w:numPr>
          <w:ilvl w:val="0"/>
          <w:numId w:val="41"/>
        </w:numPr>
        <w:tabs>
          <w:tab w:val="left" w:pos="540"/>
        </w:tabs>
        <w:spacing w:after="0" w:line="276" w:lineRule="auto"/>
        <w:ind w:left="540" w:hanging="540"/>
        <w:contextualSpacing w:val="0"/>
        <w:jc w:val="both"/>
        <w:rPr>
          <w:rFonts w:ascii="Calibri" w:hAnsi="Calibri" w:cs="Calibri"/>
          <w:lang w:val="ro-RO"/>
        </w:rPr>
      </w:pPr>
      <w:r w:rsidRPr="00834B27">
        <w:rPr>
          <w:rFonts w:ascii="Calibri" w:hAnsi="Calibri" w:cs="Calibri"/>
          <w:lang w:val="ro-RO"/>
        </w:rPr>
        <w:t xml:space="preserve">Pentru </w:t>
      </w:r>
      <w:r w:rsidR="00B72A14" w:rsidRPr="00834B27">
        <w:rPr>
          <w:rFonts w:ascii="Calibri" w:hAnsi="Calibri" w:cs="Calibri"/>
          <w:lang w:val="ro-RO"/>
        </w:rPr>
        <w:t>câștiguri</w:t>
      </w:r>
      <w:r w:rsidRPr="00834B27">
        <w:rPr>
          <w:rFonts w:ascii="Calibri" w:hAnsi="Calibri" w:cs="Calibri"/>
          <w:lang w:val="ro-RO"/>
        </w:rPr>
        <w:t xml:space="preserve"> din pensii: Pensia – DP </w:t>
      </w:r>
      <w:r w:rsidR="00EC56DF" w:rsidRPr="00834B27">
        <w:rPr>
          <w:rFonts w:ascii="Calibri" w:hAnsi="Calibri" w:cs="Calibri"/>
          <w:lang w:val="ro-RO"/>
        </w:rPr>
        <w:t>–</w:t>
      </w:r>
      <w:r w:rsidRPr="00834B27">
        <w:rPr>
          <w:rFonts w:ascii="Calibri" w:hAnsi="Calibri" w:cs="Calibri"/>
          <w:lang w:val="ro-RO"/>
        </w:rPr>
        <w:t xml:space="preserve"> CASS</w:t>
      </w:r>
      <w:r w:rsidR="00EC56DF" w:rsidRPr="00834B27">
        <w:rPr>
          <w:rFonts w:ascii="Calibri" w:hAnsi="Calibri" w:cs="Calibri"/>
          <w:lang w:val="ro-RO"/>
        </w:rPr>
        <w:t>.</w:t>
      </w:r>
    </w:p>
    <w:p w14:paraId="1E1A9A2B" w14:textId="77777777" w:rsidR="00316E70" w:rsidRPr="00834B27" w:rsidRDefault="00316E70" w:rsidP="0050524B">
      <w:pPr>
        <w:pStyle w:val="Listparagraf"/>
        <w:rPr>
          <w:rFonts w:ascii="Calibri" w:hAnsi="Calibri" w:cs="Calibri"/>
          <w:lang w:val="ro-RO"/>
        </w:rPr>
      </w:pPr>
    </w:p>
    <w:p w14:paraId="46A0B3B2" w14:textId="08B57C4A" w:rsidR="00316E70" w:rsidRPr="00834B27" w:rsidRDefault="00316E70" w:rsidP="00B43347">
      <w:pPr>
        <w:pStyle w:val="Listparagraf"/>
        <w:numPr>
          <w:ilvl w:val="0"/>
          <w:numId w:val="41"/>
        </w:numPr>
        <w:tabs>
          <w:tab w:val="left" w:pos="540"/>
        </w:tabs>
        <w:spacing w:after="0" w:line="276" w:lineRule="auto"/>
        <w:ind w:left="540" w:hanging="540"/>
        <w:contextualSpacing w:val="0"/>
        <w:jc w:val="both"/>
        <w:rPr>
          <w:rFonts w:ascii="Calibri" w:hAnsi="Calibri" w:cs="Calibri"/>
          <w:lang w:val="ro-RO"/>
        </w:rPr>
      </w:pPr>
      <w:r w:rsidRPr="00834B27">
        <w:rPr>
          <w:rFonts w:ascii="Calibri" w:hAnsi="Calibri" w:cs="Calibri"/>
          <w:lang w:val="ro-RO"/>
        </w:rPr>
        <w:t>Pentru câș</w:t>
      </w:r>
      <w:r w:rsidR="006D2B6B" w:rsidRPr="00834B27">
        <w:rPr>
          <w:rFonts w:ascii="Calibri" w:hAnsi="Calibri" w:cs="Calibri"/>
          <w:lang w:val="ro-RO"/>
        </w:rPr>
        <w:t xml:space="preserve">tigul din vânzarea bunurilor imobile din </w:t>
      </w:r>
      <w:r w:rsidR="00E25F4D" w:rsidRPr="00834B27">
        <w:rPr>
          <w:rFonts w:ascii="Calibri" w:hAnsi="Calibri" w:cs="Calibri"/>
          <w:lang w:val="ro-RO"/>
        </w:rPr>
        <w:t>patrimoniul personal</w:t>
      </w:r>
      <w:r w:rsidR="00CE01AF" w:rsidRPr="00834B27">
        <w:rPr>
          <w:rFonts w:ascii="Calibri" w:hAnsi="Calibri" w:cs="Calibri"/>
          <w:lang w:val="it-IT"/>
        </w:rPr>
        <w:t>: Pret de v</w:t>
      </w:r>
      <w:r w:rsidR="002F0FDD" w:rsidRPr="00834B27">
        <w:rPr>
          <w:rFonts w:ascii="Calibri" w:hAnsi="Calibri" w:cs="Calibri"/>
          <w:lang w:val="ro-RO"/>
        </w:rPr>
        <w:t>ânzare – preț dobândire - CASS</w:t>
      </w:r>
    </w:p>
    <w:p w14:paraId="01FBE342" w14:textId="77777777" w:rsidR="00B72A14" w:rsidRPr="00834B27" w:rsidRDefault="00B72A14" w:rsidP="00B43347">
      <w:pPr>
        <w:tabs>
          <w:tab w:val="left" w:pos="540"/>
        </w:tabs>
        <w:spacing w:after="0" w:line="276" w:lineRule="auto"/>
        <w:jc w:val="both"/>
        <w:rPr>
          <w:rFonts w:ascii="Calibri" w:hAnsi="Calibri" w:cs="Calibri"/>
          <w:lang w:val="ro-RO"/>
        </w:rPr>
      </w:pPr>
    </w:p>
    <w:p w14:paraId="70612313" w14:textId="0EFBE8D2" w:rsidR="00C469E9" w:rsidRPr="00834B27" w:rsidRDefault="00C469E9" w:rsidP="00B43347">
      <w:pPr>
        <w:pStyle w:val="Listparagraf"/>
        <w:numPr>
          <w:ilvl w:val="0"/>
          <w:numId w:val="41"/>
        </w:numPr>
        <w:tabs>
          <w:tab w:val="left" w:pos="540"/>
        </w:tabs>
        <w:spacing w:after="0" w:line="276" w:lineRule="auto"/>
        <w:ind w:left="540" w:hanging="540"/>
        <w:contextualSpacing w:val="0"/>
        <w:jc w:val="both"/>
        <w:rPr>
          <w:rFonts w:ascii="Calibri" w:hAnsi="Calibri" w:cs="Calibri"/>
          <w:lang w:val="ro-RO"/>
        </w:rPr>
      </w:pPr>
      <w:r w:rsidRPr="00834B27">
        <w:rPr>
          <w:rFonts w:ascii="Calibri" w:hAnsi="Calibri" w:cs="Calibri"/>
          <w:lang w:val="ro-RO"/>
        </w:rPr>
        <w:t xml:space="preserve">Pentru alte venituri: </w:t>
      </w:r>
      <w:r w:rsidR="00730E97" w:rsidRPr="00834B27">
        <w:rPr>
          <w:rFonts w:ascii="Calibri" w:hAnsi="Calibri" w:cs="Calibri"/>
          <w:lang w:val="ro-RO"/>
        </w:rPr>
        <w:t xml:space="preserve">Venit </w:t>
      </w:r>
      <w:r w:rsidR="00B43347" w:rsidRPr="00834B27">
        <w:rPr>
          <w:rFonts w:ascii="Calibri" w:hAnsi="Calibri" w:cs="Calibri"/>
          <w:lang w:val="ro-RO"/>
        </w:rPr>
        <w:t>–</w:t>
      </w:r>
      <w:r w:rsidR="00730E97" w:rsidRPr="00834B27">
        <w:rPr>
          <w:rFonts w:ascii="Calibri" w:hAnsi="Calibri" w:cs="Calibri"/>
          <w:lang w:val="ro-RO"/>
        </w:rPr>
        <w:t xml:space="preserve"> CASS</w:t>
      </w:r>
      <w:r w:rsidR="000F3B2B" w:rsidRPr="00834B27">
        <w:rPr>
          <w:rFonts w:ascii="Calibri" w:hAnsi="Calibri" w:cs="Calibri"/>
          <w:lang w:val="ro-RO"/>
        </w:rPr>
        <w:t>.</w:t>
      </w:r>
    </w:p>
    <w:p w14:paraId="4F01A0A7" w14:textId="77777777" w:rsidR="00B43347" w:rsidRPr="00834B27" w:rsidRDefault="00B43347" w:rsidP="00B43347">
      <w:pPr>
        <w:tabs>
          <w:tab w:val="left" w:pos="540"/>
        </w:tabs>
        <w:spacing w:after="0" w:line="276" w:lineRule="auto"/>
        <w:jc w:val="both"/>
        <w:rPr>
          <w:rFonts w:ascii="Calibri" w:hAnsi="Calibri" w:cs="Calibri"/>
          <w:lang w:val="ro-RO"/>
        </w:rPr>
      </w:pPr>
    </w:p>
    <w:p w14:paraId="493B5136" w14:textId="0796E569" w:rsidR="00EC56DF" w:rsidRPr="00834B27" w:rsidRDefault="00B72A14" w:rsidP="00570A27">
      <w:pPr>
        <w:tabs>
          <w:tab w:val="left" w:pos="720"/>
        </w:tabs>
        <w:spacing w:line="276" w:lineRule="auto"/>
        <w:jc w:val="both"/>
        <w:rPr>
          <w:rFonts w:ascii="Calibri" w:hAnsi="Calibri" w:cs="Calibri"/>
          <w:lang w:val="ro-RO"/>
        </w:rPr>
      </w:pPr>
      <w:r w:rsidRPr="00834B27">
        <w:rPr>
          <w:rFonts w:ascii="Calibri" w:hAnsi="Calibri" w:cs="Calibri"/>
          <w:lang w:val="ro-RO"/>
        </w:rPr>
        <w:t>Men</w:t>
      </w:r>
      <w:r w:rsidR="00D77C4B" w:rsidRPr="00834B27">
        <w:rPr>
          <w:rFonts w:ascii="Calibri" w:hAnsi="Calibri" w:cs="Calibri"/>
          <w:lang w:val="ro-RO"/>
        </w:rPr>
        <w:t>ț</w:t>
      </w:r>
      <w:r w:rsidRPr="00834B27">
        <w:rPr>
          <w:rFonts w:ascii="Calibri" w:hAnsi="Calibri" w:cs="Calibri"/>
          <w:lang w:val="ro-RO"/>
        </w:rPr>
        <w:t>ionăm</w:t>
      </w:r>
      <w:r w:rsidR="00EC56DF" w:rsidRPr="00834B27">
        <w:rPr>
          <w:rFonts w:ascii="Calibri" w:hAnsi="Calibri" w:cs="Calibri"/>
          <w:lang w:val="ro-RO"/>
        </w:rPr>
        <w:t xml:space="preserve"> c</w:t>
      </w:r>
      <w:r w:rsidRPr="00834B27">
        <w:rPr>
          <w:rFonts w:ascii="Calibri" w:hAnsi="Calibri" w:cs="Calibri"/>
          <w:lang w:val="ro-RO"/>
        </w:rPr>
        <w:t>ă</w:t>
      </w:r>
      <w:r w:rsidR="00EC56DF" w:rsidRPr="00834B27">
        <w:rPr>
          <w:rFonts w:ascii="Calibri" w:hAnsi="Calibri" w:cs="Calibri"/>
          <w:lang w:val="ro-RO"/>
        </w:rPr>
        <w:t xml:space="preserve">, </w:t>
      </w:r>
      <w:r w:rsidRPr="00834B27">
        <w:rPr>
          <w:rFonts w:ascii="Calibri" w:hAnsi="Calibri" w:cs="Calibri"/>
          <w:lang w:val="ro-RO"/>
        </w:rPr>
        <w:t>î</w:t>
      </w:r>
      <w:r w:rsidR="00EC56DF" w:rsidRPr="00834B27">
        <w:rPr>
          <w:rFonts w:ascii="Calibri" w:hAnsi="Calibri" w:cs="Calibri"/>
          <w:lang w:val="ro-RO"/>
        </w:rPr>
        <w:t xml:space="preserve">n </w:t>
      </w:r>
      <w:r w:rsidR="00BD4FCE" w:rsidRPr="00834B27">
        <w:rPr>
          <w:rFonts w:ascii="Calibri" w:hAnsi="Calibri" w:cs="Calibri"/>
          <w:lang w:val="ro-RO"/>
        </w:rPr>
        <w:t>structura de reform</w:t>
      </w:r>
      <w:r w:rsidR="00F51C2B" w:rsidRPr="00834B27">
        <w:rPr>
          <w:rFonts w:ascii="Calibri" w:hAnsi="Calibri" w:cs="Calibri"/>
          <w:lang w:val="ro-RO"/>
        </w:rPr>
        <w:t>ă</w:t>
      </w:r>
      <w:r w:rsidR="00BD4FCE" w:rsidRPr="00834B27">
        <w:rPr>
          <w:rFonts w:ascii="Calibri" w:hAnsi="Calibri" w:cs="Calibri"/>
          <w:lang w:val="ro-RO"/>
        </w:rPr>
        <w:t xml:space="preserve"> propus</w:t>
      </w:r>
      <w:r w:rsidRPr="00834B27">
        <w:rPr>
          <w:rFonts w:ascii="Calibri" w:hAnsi="Calibri" w:cs="Calibri"/>
          <w:lang w:val="ro-RO"/>
        </w:rPr>
        <w:t>ă</w:t>
      </w:r>
      <w:r w:rsidR="00BD4FCE" w:rsidRPr="00834B27">
        <w:rPr>
          <w:rFonts w:ascii="Calibri" w:hAnsi="Calibri" w:cs="Calibri"/>
          <w:lang w:val="ro-RO"/>
        </w:rPr>
        <w:t xml:space="preserve"> (plafonare baza de calcul al CAS, CASS</w:t>
      </w:r>
      <w:r w:rsidR="00BF0468" w:rsidRPr="00834B27">
        <w:rPr>
          <w:rFonts w:ascii="Calibri" w:hAnsi="Calibri" w:cs="Calibri"/>
          <w:lang w:val="ro-RO"/>
        </w:rPr>
        <w:t xml:space="preserve">), </w:t>
      </w:r>
      <w:r w:rsidR="00EE36FC" w:rsidRPr="00834B27">
        <w:rPr>
          <w:rFonts w:ascii="Calibri" w:hAnsi="Calibri" w:cs="Calibri"/>
          <w:lang w:val="ro-RO"/>
        </w:rPr>
        <w:t xml:space="preserve">CAS, CASS pot fi zero </w:t>
      </w:r>
      <w:r w:rsidRPr="00834B27">
        <w:rPr>
          <w:rFonts w:ascii="Calibri" w:hAnsi="Calibri" w:cs="Calibri"/>
          <w:lang w:val="ro-RO"/>
        </w:rPr>
        <w:t>î</w:t>
      </w:r>
      <w:r w:rsidR="00EE36FC" w:rsidRPr="00834B27">
        <w:rPr>
          <w:rFonts w:ascii="Calibri" w:hAnsi="Calibri" w:cs="Calibri"/>
          <w:lang w:val="ro-RO"/>
        </w:rPr>
        <w:t>n anumite cazuri, dac</w:t>
      </w:r>
      <w:r w:rsidRPr="00834B27">
        <w:rPr>
          <w:rFonts w:ascii="Calibri" w:hAnsi="Calibri" w:cs="Calibri"/>
          <w:lang w:val="ro-RO"/>
        </w:rPr>
        <w:t>ă</w:t>
      </w:r>
      <w:r w:rsidR="00EE36FC" w:rsidRPr="00834B27">
        <w:rPr>
          <w:rFonts w:ascii="Calibri" w:hAnsi="Calibri" w:cs="Calibri"/>
          <w:lang w:val="ro-RO"/>
        </w:rPr>
        <w:t xml:space="preserve"> </w:t>
      </w:r>
      <w:r w:rsidR="004557DF" w:rsidRPr="00834B27">
        <w:rPr>
          <w:rFonts w:ascii="Calibri" w:hAnsi="Calibri" w:cs="Calibri"/>
          <w:lang w:val="ro-RO"/>
        </w:rPr>
        <w:t xml:space="preserve">plafonul este atins prin </w:t>
      </w:r>
      <w:r w:rsidRPr="00834B27">
        <w:rPr>
          <w:rFonts w:ascii="Calibri" w:hAnsi="Calibri" w:cs="Calibri"/>
          <w:lang w:val="ro-RO"/>
        </w:rPr>
        <w:t>însumarea</w:t>
      </w:r>
      <w:r w:rsidR="004557DF" w:rsidRPr="00834B27">
        <w:rPr>
          <w:rFonts w:ascii="Calibri" w:hAnsi="Calibri" w:cs="Calibri"/>
          <w:lang w:val="ro-RO"/>
        </w:rPr>
        <w:t xml:space="preserve"> doar a unora dintre bazele de impunere. </w:t>
      </w:r>
    </w:p>
    <w:p w14:paraId="4E219B73" w14:textId="4E8872F4" w:rsidR="004557DF" w:rsidRPr="00834B27" w:rsidRDefault="004557DF" w:rsidP="00570A27">
      <w:pPr>
        <w:tabs>
          <w:tab w:val="left" w:pos="720"/>
        </w:tabs>
        <w:spacing w:line="276" w:lineRule="auto"/>
        <w:jc w:val="both"/>
        <w:rPr>
          <w:rFonts w:ascii="Calibri" w:hAnsi="Calibri" w:cs="Calibri"/>
          <w:lang w:val="ro-RO"/>
        </w:rPr>
      </w:pPr>
      <w:r w:rsidRPr="00834B27">
        <w:rPr>
          <w:rFonts w:ascii="Calibri" w:hAnsi="Calibri" w:cs="Calibri"/>
          <w:lang w:val="ro-RO"/>
        </w:rPr>
        <w:t xml:space="preserve">De exemplu, un contribuabil care </w:t>
      </w:r>
      <w:r w:rsidR="00B72A14" w:rsidRPr="00834B27">
        <w:rPr>
          <w:rFonts w:ascii="Calibri" w:hAnsi="Calibri" w:cs="Calibri"/>
          <w:lang w:val="ro-RO"/>
        </w:rPr>
        <w:t>ob</w:t>
      </w:r>
      <w:r w:rsidR="00D77C4B" w:rsidRPr="00834B27">
        <w:rPr>
          <w:rFonts w:ascii="Calibri" w:hAnsi="Calibri" w:cs="Calibri"/>
          <w:lang w:val="ro-RO"/>
        </w:rPr>
        <w:t>ț</w:t>
      </w:r>
      <w:r w:rsidR="00B72A14" w:rsidRPr="00834B27">
        <w:rPr>
          <w:rFonts w:ascii="Calibri" w:hAnsi="Calibri" w:cs="Calibri"/>
          <w:lang w:val="ro-RO"/>
        </w:rPr>
        <w:t>ine</w:t>
      </w:r>
      <w:r w:rsidRPr="00834B27">
        <w:rPr>
          <w:rFonts w:ascii="Calibri" w:hAnsi="Calibri" w:cs="Calibri"/>
          <w:lang w:val="ro-RO"/>
        </w:rPr>
        <w:t xml:space="preserve"> venit din salariu pentru care i</w:t>
      </w:r>
      <w:r w:rsidR="004B2CA4" w:rsidRPr="00834B27">
        <w:rPr>
          <w:rFonts w:ascii="Calibri" w:hAnsi="Calibri" w:cs="Calibri"/>
          <w:lang w:val="ro-RO"/>
        </w:rPr>
        <w:t xml:space="preserve"> </w:t>
      </w:r>
      <w:r w:rsidRPr="00834B27">
        <w:rPr>
          <w:rFonts w:ascii="Calibri" w:hAnsi="Calibri" w:cs="Calibri"/>
          <w:lang w:val="ro-RO"/>
        </w:rPr>
        <w:t xml:space="preserve">se </w:t>
      </w:r>
      <w:r w:rsidR="00B72A14" w:rsidRPr="00834B27">
        <w:rPr>
          <w:rFonts w:ascii="Calibri" w:hAnsi="Calibri" w:cs="Calibri"/>
          <w:lang w:val="ro-RO"/>
        </w:rPr>
        <w:t>re</w:t>
      </w:r>
      <w:r w:rsidR="00D77C4B" w:rsidRPr="00834B27">
        <w:rPr>
          <w:rFonts w:ascii="Calibri" w:hAnsi="Calibri" w:cs="Calibri"/>
          <w:lang w:val="ro-RO"/>
        </w:rPr>
        <w:t>ț</w:t>
      </w:r>
      <w:r w:rsidR="00B72A14" w:rsidRPr="00834B27">
        <w:rPr>
          <w:rFonts w:ascii="Calibri" w:hAnsi="Calibri" w:cs="Calibri"/>
          <w:lang w:val="ro-RO"/>
        </w:rPr>
        <w:t>in</w:t>
      </w:r>
      <w:r w:rsidRPr="00834B27">
        <w:rPr>
          <w:rFonts w:ascii="Calibri" w:hAnsi="Calibri" w:cs="Calibri"/>
          <w:lang w:val="ro-RO"/>
        </w:rPr>
        <w:t xml:space="preserve"> impozitul, CAS, CASS de </w:t>
      </w:r>
      <w:r w:rsidR="00B72A14" w:rsidRPr="00834B27">
        <w:rPr>
          <w:rFonts w:ascii="Calibri" w:hAnsi="Calibri" w:cs="Calibri"/>
          <w:lang w:val="ro-RO"/>
        </w:rPr>
        <w:t>către</w:t>
      </w:r>
      <w:r w:rsidRPr="00834B27">
        <w:rPr>
          <w:rFonts w:ascii="Calibri" w:hAnsi="Calibri" w:cs="Calibri"/>
          <w:lang w:val="ro-RO"/>
        </w:rPr>
        <w:t xml:space="preserve"> angajator</w:t>
      </w:r>
      <w:r w:rsidR="00E6003A" w:rsidRPr="00834B27">
        <w:rPr>
          <w:rFonts w:ascii="Calibri" w:hAnsi="Calibri" w:cs="Calibri"/>
          <w:lang w:val="ro-RO"/>
        </w:rPr>
        <w:t xml:space="preserve">, iar salariul este mai mare </w:t>
      </w:r>
      <w:r w:rsidR="00B72A14" w:rsidRPr="00834B27">
        <w:rPr>
          <w:rFonts w:ascii="Calibri" w:hAnsi="Calibri" w:cs="Calibri"/>
          <w:lang w:val="ro-RO"/>
        </w:rPr>
        <w:t>decât</w:t>
      </w:r>
      <w:r w:rsidR="00E6003A" w:rsidRPr="00834B27">
        <w:rPr>
          <w:rFonts w:ascii="Calibri" w:hAnsi="Calibri" w:cs="Calibri"/>
          <w:lang w:val="ro-RO"/>
        </w:rPr>
        <w:t xml:space="preserve"> plafonul adoptat, pentru toate celelalte venituri CAS </w:t>
      </w:r>
      <w:r w:rsidR="00F51C2B" w:rsidRPr="00834B27">
        <w:rPr>
          <w:rFonts w:ascii="Calibri" w:hAnsi="Calibri" w:cs="Calibri"/>
          <w:lang w:val="ro-RO"/>
        </w:rPr>
        <w:t>ș</w:t>
      </w:r>
      <w:r w:rsidR="00E6003A" w:rsidRPr="00834B27">
        <w:rPr>
          <w:rFonts w:ascii="Calibri" w:hAnsi="Calibri" w:cs="Calibri"/>
          <w:lang w:val="ro-RO"/>
        </w:rPr>
        <w:t>i CASS vor deveni</w:t>
      </w:r>
      <w:r w:rsidR="001163D1" w:rsidRPr="00834B27">
        <w:rPr>
          <w:rFonts w:ascii="Calibri" w:hAnsi="Calibri" w:cs="Calibri"/>
          <w:lang w:val="ro-RO"/>
        </w:rPr>
        <w:t xml:space="preserve"> zero</w:t>
      </w:r>
      <w:r w:rsidR="0053227E" w:rsidRPr="00834B27">
        <w:rPr>
          <w:rFonts w:ascii="Calibri" w:hAnsi="Calibri" w:cs="Calibri"/>
          <w:lang w:val="ro-RO"/>
        </w:rPr>
        <w:t>, comparativ cu situația actuală în care un contribuabil poate ajunge să plătească CASS chiar și de 4 ori.</w:t>
      </w:r>
      <w:r w:rsidR="000F3B2B" w:rsidRPr="00834B27">
        <w:rPr>
          <w:rFonts w:ascii="Calibri" w:hAnsi="Calibri" w:cs="Calibri"/>
          <w:lang w:val="ro-RO"/>
        </w:rPr>
        <w:t xml:space="preserve"> Men</w:t>
      </w:r>
      <w:r w:rsidR="0028154E" w:rsidRPr="00834B27">
        <w:rPr>
          <w:rFonts w:ascii="Calibri" w:hAnsi="Calibri" w:cs="Calibri"/>
          <w:lang w:val="ro-RO"/>
        </w:rPr>
        <w:t>ționăm că în cazul veniturilor din salarii si asimilate salariilor, propunerea noastră vizează p</w:t>
      </w:r>
      <w:r w:rsidR="00BF0AB4" w:rsidRPr="00834B27">
        <w:rPr>
          <w:rFonts w:ascii="Calibri" w:hAnsi="Calibri" w:cs="Calibri"/>
          <w:lang w:val="ro-RO"/>
        </w:rPr>
        <w:t>ăstrarea actualului sistem de reținere la sursă</w:t>
      </w:r>
      <w:r w:rsidR="006C11DA" w:rsidRPr="00834B27">
        <w:rPr>
          <w:rFonts w:ascii="Calibri" w:hAnsi="Calibri" w:cs="Calibri"/>
          <w:lang w:val="ro-RO"/>
        </w:rPr>
        <w:t xml:space="preserve"> de către fiecare angajator (în cazul în care un contribuabil </w:t>
      </w:r>
      <w:r w:rsidR="00D41B2F" w:rsidRPr="00834B27">
        <w:rPr>
          <w:rFonts w:ascii="Calibri" w:hAnsi="Calibri" w:cs="Calibri"/>
          <w:lang w:val="ro-RO"/>
        </w:rPr>
        <w:t xml:space="preserve">înregistrează astfel de venituri de la mai multe locuri de muncă), pentru a evita situația </w:t>
      </w:r>
      <w:r w:rsidR="005262B8" w:rsidRPr="00834B27">
        <w:rPr>
          <w:rFonts w:ascii="Calibri" w:hAnsi="Calibri" w:cs="Calibri"/>
          <w:lang w:val="ro-RO"/>
        </w:rPr>
        <w:t xml:space="preserve">unor rețineri variabile, ceea ce ar crea o sarcină administrativă dificila pentru al doilea </w:t>
      </w:r>
      <w:r w:rsidR="004A08B8" w:rsidRPr="00834B27">
        <w:rPr>
          <w:rFonts w:ascii="Calibri" w:hAnsi="Calibri" w:cs="Calibri"/>
          <w:lang w:val="ro-RO"/>
        </w:rPr>
        <w:t xml:space="preserve">și următorii angajatori. În acest caz regularizarea CAS, CASS și IV se face </w:t>
      </w:r>
      <w:r w:rsidR="00EB5044" w:rsidRPr="00834B27">
        <w:rPr>
          <w:rFonts w:ascii="Calibri" w:hAnsi="Calibri" w:cs="Calibri"/>
          <w:lang w:val="ro-RO"/>
        </w:rPr>
        <w:t>prin D212. Acest mecanism poate duce la o creștere u</w:t>
      </w:r>
      <w:r w:rsidR="0031108C" w:rsidRPr="00834B27">
        <w:rPr>
          <w:rFonts w:ascii="Calibri" w:hAnsi="Calibri" w:cs="Calibri"/>
          <w:lang w:val="ro-RO"/>
        </w:rPr>
        <w:t xml:space="preserve">șoară a numarului de contribuabili ce trebuie să depună D212, dar </w:t>
      </w:r>
      <w:r w:rsidR="00B56688" w:rsidRPr="00834B27">
        <w:rPr>
          <w:rFonts w:ascii="Calibri" w:hAnsi="Calibri" w:cs="Calibri"/>
          <w:lang w:val="ro-RO"/>
        </w:rPr>
        <w:t xml:space="preserve">această sarcină administrativă nu este una </w:t>
      </w:r>
      <w:r w:rsidR="00B56688" w:rsidRPr="00834B27">
        <w:rPr>
          <w:rFonts w:ascii="Calibri" w:hAnsi="Calibri" w:cs="Calibri"/>
          <w:lang w:val="ro-RO"/>
        </w:rPr>
        <w:lastRenderedPageBreak/>
        <w:t xml:space="preserve">exagerată, mai ales în contextul in care </w:t>
      </w:r>
      <w:r w:rsidR="00B00556" w:rsidRPr="00834B27">
        <w:rPr>
          <w:rFonts w:ascii="Calibri" w:hAnsi="Calibri" w:cs="Calibri"/>
          <w:lang w:val="ro-RO"/>
        </w:rPr>
        <w:t>ANAF operaționalizează emiterea de declarații precompletate</w:t>
      </w:r>
      <w:r w:rsidR="00DC09CD" w:rsidRPr="00834B27">
        <w:rPr>
          <w:rFonts w:ascii="Calibri" w:hAnsi="Calibri" w:cs="Calibri"/>
          <w:lang w:val="ro-RO"/>
        </w:rPr>
        <w:t xml:space="preserve"> în perioada imediat următoare.</w:t>
      </w:r>
    </w:p>
    <w:p w14:paraId="7DB35BE3" w14:textId="038FB16A" w:rsidR="008C60B0" w:rsidRPr="00834B27" w:rsidRDefault="00FD145A" w:rsidP="00B43347">
      <w:pPr>
        <w:tabs>
          <w:tab w:val="left" w:pos="720"/>
        </w:tabs>
        <w:spacing w:line="276" w:lineRule="auto"/>
        <w:jc w:val="both"/>
        <w:rPr>
          <w:rFonts w:ascii="Calibri" w:hAnsi="Calibri" w:cs="Calibri"/>
          <w:lang w:val="ro-RO"/>
        </w:rPr>
      </w:pPr>
      <w:r w:rsidRPr="00834B27">
        <w:rPr>
          <w:rFonts w:ascii="Calibri" w:hAnsi="Calibri" w:cs="Calibri"/>
          <w:lang w:val="ro-RO"/>
        </w:rPr>
        <w:t>S</w:t>
      </w:r>
      <w:r w:rsidR="007664D2" w:rsidRPr="00834B27">
        <w:rPr>
          <w:rFonts w:ascii="Calibri" w:hAnsi="Calibri" w:cs="Calibri"/>
          <w:lang w:val="ro-RO"/>
        </w:rPr>
        <w:t>uplimentar fa</w:t>
      </w:r>
      <w:r w:rsidR="00D77C4B" w:rsidRPr="00834B27">
        <w:rPr>
          <w:rFonts w:ascii="Calibri" w:hAnsi="Calibri" w:cs="Calibri"/>
          <w:lang w:val="ro-RO"/>
        </w:rPr>
        <w:t>ț</w:t>
      </w:r>
      <w:r w:rsidR="00B72A14" w:rsidRPr="00834B27">
        <w:rPr>
          <w:rFonts w:ascii="Calibri" w:hAnsi="Calibri" w:cs="Calibri"/>
          <w:lang w:val="ro-RO"/>
        </w:rPr>
        <w:t>ă</w:t>
      </w:r>
      <w:r w:rsidR="007664D2" w:rsidRPr="00834B27">
        <w:rPr>
          <w:rFonts w:ascii="Calibri" w:hAnsi="Calibri" w:cs="Calibri"/>
          <w:lang w:val="ro-RO"/>
        </w:rPr>
        <w:t xml:space="preserve"> de prevederile existente</w:t>
      </w:r>
      <w:r w:rsidR="00A332DC" w:rsidRPr="00834B27">
        <w:rPr>
          <w:rFonts w:ascii="Calibri" w:hAnsi="Calibri" w:cs="Calibri"/>
          <w:lang w:val="ro-RO"/>
        </w:rPr>
        <w:t xml:space="preserve"> </w:t>
      </w:r>
      <w:r w:rsidR="00B72A14" w:rsidRPr="00834B27">
        <w:rPr>
          <w:rFonts w:ascii="Calibri" w:hAnsi="Calibri" w:cs="Calibri"/>
          <w:lang w:val="ro-RO"/>
        </w:rPr>
        <w:t>î</w:t>
      </w:r>
      <w:r w:rsidR="00A332DC" w:rsidRPr="00834B27">
        <w:rPr>
          <w:rFonts w:ascii="Calibri" w:hAnsi="Calibri" w:cs="Calibri"/>
          <w:lang w:val="ro-RO"/>
        </w:rPr>
        <w:t xml:space="preserve">n prezent </w:t>
      </w:r>
      <w:r w:rsidR="00B72A14" w:rsidRPr="00834B27">
        <w:rPr>
          <w:rFonts w:ascii="Calibri" w:hAnsi="Calibri" w:cs="Calibri"/>
          <w:lang w:val="ro-RO"/>
        </w:rPr>
        <w:t>î</w:t>
      </w:r>
      <w:r w:rsidR="00A332DC" w:rsidRPr="00834B27">
        <w:rPr>
          <w:rFonts w:ascii="Calibri" w:hAnsi="Calibri" w:cs="Calibri"/>
          <w:lang w:val="ro-RO"/>
        </w:rPr>
        <w:t xml:space="preserve">n Codul fiscal, </w:t>
      </w:r>
      <w:r w:rsidR="00B72A14" w:rsidRPr="00834B27">
        <w:rPr>
          <w:rFonts w:ascii="Calibri" w:hAnsi="Calibri" w:cs="Calibri"/>
          <w:lang w:val="ro-RO"/>
        </w:rPr>
        <w:t>î</w:t>
      </w:r>
      <w:r w:rsidR="00C60B57" w:rsidRPr="00834B27">
        <w:rPr>
          <w:rFonts w:ascii="Calibri" w:hAnsi="Calibri" w:cs="Calibri"/>
          <w:lang w:val="ro-RO"/>
        </w:rPr>
        <w:t xml:space="preserve">n scopul </w:t>
      </w:r>
      <w:r w:rsidR="00B72A14" w:rsidRPr="00834B27">
        <w:rPr>
          <w:rFonts w:ascii="Calibri" w:hAnsi="Calibri" w:cs="Calibri"/>
          <w:lang w:val="ro-RO"/>
        </w:rPr>
        <w:t>atât</w:t>
      </w:r>
      <w:r w:rsidR="009142FD" w:rsidRPr="00834B27">
        <w:rPr>
          <w:rFonts w:ascii="Calibri" w:hAnsi="Calibri" w:cs="Calibri"/>
          <w:lang w:val="ro-RO"/>
        </w:rPr>
        <w:t xml:space="preserve"> al </w:t>
      </w:r>
      <w:r w:rsidR="00B72A14" w:rsidRPr="00834B27">
        <w:rPr>
          <w:rFonts w:ascii="Calibri" w:hAnsi="Calibri" w:cs="Calibri"/>
          <w:lang w:val="ro-RO"/>
        </w:rPr>
        <w:t>creșterii</w:t>
      </w:r>
      <w:r w:rsidR="00C60B57" w:rsidRPr="00834B27">
        <w:rPr>
          <w:rFonts w:ascii="Calibri" w:hAnsi="Calibri" w:cs="Calibri"/>
          <w:lang w:val="ro-RO"/>
        </w:rPr>
        <w:t xml:space="preserve"> gradului de conformare </w:t>
      </w:r>
      <w:r w:rsidR="009142FD" w:rsidRPr="00834B27">
        <w:rPr>
          <w:rFonts w:ascii="Calibri" w:hAnsi="Calibri" w:cs="Calibri"/>
          <w:lang w:val="ro-RO"/>
        </w:rPr>
        <w:t>c</w:t>
      </w:r>
      <w:r w:rsidR="00B72A14" w:rsidRPr="00834B27">
        <w:rPr>
          <w:rFonts w:ascii="Calibri" w:hAnsi="Calibri" w:cs="Calibri"/>
          <w:lang w:val="ro-RO"/>
        </w:rPr>
        <w:t>â</w:t>
      </w:r>
      <w:r w:rsidR="009142FD" w:rsidRPr="00834B27">
        <w:rPr>
          <w:rFonts w:ascii="Calibri" w:hAnsi="Calibri" w:cs="Calibri"/>
          <w:lang w:val="ro-RO"/>
        </w:rPr>
        <w:t xml:space="preserve">t </w:t>
      </w:r>
      <w:r w:rsidR="00B72A14" w:rsidRPr="00834B27">
        <w:rPr>
          <w:rFonts w:ascii="Calibri" w:hAnsi="Calibri" w:cs="Calibri"/>
          <w:lang w:val="ro-RO"/>
        </w:rPr>
        <w:t>ș</w:t>
      </w:r>
      <w:r w:rsidR="009142FD" w:rsidRPr="00834B27">
        <w:rPr>
          <w:rFonts w:ascii="Calibri" w:hAnsi="Calibri" w:cs="Calibri"/>
          <w:lang w:val="ro-RO"/>
        </w:rPr>
        <w:t xml:space="preserve">i al </w:t>
      </w:r>
      <w:r w:rsidR="00B72A14" w:rsidRPr="00834B27">
        <w:rPr>
          <w:rFonts w:ascii="Calibri" w:hAnsi="Calibri" w:cs="Calibri"/>
          <w:lang w:val="ro-RO"/>
        </w:rPr>
        <w:t>protejării</w:t>
      </w:r>
      <w:r w:rsidR="00C60B57" w:rsidRPr="00834B27">
        <w:rPr>
          <w:rFonts w:ascii="Calibri" w:hAnsi="Calibri" w:cs="Calibri"/>
          <w:lang w:val="ro-RO"/>
        </w:rPr>
        <w:t xml:space="preserve"> bazei de impunere</w:t>
      </w:r>
      <w:r w:rsidR="009142FD" w:rsidRPr="00834B27">
        <w:rPr>
          <w:rFonts w:ascii="Calibri" w:hAnsi="Calibri" w:cs="Calibri"/>
          <w:lang w:val="ro-RO"/>
        </w:rPr>
        <w:t xml:space="preserve"> </w:t>
      </w:r>
      <w:r w:rsidR="00B72A14" w:rsidRPr="00834B27">
        <w:rPr>
          <w:rFonts w:ascii="Calibri" w:hAnsi="Calibri" w:cs="Calibri"/>
          <w:lang w:val="ro-RO"/>
        </w:rPr>
        <w:t>î</w:t>
      </w:r>
      <w:r w:rsidR="009142FD" w:rsidRPr="00834B27">
        <w:rPr>
          <w:rFonts w:ascii="Calibri" w:hAnsi="Calibri" w:cs="Calibri"/>
          <w:lang w:val="ro-RO"/>
        </w:rPr>
        <w:t>n Rom</w:t>
      </w:r>
      <w:r w:rsidR="00B72A14" w:rsidRPr="00834B27">
        <w:rPr>
          <w:rFonts w:ascii="Calibri" w:hAnsi="Calibri" w:cs="Calibri"/>
          <w:lang w:val="ro-RO"/>
        </w:rPr>
        <w:t>â</w:t>
      </w:r>
      <w:r w:rsidR="009142FD" w:rsidRPr="00834B27">
        <w:rPr>
          <w:rFonts w:ascii="Calibri" w:hAnsi="Calibri" w:cs="Calibri"/>
          <w:lang w:val="ro-RO"/>
        </w:rPr>
        <w:t xml:space="preserve">nia, </w:t>
      </w:r>
      <w:r w:rsidR="00A332DC" w:rsidRPr="00834B27">
        <w:rPr>
          <w:rFonts w:ascii="Calibri" w:hAnsi="Calibri" w:cs="Calibri"/>
          <w:lang w:val="ro-RO"/>
        </w:rPr>
        <w:t xml:space="preserve">propunem </w:t>
      </w:r>
      <w:r w:rsidR="00157323" w:rsidRPr="00834B27">
        <w:rPr>
          <w:rFonts w:ascii="Calibri" w:hAnsi="Calibri" w:cs="Calibri"/>
          <w:lang w:val="ro-RO"/>
        </w:rPr>
        <w:t xml:space="preserve">modificarea prevederilor actuale </w:t>
      </w:r>
      <w:r w:rsidR="00B72A14" w:rsidRPr="00834B27">
        <w:rPr>
          <w:rFonts w:ascii="Calibri" w:hAnsi="Calibri" w:cs="Calibri"/>
          <w:lang w:val="ro-RO"/>
        </w:rPr>
        <w:t>î</w:t>
      </w:r>
      <w:r w:rsidR="00157323" w:rsidRPr="00834B27">
        <w:rPr>
          <w:rFonts w:ascii="Calibri" w:hAnsi="Calibri" w:cs="Calibri"/>
          <w:lang w:val="ro-RO"/>
        </w:rPr>
        <w:t xml:space="preserve">n ceea ce </w:t>
      </w:r>
      <w:r w:rsidR="00B72A14" w:rsidRPr="00834B27">
        <w:rPr>
          <w:rFonts w:ascii="Calibri" w:hAnsi="Calibri" w:cs="Calibri"/>
          <w:lang w:val="ro-RO"/>
        </w:rPr>
        <w:t>privește</w:t>
      </w:r>
      <w:r w:rsidR="00157323" w:rsidRPr="00834B27">
        <w:rPr>
          <w:rFonts w:ascii="Calibri" w:hAnsi="Calibri" w:cs="Calibri"/>
          <w:lang w:val="ro-RO"/>
        </w:rPr>
        <w:t xml:space="preserve"> </w:t>
      </w:r>
      <w:r w:rsidR="00233664" w:rsidRPr="00834B27">
        <w:rPr>
          <w:rFonts w:ascii="Calibri" w:hAnsi="Calibri" w:cs="Calibri"/>
          <w:lang w:val="ro-RO"/>
        </w:rPr>
        <w:t xml:space="preserve">impozitarea sumelor ce nu pot fi justificate, precum </w:t>
      </w:r>
      <w:r w:rsidR="00B72A14" w:rsidRPr="00834B27">
        <w:rPr>
          <w:rFonts w:ascii="Calibri" w:hAnsi="Calibri" w:cs="Calibri"/>
          <w:lang w:val="ro-RO"/>
        </w:rPr>
        <w:t>ș</w:t>
      </w:r>
      <w:r w:rsidR="00233664" w:rsidRPr="00834B27">
        <w:rPr>
          <w:rFonts w:ascii="Calibri" w:hAnsi="Calibri" w:cs="Calibri"/>
          <w:lang w:val="ro-RO"/>
        </w:rPr>
        <w:t xml:space="preserve">i </w:t>
      </w:r>
      <w:r w:rsidR="00A72B8C" w:rsidRPr="00834B27">
        <w:rPr>
          <w:rFonts w:ascii="Calibri" w:hAnsi="Calibri" w:cs="Calibri"/>
          <w:lang w:val="ro-RO"/>
        </w:rPr>
        <w:t xml:space="preserve">introducerea unei </w:t>
      </w:r>
      <w:r w:rsidR="00B72A14" w:rsidRPr="00834B27">
        <w:rPr>
          <w:rFonts w:ascii="Calibri" w:hAnsi="Calibri" w:cs="Calibri"/>
          <w:lang w:val="ro-RO"/>
        </w:rPr>
        <w:t>sec</w:t>
      </w:r>
      <w:r w:rsidR="00D77C4B" w:rsidRPr="00834B27">
        <w:rPr>
          <w:rFonts w:ascii="Calibri" w:hAnsi="Calibri" w:cs="Calibri"/>
          <w:lang w:val="ro-RO"/>
        </w:rPr>
        <w:t>ț</w:t>
      </w:r>
      <w:r w:rsidR="00B72A14" w:rsidRPr="00834B27">
        <w:rPr>
          <w:rFonts w:ascii="Calibri" w:hAnsi="Calibri" w:cs="Calibri"/>
          <w:lang w:val="ro-RO"/>
        </w:rPr>
        <w:t>iuni</w:t>
      </w:r>
      <w:r w:rsidR="00A72B8C" w:rsidRPr="00834B27">
        <w:rPr>
          <w:rFonts w:ascii="Calibri" w:hAnsi="Calibri" w:cs="Calibri"/>
          <w:lang w:val="ro-RO"/>
        </w:rPr>
        <w:t xml:space="preserve"> noi, care s</w:t>
      </w:r>
      <w:r w:rsidR="00B72A14" w:rsidRPr="00834B27">
        <w:rPr>
          <w:rFonts w:ascii="Calibri" w:hAnsi="Calibri" w:cs="Calibri"/>
          <w:lang w:val="ro-RO"/>
        </w:rPr>
        <w:t>ă</w:t>
      </w:r>
      <w:r w:rsidR="00A72B8C" w:rsidRPr="00834B27">
        <w:rPr>
          <w:rFonts w:ascii="Calibri" w:hAnsi="Calibri" w:cs="Calibri"/>
          <w:lang w:val="ro-RO"/>
        </w:rPr>
        <w:t xml:space="preserve"> reglementeze impozitarea persoanelor care </w:t>
      </w:r>
      <w:r w:rsidR="00B72A14" w:rsidRPr="00834B27">
        <w:rPr>
          <w:rFonts w:ascii="Calibri" w:hAnsi="Calibri" w:cs="Calibri"/>
          <w:lang w:val="ro-RO"/>
        </w:rPr>
        <w:t>își</w:t>
      </w:r>
      <w:r w:rsidR="00A72B8C" w:rsidRPr="00834B27">
        <w:rPr>
          <w:rFonts w:ascii="Calibri" w:hAnsi="Calibri" w:cs="Calibri"/>
          <w:lang w:val="ro-RO"/>
        </w:rPr>
        <w:t xml:space="preserve"> mut</w:t>
      </w:r>
      <w:r w:rsidR="00B72A14" w:rsidRPr="00834B27">
        <w:rPr>
          <w:rFonts w:ascii="Calibri" w:hAnsi="Calibri" w:cs="Calibri"/>
          <w:lang w:val="ro-RO"/>
        </w:rPr>
        <w:t>ă</w:t>
      </w:r>
      <w:r w:rsidR="00A72B8C" w:rsidRPr="00834B27">
        <w:rPr>
          <w:rFonts w:ascii="Calibri" w:hAnsi="Calibri" w:cs="Calibri"/>
          <w:lang w:val="ro-RO"/>
        </w:rPr>
        <w:t xml:space="preserve"> reziden</w:t>
      </w:r>
      <w:r w:rsidR="00D77C4B" w:rsidRPr="00834B27">
        <w:rPr>
          <w:rFonts w:ascii="Calibri" w:hAnsi="Calibri" w:cs="Calibri"/>
          <w:lang w:val="ro-RO"/>
        </w:rPr>
        <w:t>ț</w:t>
      </w:r>
      <w:r w:rsidR="00A72B8C" w:rsidRPr="00834B27">
        <w:rPr>
          <w:rFonts w:ascii="Calibri" w:hAnsi="Calibri" w:cs="Calibri"/>
          <w:lang w:val="ro-RO"/>
        </w:rPr>
        <w:t>a fiscal</w:t>
      </w:r>
      <w:r w:rsidR="00B72A14" w:rsidRPr="00834B27">
        <w:rPr>
          <w:rFonts w:ascii="Calibri" w:hAnsi="Calibri" w:cs="Calibri"/>
          <w:lang w:val="ro-RO"/>
        </w:rPr>
        <w:t>ă</w:t>
      </w:r>
      <w:r w:rsidR="00A72B8C" w:rsidRPr="00834B27">
        <w:rPr>
          <w:rFonts w:ascii="Calibri" w:hAnsi="Calibri" w:cs="Calibri"/>
          <w:lang w:val="ro-RO"/>
        </w:rPr>
        <w:t xml:space="preserve"> </w:t>
      </w:r>
      <w:r w:rsidR="00B72A14" w:rsidRPr="00834B27">
        <w:rPr>
          <w:rFonts w:ascii="Calibri" w:hAnsi="Calibri" w:cs="Calibri"/>
          <w:lang w:val="ro-RO"/>
        </w:rPr>
        <w:t>î</w:t>
      </w:r>
      <w:r w:rsidR="00A72B8C" w:rsidRPr="00834B27">
        <w:rPr>
          <w:rFonts w:ascii="Calibri" w:hAnsi="Calibri" w:cs="Calibri"/>
          <w:lang w:val="ro-RO"/>
        </w:rPr>
        <w:t>n alte state („</w:t>
      </w:r>
      <w:r w:rsidR="00A72B8C" w:rsidRPr="00834B27">
        <w:rPr>
          <w:rFonts w:ascii="Calibri" w:hAnsi="Calibri" w:cs="Calibri"/>
          <w:i/>
          <w:iCs/>
          <w:lang w:val="ro-RO"/>
        </w:rPr>
        <w:t>Extraction Tax</w:t>
      </w:r>
      <w:r w:rsidR="00A72B8C" w:rsidRPr="00834B27">
        <w:rPr>
          <w:rFonts w:ascii="Calibri" w:hAnsi="Calibri" w:cs="Calibri"/>
          <w:lang w:val="ro-RO"/>
        </w:rPr>
        <w:t>”)</w:t>
      </w:r>
      <w:r w:rsidR="008C60B0" w:rsidRPr="00834B27">
        <w:rPr>
          <w:rFonts w:ascii="Calibri" w:hAnsi="Calibri" w:cs="Calibri"/>
          <w:lang w:val="ro-RO"/>
        </w:rPr>
        <w:t>.</w:t>
      </w:r>
    </w:p>
    <w:p w14:paraId="3C8B8A98" w14:textId="77777777" w:rsidR="005752DC" w:rsidRPr="00834B27" w:rsidRDefault="005752DC" w:rsidP="00B43347">
      <w:pPr>
        <w:tabs>
          <w:tab w:val="left" w:pos="720"/>
        </w:tabs>
        <w:spacing w:line="276" w:lineRule="auto"/>
        <w:jc w:val="both"/>
        <w:rPr>
          <w:rFonts w:ascii="Calibri" w:hAnsi="Calibri" w:cs="Calibri"/>
          <w:lang w:val="ro-RO"/>
        </w:rPr>
      </w:pPr>
    </w:p>
    <w:p w14:paraId="3F9CD1BF" w14:textId="02863ECC" w:rsidR="00AE3A28" w:rsidRPr="00834B27" w:rsidRDefault="00C06FC1" w:rsidP="005752DC">
      <w:pPr>
        <w:pStyle w:val="Listparagraf"/>
        <w:keepNext/>
        <w:numPr>
          <w:ilvl w:val="0"/>
          <w:numId w:val="46"/>
        </w:numPr>
        <w:tabs>
          <w:tab w:val="left" w:pos="720"/>
        </w:tabs>
        <w:spacing w:line="276" w:lineRule="auto"/>
        <w:ind w:hanging="720"/>
        <w:jc w:val="both"/>
        <w:rPr>
          <w:rFonts w:ascii="Calibri" w:hAnsi="Calibri" w:cs="Calibri"/>
          <w:b/>
          <w:bCs/>
          <w:lang w:val="ro-RO"/>
        </w:rPr>
      </w:pPr>
      <w:r w:rsidRPr="00834B27">
        <w:rPr>
          <w:rFonts w:ascii="Calibri" w:hAnsi="Calibri" w:cs="Calibri"/>
          <w:b/>
          <w:bCs/>
          <w:lang w:val="ro-RO"/>
        </w:rPr>
        <w:t>Impozitarea sumelor ce nu pot fi justificate</w:t>
      </w:r>
    </w:p>
    <w:p w14:paraId="7150A87C" w14:textId="40A68E99" w:rsidR="004B2CA4" w:rsidRPr="00834B27" w:rsidRDefault="00EB5B26" w:rsidP="00AE3A28">
      <w:pPr>
        <w:tabs>
          <w:tab w:val="left" w:pos="720"/>
        </w:tabs>
        <w:spacing w:line="276" w:lineRule="auto"/>
        <w:jc w:val="both"/>
        <w:rPr>
          <w:rFonts w:ascii="Calibri" w:hAnsi="Calibri" w:cs="Calibri"/>
          <w:lang w:val="ro-RO"/>
        </w:rPr>
      </w:pPr>
      <w:r w:rsidRPr="00834B27">
        <w:rPr>
          <w:rFonts w:ascii="Calibri" w:hAnsi="Calibri" w:cs="Calibri"/>
          <w:lang w:val="ro-RO"/>
        </w:rPr>
        <w:t xml:space="preserve">Pentru </w:t>
      </w:r>
      <w:r w:rsidR="006F47E2" w:rsidRPr="00834B27">
        <w:rPr>
          <w:rFonts w:ascii="Calibri" w:hAnsi="Calibri" w:cs="Calibri"/>
          <w:lang w:val="ro-RO"/>
        </w:rPr>
        <w:t xml:space="preserve">ca analiza de risc </w:t>
      </w:r>
      <w:r w:rsidR="00B72A14" w:rsidRPr="00834B27">
        <w:rPr>
          <w:rFonts w:ascii="Calibri" w:hAnsi="Calibri" w:cs="Calibri"/>
          <w:lang w:val="ro-RO"/>
        </w:rPr>
        <w:t>î</w:t>
      </w:r>
      <w:r w:rsidR="006F47E2" w:rsidRPr="00834B27">
        <w:rPr>
          <w:rFonts w:ascii="Calibri" w:hAnsi="Calibri" w:cs="Calibri"/>
          <w:lang w:val="ro-RO"/>
        </w:rPr>
        <w:t xml:space="preserve">n baza </w:t>
      </w:r>
      <w:r w:rsidR="00B72A14" w:rsidRPr="00834B27">
        <w:rPr>
          <w:rFonts w:ascii="Calibri" w:hAnsi="Calibri" w:cs="Calibri"/>
          <w:lang w:val="ro-RO"/>
        </w:rPr>
        <w:t>căreia</w:t>
      </w:r>
      <w:r w:rsidR="006F47E2" w:rsidRPr="00834B27">
        <w:rPr>
          <w:rFonts w:ascii="Calibri" w:hAnsi="Calibri" w:cs="Calibri"/>
          <w:lang w:val="ro-RO"/>
        </w:rPr>
        <w:t xml:space="preserve"> se iau deciziile de verificare a </w:t>
      </w:r>
      <w:r w:rsidR="00B72A14" w:rsidRPr="00834B27">
        <w:rPr>
          <w:rFonts w:ascii="Calibri" w:hAnsi="Calibri" w:cs="Calibri"/>
          <w:lang w:val="ro-RO"/>
        </w:rPr>
        <w:t>situa</w:t>
      </w:r>
      <w:r w:rsidR="00D77C4B" w:rsidRPr="00834B27">
        <w:rPr>
          <w:rFonts w:ascii="Calibri" w:hAnsi="Calibri" w:cs="Calibri"/>
          <w:lang w:val="ro-RO"/>
        </w:rPr>
        <w:t>ț</w:t>
      </w:r>
      <w:r w:rsidR="00B72A14" w:rsidRPr="00834B27">
        <w:rPr>
          <w:rFonts w:ascii="Calibri" w:hAnsi="Calibri" w:cs="Calibri"/>
          <w:lang w:val="ro-RO"/>
        </w:rPr>
        <w:t>iei</w:t>
      </w:r>
      <w:r w:rsidR="006F47E2" w:rsidRPr="00834B27">
        <w:rPr>
          <w:rFonts w:ascii="Calibri" w:hAnsi="Calibri" w:cs="Calibri"/>
          <w:lang w:val="ro-RO"/>
        </w:rPr>
        <w:t xml:space="preserve"> personale s</w:t>
      </w:r>
      <w:r w:rsidR="00B72A14" w:rsidRPr="00834B27">
        <w:rPr>
          <w:rFonts w:ascii="Calibri" w:hAnsi="Calibri" w:cs="Calibri"/>
          <w:lang w:val="ro-RO"/>
        </w:rPr>
        <w:t>ă</w:t>
      </w:r>
      <w:r w:rsidR="006F47E2" w:rsidRPr="00834B27">
        <w:rPr>
          <w:rFonts w:ascii="Calibri" w:hAnsi="Calibri" w:cs="Calibri"/>
          <w:lang w:val="ro-RO"/>
        </w:rPr>
        <w:t xml:space="preserve"> fie </w:t>
      </w:r>
      <w:r w:rsidR="00212A37" w:rsidRPr="00834B27">
        <w:rPr>
          <w:rFonts w:ascii="Calibri" w:hAnsi="Calibri" w:cs="Calibri"/>
          <w:lang w:val="ro-RO"/>
        </w:rPr>
        <w:t>eficient</w:t>
      </w:r>
      <w:r w:rsidR="00B72A14" w:rsidRPr="00834B27">
        <w:rPr>
          <w:rFonts w:ascii="Calibri" w:hAnsi="Calibri" w:cs="Calibri"/>
          <w:lang w:val="ro-RO"/>
        </w:rPr>
        <w:t>ă</w:t>
      </w:r>
      <w:r w:rsidR="00212A37" w:rsidRPr="00834B27">
        <w:rPr>
          <w:rFonts w:ascii="Calibri" w:hAnsi="Calibri" w:cs="Calibri"/>
          <w:lang w:val="ro-RO"/>
        </w:rPr>
        <w:t xml:space="preserve">, trebuie creat un sistem de </w:t>
      </w:r>
      <w:r w:rsidR="00B72A14" w:rsidRPr="00834B27">
        <w:rPr>
          <w:rFonts w:ascii="Calibri" w:hAnsi="Calibri" w:cs="Calibri"/>
          <w:lang w:val="ro-RO"/>
        </w:rPr>
        <w:t>referin</w:t>
      </w:r>
      <w:r w:rsidR="00D77C4B" w:rsidRPr="00834B27">
        <w:rPr>
          <w:rFonts w:ascii="Calibri" w:hAnsi="Calibri" w:cs="Calibri"/>
          <w:lang w:val="ro-RO"/>
        </w:rPr>
        <w:t>ț</w:t>
      </w:r>
      <w:r w:rsidR="00B72A14" w:rsidRPr="00834B27">
        <w:rPr>
          <w:rFonts w:ascii="Calibri" w:hAnsi="Calibri" w:cs="Calibri"/>
          <w:lang w:val="ro-RO"/>
        </w:rPr>
        <w:t>ă</w:t>
      </w:r>
      <w:r w:rsidR="007521BA" w:rsidRPr="00834B27">
        <w:rPr>
          <w:rFonts w:ascii="Calibri" w:hAnsi="Calibri" w:cs="Calibri"/>
          <w:lang w:val="ro-RO"/>
        </w:rPr>
        <w:t>, la care analizele de risc s</w:t>
      </w:r>
      <w:r w:rsidR="00B72A14" w:rsidRPr="00834B27">
        <w:rPr>
          <w:rFonts w:ascii="Calibri" w:hAnsi="Calibri" w:cs="Calibri"/>
          <w:lang w:val="ro-RO"/>
        </w:rPr>
        <w:t>ă</w:t>
      </w:r>
      <w:r w:rsidR="007521BA" w:rsidRPr="00834B27">
        <w:rPr>
          <w:rFonts w:ascii="Calibri" w:hAnsi="Calibri" w:cs="Calibri"/>
          <w:lang w:val="ro-RO"/>
        </w:rPr>
        <w:t xml:space="preserve"> se </w:t>
      </w:r>
      <w:r w:rsidR="00B72A14" w:rsidRPr="00834B27">
        <w:rPr>
          <w:rFonts w:ascii="Calibri" w:hAnsi="Calibri" w:cs="Calibri"/>
          <w:lang w:val="ro-RO"/>
        </w:rPr>
        <w:t>poată</w:t>
      </w:r>
      <w:r w:rsidR="007521BA" w:rsidRPr="00834B27">
        <w:rPr>
          <w:rFonts w:ascii="Calibri" w:hAnsi="Calibri" w:cs="Calibri"/>
          <w:lang w:val="ro-RO"/>
        </w:rPr>
        <w:t xml:space="preserve"> raporta.</w:t>
      </w:r>
    </w:p>
    <w:p w14:paraId="23F85ED1" w14:textId="6639C22A" w:rsidR="00D724FF" w:rsidRPr="00834B27" w:rsidRDefault="00D724FF" w:rsidP="00AE3A28">
      <w:pPr>
        <w:tabs>
          <w:tab w:val="left" w:pos="720"/>
        </w:tabs>
        <w:spacing w:line="276" w:lineRule="auto"/>
        <w:jc w:val="both"/>
        <w:rPr>
          <w:rFonts w:ascii="Calibri" w:hAnsi="Calibri" w:cs="Calibri"/>
          <w:lang w:val="ro-RO"/>
        </w:rPr>
      </w:pPr>
      <w:r w:rsidRPr="00834B27">
        <w:rPr>
          <w:rFonts w:ascii="Calibri" w:hAnsi="Calibri" w:cs="Calibri"/>
          <w:lang w:val="ro-RO"/>
        </w:rPr>
        <w:t xml:space="preserve">Pentru a crea sistemul de </w:t>
      </w:r>
      <w:r w:rsidR="00B72A14" w:rsidRPr="00834B27">
        <w:rPr>
          <w:rFonts w:ascii="Calibri" w:hAnsi="Calibri" w:cs="Calibri"/>
          <w:lang w:val="ro-RO"/>
        </w:rPr>
        <w:t>referin</w:t>
      </w:r>
      <w:r w:rsidR="00D77C4B" w:rsidRPr="00834B27">
        <w:rPr>
          <w:rFonts w:ascii="Calibri" w:hAnsi="Calibri" w:cs="Calibri"/>
          <w:lang w:val="ro-RO"/>
        </w:rPr>
        <w:t>ț</w:t>
      </w:r>
      <w:r w:rsidR="00B72A14" w:rsidRPr="00834B27">
        <w:rPr>
          <w:rFonts w:ascii="Calibri" w:hAnsi="Calibri" w:cs="Calibri"/>
          <w:lang w:val="ro-RO"/>
        </w:rPr>
        <w:t>ă</w:t>
      </w:r>
      <w:r w:rsidRPr="00834B27">
        <w:rPr>
          <w:rFonts w:ascii="Calibri" w:hAnsi="Calibri" w:cs="Calibri"/>
          <w:lang w:val="ro-RO"/>
        </w:rPr>
        <w:t>, propunem instituirea unui „</w:t>
      </w:r>
      <w:r w:rsidR="00364F55" w:rsidRPr="00834B27">
        <w:rPr>
          <w:rFonts w:ascii="Calibri" w:hAnsi="Calibri" w:cs="Calibri"/>
          <w:lang w:val="ro-RO"/>
        </w:rPr>
        <w:t>moment zero”, o dat</w:t>
      </w:r>
      <w:r w:rsidR="00B72A14" w:rsidRPr="00834B27">
        <w:rPr>
          <w:rFonts w:ascii="Calibri" w:hAnsi="Calibri" w:cs="Calibri"/>
          <w:lang w:val="ro-RO"/>
        </w:rPr>
        <w:t>ă</w:t>
      </w:r>
      <w:r w:rsidR="00364F55" w:rsidRPr="00834B27">
        <w:rPr>
          <w:rFonts w:ascii="Calibri" w:hAnsi="Calibri" w:cs="Calibri"/>
          <w:lang w:val="ro-RO"/>
        </w:rPr>
        <w:t xml:space="preserve"> p</w:t>
      </w:r>
      <w:r w:rsidR="00B72A14" w:rsidRPr="00834B27">
        <w:rPr>
          <w:rFonts w:ascii="Calibri" w:hAnsi="Calibri" w:cs="Calibri"/>
          <w:lang w:val="ro-RO"/>
        </w:rPr>
        <w:t>â</w:t>
      </w:r>
      <w:r w:rsidR="00364F55" w:rsidRPr="00834B27">
        <w:rPr>
          <w:rFonts w:ascii="Calibri" w:hAnsi="Calibri" w:cs="Calibri"/>
          <w:lang w:val="ro-RO"/>
        </w:rPr>
        <w:t>n</w:t>
      </w:r>
      <w:r w:rsidR="00B72A14" w:rsidRPr="00834B27">
        <w:rPr>
          <w:rFonts w:ascii="Calibri" w:hAnsi="Calibri" w:cs="Calibri"/>
          <w:lang w:val="ro-RO"/>
        </w:rPr>
        <w:t>ă</w:t>
      </w:r>
      <w:r w:rsidR="00364F55" w:rsidRPr="00834B27">
        <w:rPr>
          <w:rFonts w:ascii="Calibri" w:hAnsi="Calibri" w:cs="Calibri"/>
          <w:lang w:val="ro-RO"/>
        </w:rPr>
        <w:t xml:space="preserve"> la care </w:t>
      </w:r>
      <w:r w:rsidR="00B72A14" w:rsidRPr="00834B27">
        <w:rPr>
          <w:rFonts w:ascii="Calibri" w:hAnsi="Calibri" w:cs="Calibri"/>
          <w:lang w:val="ro-RO"/>
        </w:rPr>
        <w:t>to</w:t>
      </w:r>
      <w:r w:rsidR="00D77C4B" w:rsidRPr="00834B27">
        <w:rPr>
          <w:rFonts w:ascii="Calibri" w:hAnsi="Calibri" w:cs="Calibri"/>
          <w:lang w:val="ro-RO"/>
        </w:rPr>
        <w:t>ț</w:t>
      </w:r>
      <w:r w:rsidR="00B72A14" w:rsidRPr="00834B27">
        <w:rPr>
          <w:rFonts w:ascii="Calibri" w:hAnsi="Calibri" w:cs="Calibri"/>
          <w:lang w:val="ro-RO"/>
        </w:rPr>
        <w:t>i</w:t>
      </w:r>
      <w:r w:rsidR="00364F55" w:rsidRPr="00834B27">
        <w:rPr>
          <w:rFonts w:ascii="Calibri" w:hAnsi="Calibri" w:cs="Calibri"/>
          <w:lang w:val="ro-RO"/>
        </w:rPr>
        <w:t xml:space="preserve"> contribuabilii </w:t>
      </w:r>
      <w:r w:rsidR="001058AA" w:rsidRPr="00834B27">
        <w:rPr>
          <w:rFonts w:ascii="Calibri" w:hAnsi="Calibri" w:cs="Calibri"/>
          <w:lang w:val="ro-RO"/>
        </w:rPr>
        <w:t>c</w:t>
      </w:r>
      <w:r w:rsidR="00C5394A" w:rsidRPr="00834B27">
        <w:rPr>
          <w:rFonts w:ascii="Calibri" w:hAnsi="Calibri" w:cs="Calibri"/>
          <w:lang w:val="ro-RO"/>
        </w:rPr>
        <w:t>are</w:t>
      </w:r>
      <w:r w:rsidR="007B534B" w:rsidRPr="00834B27">
        <w:rPr>
          <w:rFonts w:ascii="Calibri" w:hAnsi="Calibri" w:cs="Calibri"/>
          <w:lang w:val="ro-RO"/>
        </w:rPr>
        <w:t xml:space="preserve"> </w:t>
      </w:r>
      <w:r w:rsidR="0053227E" w:rsidRPr="00834B27">
        <w:rPr>
          <w:rFonts w:ascii="Calibri" w:hAnsi="Calibri" w:cs="Calibri"/>
          <w:lang w:val="ro-RO"/>
        </w:rPr>
        <w:t xml:space="preserve">au </w:t>
      </w:r>
      <w:r w:rsidR="007B534B" w:rsidRPr="00834B27">
        <w:rPr>
          <w:rFonts w:ascii="Calibri" w:hAnsi="Calibri" w:cs="Calibri"/>
          <w:lang w:val="ro-RO"/>
        </w:rPr>
        <w:t xml:space="preserve">un patrimoniu net (active </w:t>
      </w:r>
      <w:r w:rsidR="00C5394A" w:rsidRPr="00834B27">
        <w:rPr>
          <w:rFonts w:ascii="Calibri" w:hAnsi="Calibri" w:cs="Calibri"/>
          <w:lang w:val="ro-RO"/>
        </w:rPr>
        <w:t>–</w:t>
      </w:r>
      <w:r w:rsidR="007B534B" w:rsidRPr="00834B27">
        <w:rPr>
          <w:rFonts w:ascii="Calibri" w:hAnsi="Calibri" w:cs="Calibri"/>
          <w:lang w:val="ro-RO"/>
        </w:rPr>
        <w:t xml:space="preserve"> </w:t>
      </w:r>
      <w:r w:rsidR="00C5394A" w:rsidRPr="00834B27">
        <w:rPr>
          <w:rFonts w:ascii="Calibri" w:hAnsi="Calibri" w:cs="Calibri"/>
          <w:lang w:val="ro-RO"/>
        </w:rPr>
        <w:t>datorii) de cel puțin 1 milion de euro</w:t>
      </w:r>
      <w:r w:rsidR="00364F55" w:rsidRPr="00834B27">
        <w:rPr>
          <w:rFonts w:ascii="Calibri" w:hAnsi="Calibri" w:cs="Calibri"/>
          <w:lang w:val="ro-RO"/>
        </w:rPr>
        <w:t xml:space="preserve"> s</w:t>
      </w:r>
      <w:r w:rsidR="00B72A14" w:rsidRPr="00834B27">
        <w:rPr>
          <w:rFonts w:ascii="Calibri" w:hAnsi="Calibri" w:cs="Calibri"/>
          <w:lang w:val="ro-RO"/>
        </w:rPr>
        <w:t>ă</w:t>
      </w:r>
      <w:r w:rsidR="00364F55" w:rsidRPr="00834B27">
        <w:rPr>
          <w:rFonts w:ascii="Calibri" w:hAnsi="Calibri" w:cs="Calibri"/>
          <w:lang w:val="ro-RO"/>
        </w:rPr>
        <w:t xml:space="preserve"> </w:t>
      </w:r>
      <w:r w:rsidR="00B72A14" w:rsidRPr="00834B27">
        <w:rPr>
          <w:rFonts w:ascii="Calibri" w:hAnsi="Calibri" w:cs="Calibri"/>
          <w:lang w:val="ro-RO"/>
        </w:rPr>
        <w:t>depună</w:t>
      </w:r>
      <w:r w:rsidR="00364F55" w:rsidRPr="00834B27">
        <w:rPr>
          <w:rFonts w:ascii="Calibri" w:hAnsi="Calibri" w:cs="Calibri"/>
          <w:lang w:val="ro-RO"/>
        </w:rPr>
        <w:t xml:space="preserve"> o </w:t>
      </w:r>
      <w:r w:rsidR="00B72A14" w:rsidRPr="00834B27">
        <w:rPr>
          <w:rFonts w:ascii="Calibri" w:hAnsi="Calibri" w:cs="Calibri"/>
          <w:lang w:val="ro-RO"/>
        </w:rPr>
        <w:t>declara</w:t>
      </w:r>
      <w:r w:rsidR="00D77C4B" w:rsidRPr="00834B27">
        <w:rPr>
          <w:rFonts w:ascii="Calibri" w:hAnsi="Calibri" w:cs="Calibri"/>
          <w:lang w:val="ro-RO"/>
        </w:rPr>
        <w:t>ț</w:t>
      </w:r>
      <w:r w:rsidR="00B72A14" w:rsidRPr="00834B27">
        <w:rPr>
          <w:rFonts w:ascii="Calibri" w:hAnsi="Calibri" w:cs="Calibri"/>
          <w:lang w:val="ro-RO"/>
        </w:rPr>
        <w:t>ie</w:t>
      </w:r>
      <w:r w:rsidR="00364F55" w:rsidRPr="00834B27">
        <w:rPr>
          <w:rFonts w:ascii="Calibri" w:hAnsi="Calibri" w:cs="Calibri"/>
          <w:lang w:val="ro-RO"/>
        </w:rPr>
        <w:t xml:space="preserve"> </w:t>
      </w:r>
      <w:r w:rsidR="00B72A14" w:rsidRPr="00834B27">
        <w:rPr>
          <w:rFonts w:ascii="Calibri" w:hAnsi="Calibri" w:cs="Calibri"/>
          <w:lang w:val="ro-RO"/>
        </w:rPr>
        <w:t>ini</w:t>
      </w:r>
      <w:r w:rsidR="00D77C4B" w:rsidRPr="00834B27">
        <w:rPr>
          <w:rFonts w:ascii="Calibri" w:hAnsi="Calibri" w:cs="Calibri"/>
          <w:lang w:val="ro-RO"/>
        </w:rPr>
        <w:t>ț</w:t>
      </w:r>
      <w:r w:rsidR="00B72A14" w:rsidRPr="00834B27">
        <w:rPr>
          <w:rFonts w:ascii="Calibri" w:hAnsi="Calibri" w:cs="Calibri"/>
          <w:lang w:val="ro-RO"/>
        </w:rPr>
        <w:t>ială</w:t>
      </w:r>
      <w:r w:rsidR="00364F55" w:rsidRPr="00834B27">
        <w:rPr>
          <w:rFonts w:ascii="Calibri" w:hAnsi="Calibri" w:cs="Calibri"/>
          <w:lang w:val="ro-RO"/>
        </w:rPr>
        <w:t xml:space="preserve"> de patrimoniu</w:t>
      </w:r>
      <w:r w:rsidR="00C068C9" w:rsidRPr="00834B27">
        <w:rPr>
          <w:rFonts w:ascii="Calibri" w:hAnsi="Calibri" w:cs="Calibri"/>
          <w:lang w:val="ro-RO"/>
        </w:rPr>
        <w:t>, identic</w:t>
      </w:r>
      <w:r w:rsidR="00B72A14" w:rsidRPr="00834B27">
        <w:rPr>
          <w:rFonts w:ascii="Calibri" w:hAnsi="Calibri" w:cs="Calibri"/>
          <w:lang w:val="ro-RO"/>
        </w:rPr>
        <w:t>ă</w:t>
      </w:r>
      <w:r w:rsidR="00C068C9" w:rsidRPr="00834B27">
        <w:rPr>
          <w:rFonts w:ascii="Calibri" w:hAnsi="Calibri" w:cs="Calibri"/>
          <w:lang w:val="ro-RO"/>
        </w:rPr>
        <w:t xml:space="preserve"> cu cea pe care trebuie s</w:t>
      </w:r>
      <w:r w:rsidR="00B72A14" w:rsidRPr="00834B27">
        <w:rPr>
          <w:rFonts w:ascii="Calibri" w:hAnsi="Calibri" w:cs="Calibri"/>
          <w:lang w:val="ro-RO"/>
        </w:rPr>
        <w:t>ă</w:t>
      </w:r>
      <w:r w:rsidR="00C068C9" w:rsidRPr="00834B27">
        <w:rPr>
          <w:rFonts w:ascii="Calibri" w:hAnsi="Calibri" w:cs="Calibri"/>
          <w:lang w:val="ro-RO"/>
        </w:rPr>
        <w:t xml:space="preserve"> o </w:t>
      </w:r>
      <w:r w:rsidR="00B72A14" w:rsidRPr="00834B27">
        <w:rPr>
          <w:rFonts w:ascii="Calibri" w:hAnsi="Calibri" w:cs="Calibri"/>
          <w:lang w:val="ro-RO"/>
        </w:rPr>
        <w:t>întocmească</w:t>
      </w:r>
      <w:r w:rsidR="00C068C9" w:rsidRPr="00834B27">
        <w:rPr>
          <w:rFonts w:ascii="Calibri" w:hAnsi="Calibri" w:cs="Calibri"/>
          <w:lang w:val="ro-RO"/>
        </w:rPr>
        <w:t xml:space="preserve"> </w:t>
      </w:r>
      <w:r w:rsidR="00B72A14" w:rsidRPr="00834B27">
        <w:rPr>
          <w:rFonts w:ascii="Calibri" w:hAnsi="Calibri" w:cs="Calibri"/>
          <w:lang w:val="ro-RO"/>
        </w:rPr>
        <w:t>ș</w:t>
      </w:r>
      <w:r w:rsidR="00C068C9" w:rsidRPr="00834B27">
        <w:rPr>
          <w:rFonts w:ascii="Calibri" w:hAnsi="Calibri" w:cs="Calibri"/>
          <w:lang w:val="ro-RO"/>
        </w:rPr>
        <w:t>i depun</w:t>
      </w:r>
      <w:r w:rsidR="00B72A14" w:rsidRPr="00834B27">
        <w:rPr>
          <w:rFonts w:ascii="Calibri" w:hAnsi="Calibri" w:cs="Calibri"/>
          <w:lang w:val="ro-RO"/>
        </w:rPr>
        <w:t>ă</w:t>
      </w:r>
      <w:r w:rsidR="00C068C9" w:rsidRPr="00834B27">
        <w:rPr>
          <w:rFonts w:ascii="Calibri" w:hAnsi="Calibri" w:cs="Calibri"/>
          <w:lang w:val="ro-RO"/>
        </w:rPr>
        <w:t xml:space="preserve"> </w:t>
      </w:r>
      <w:r w:rsidR="00F86FEF" w:rsidRPr="00834B27">
        <w:rPr>
          <w:rFonts w:ascii="Calibri" w:hAnsi="Calibri" w:cs="Calibri"/>
          <w:lang w:val="ro-RO"/>
        </w:rPr>
        <w:t>persoanele care sunt selectate pentru verificare fiscal</w:t>
      </w:r>
      <w:r w:rsidR="00B72A14" w:rsidRPr="00834B27">
        <w:rPr>
          <w:rFonts w:ascii="Calibri" w:hAnsi="Calibri" w:cs="Calibri"/>
          <w:lang w:val="ro-RO"/>
        </w:rPr>
        <w:t>ă</w:t>
      </w:r>
      <w:r w:rsidR="00F86FEF" w:rsidRPr="00834B27">
        <w:rPr>
          <w:rFonts w:ascii="Calibri" w:hAnsi="Calibri" w:cs="Calibri"/>
          <w:lang w:val="ro-RO"/>
        </w:rPr>
        <w:t>.</w:t>
      </w:r>
      <w:r w:rsidR="002961F3" w:rsidRPr="00834B27">
        <w:rPr>
          <w:rStyle w:val="Referinnotdesubsol"/>
          <w:rFonts w:ascii="Calibri" w:hAnsi="Calibri" w:cs="Calibri"/>
          <w:lang w:val="ro-RO"/>
        </w:rPr>
        <w:footnoteReference w:id="32"/>
      </w:r>
      <w:r w:rsidR="00F86FEF" w:rsidRPr="00834B27">
        <w:rPr>
          <w:rFonts w:ascii="Calibri" w:hAnsi="Calibri" w:cs="Calibri"/>
          <w:lang w:val="ro-RO"/>
        </w:rPr>
        <w:t xml:space="preserve"> </w:t>
      </w:r>
      <w:r w:rsidR="00C61908" w:rsidRPr="00834B27">
        <w:rPr>
          <w:rFonts w:ascii="Calibri" w:hAnsi="Calibri" w:cs="Calibri"/>
          <w:lang w:val="ro-RO"/>
        </w:rPr>
        <w:t xml:space="preserve">Spre deosebire de </w:t>
      </w:r>
      <w:r w:rsidR="00B72A14" w:rsidRPr="00834B27">
        <w:rPr>
          <w:rFonts w:ascii="Calibri" w:hAnsi="Calibri" w:cs="Calibri"/>
          <w:lang w:val="ro-RO"/>
        </w:rPr>
        <w:t>situa</w:t>
      </w:r>
      <w:r w:rsidR="00D77C4B" w:rsidRPr="00834B27">
        <w:rPr>
          <w:rFonts w:ascii="Calibri" w:hAnsi="Calibri" w:cs="Calibri"/>
          <w:lang w:val="ro-RO"/>
        </w:rPr>
        <w:t>ț</w:t>
      </w:r>
      <w:r w:rsidR="00B72A14" w:rsidRPr="00834B27">
        <w:rPr>
          <w:rFonts w:ascii="Calibri" w:hAnsi="Calibri" w:cs="Calibri"/>
          <w:lang w:val="ro-RO"/>
        </w:rPr>
        <w:t>ia</w:t>
      </w:r>
      <w:r w:rsidR="00C61908" w:rsidRPr="00834B27">
        <w:rPr>
          <w:rFonts w:ascii="Calibri" w:hAnsi="Calibri" w:cs="Calibri"/>
          <w:lang w:val="ro-RO"/>
        </w:rPr>
        <w:t xml:space="preserve"> actual</w:t>
      </w:r>
      <w:r w:rsidR="00B72A14" w:rsidRPr="00834B27">
        <w:rPr>
          <w:rFonts w:ascii="Calibri" w:hAnsi="Calibri" w:cs="Calibri"/>
          <w:lang w:val="ro-RO"/>
        </w:rPr>
        <w:t>ă</w:t>
      </w:r>
      <w:r w:rsidR="00C61908" w:rsidRPr="00834B27">
        <w:rPr>
          <w:rFonts w:ascii="Calibri" w:hAnsi="Calibri" w:cs="Calibri"/>
          <w:lang w:val="ro-RO"/>
        </w:rPr>
        <w:t xml:space="preserve">, </w:t>
      </w:r>
      <w:r w:rsidR="00B72A14" w:rsidRPr="00834B27">
        <w:rPr>
          <w:rFonts w:ascii="Calibri" w:hAnsi="Calibri" w:cs="Calibri"/>
          <w:lang w:val="ro-RO"/>
        </w:rPr>
        <w:t>când</w:t>
      </w:r>
      <w:r w:rsidR="00C61908" w:rsidRPr="00834B27">
        <w:rPr>
          <w:rFonts w:ascii="Calibri" w:hAnsi="Calibri" w:cs="Calibri"/>
          <w:lang w:val="ro-RO"/>
        </w:rPr>
        <w:t xml:space="preserve"> </w:t>
      </w:r>
      <w:r w:rsidR="00B72A14" w:rsidRPr="00834B27">
        <w:rPr>
          <w:rFonts w:ascii="Calibri" w:hAnsi="Calibri" w:cs="Calibri"/>
          <w:lang w:val="ro-RO"/>
        </w:rPr>
        <w:t>declara</w:t>
      </w:r>
      <w:r w:rsidR="00D77C4B" w:rsidRPr="00834B27">
        <w:rPr>
          <w:rFonts w:ascii="Calibri" w:hAnsi="Calibri" w:cs="Calibri"/>
          <w:lang w:val="ro-RO"/>
        </w:rPr>
        <w:t>ț</w:t>
      </w:r>
      <w:r w:rsidR="00B72A14" w:rsidRPr="00834B27">
        <w:rPr>
          <w:rFonts w:ascii="Calibri" w:hAnsi="Calibri" w:cs="Calibri"/>
          <w:lang w:val="ro-RO"/>
        </w:rPr>
        <w:t>ia</w:t>
      </w:r>
      <w:r w:rsidR="00C61908" w:rsidRPr="00834B27">
        <w:rPr>
          <w:rFonts w:ascii="Calibri" w:hAnsi="Calibri" w:cs="Calibri"/>
          <w:lang w:val="ro-RO"/>
        </w:rPr>
        <w:t xml:space="preserve"> </w:t>
      </w:r>
      <w:r w:rsidR="00B72A14" w:rsidRPr="00834B27">
        <w:rPr>
          <w:rFonts w:ascii="Calibri" w:hAnsi="Calibri" w:cs="Calibri"/>
          <w:lang w:val="ro-RO"/>
        </w:rPr>
        <w:t>ini</w:t>
      </w:r>
      <w:r w:rsidR="00D77C4B" w:rsidRPr="00834B27">
        <w:rPr>
          <w:rFonts w:ascii="Calibri" w:hAnsi="Calibri" w:cs="Calibri"/>
          <w:lang w:val="ro-RO"/>
        </w:rPr>
        <w:t>ț</w:t>
      </w:r>
      <w:r w:rsidR="00B72A14" w:rsidRPr="00834B27">
        <w:rPr>
          <w:rFonts w:ascii="Calibri" w:hAnsi="Calibri" w:cs="Calibri"/>
          <w:lang w:val="ro-RO"/>
        </w:rPr>
        <w:t>ială</w:t>
      </w:r>
      <w:r w:rsidR="00C61908" w:rsidRPr="00834B27">
        <w:rPr>
          <w:rFonts w:ascii="Calibri" w:hAnsi="Calibri" w:cs="Calibri"/>
          <w:lang w:val="ro-RO"/>
        </w:rPr>
        <w:t xml:space="preserve"> de patrimoniu  trebuie </w:t>
      </w:r>
      <w:r w:rsidR="00B72A14" w:rsidRPr="00834B27">
        <w:rPr>
          <w:rFonts w:ascii="Calibri" w:hAnsi="Calibri" w:cs="Calibri"/>
          <w:lang w:val="ro-RO"/>
        </w:rPr>
        <w:t>întocmită</w:t>
      </w:r>
      <w:r w:rsidR="00C61908" w:rsidRPr="00834B27">
        <w:rPr>
          <w:rFonts w:ascii="Calibri" w:hAnsi="Calibri" w:cs="Calibri"/>
          <w:lang w:val="ro-RO"/>
        </w:rPr>
        <w:t xml:space="preserve"> pentru data </w:t>
      </w:r>
      <w:r w:rsidR="00805C3F" w:rsidRPr="00834B27">
        <w:rPr>
          <w:rFonts w:ascii="Calibri" w:hAnsi="Calibri" w:cs="Calibri"/>
          <w:lang w:val="ro-RO"/>
        </w:rPr>
        <w:t xml:space="preserve">de </w:t>
      </w:r>
      <w:r w:rsidR="00B72A14" w:rsidRPr="00834B27">
        <w:rPr>
          <w:rFonts w:ascii="Calibri" w:hAnsi="Calibri" w:cs="Calibri"/>
          <w:lang w:val="ro-RO"/>
        </w:rPr>
        <w:t>începere</w:t>
      </w:r>
      <w:r w:rsidR="00805C3F" w:rsidRPr="00834B27">
        <w:rPr>
          <w:rFonts w:ascii="Calibri" w:hAnsi="Calibri" w:cs="Calibri"/>
          <w:lang w:val="ro-RO"/>
        </w:rPr>
        <w:t xml:space="preserve"> a perioadei verificate (de regul</w:t>
      </w:r>
      <w:r w:rsidR="00F51C2B" w:rsidRPr="00834B27">
        <w:rPr>
          <w:rFonts w:ascii="Calibri" w:hAnsi="Calibri" w:cs="Calibri"/>
          <w:lang w:val="ro-RO"/>
        </w:rPr>
        <w:t>ă</w:t>
      </w:r>
      <w:r w:rsidR="00805C3F" w:rsidRPr="00834B27">
        <w:rPr>
          <w:rFonts w:ascii="Calibri" w:hAnsi="Calibri" w:cs="Calibri"/>
          <w:lang w:val="ro-RO"/>
        </w:rPr>
        <w:t xml:space="preserve"> cu 5 ani </w:t>
      </w:r>
      <w:r w:rsidR="00B72A14" w:rsidRPr="00834B27">
        <w:rPr>
          <w:rFonts w:ascii="Calibri" w:hAnsi="Calibri" w:cs="Calibri"/>
          <w:lang w:val="ro-RO"/>
        </w:rPr>
        <w:t>î</w:t>
      </w:r>
      <w:r w:rsidR="00805C3F" w:rsidRPr="00834B27">
        <w:rPr>
          <w:rFonts w:ascii="Calibri" w:hAnsi="Calibri" w:cs="Calibri"/>
          <w:lang w:val="ro-RO"/>
        </w:rPr>
        <w:t>n urm</w:t>
      </w:r>
      <w:r w:rsidR="00B72A14" w:rsidRPr="00834B27">
        <w:rPr>
          <w:rFonts w:ascii="Calibri" w:hAnsi="Calibri" w:cs="Calibri"/>
          <w:lang w:val="ro-RO"/>
        </w:rPr>
        <w:t>ă</w:t>
      </w:r>
      <w:r w:rsidR="00805C3F" w:rsidRPr="00834B27">
        <w:rPr>
          <w:rFonts w:ascii="Calibri" w:hAnsi="Calibri" w:cs="Calibri"/>
          <w:lang w:val="ro-RO"/>
        </w:rPr>
        <w:t>)</w:t>
      </w:r>
      <w:r w:rsidR="00E60C41" w:rsidRPr="00834B27">
        <w:rPr>
          <w:rFonts w:ascii="Calibri" w:hAnsi="Calibri" w:cs="Calibri"/>
          <w:lang w:val="ro-RO"/>
        </w:rPr>
        <w:t xml:space="preserve"> - </w:t>
      </w:r>
      <w:r w:rsidR="00805C3F" w:rsidRPr="00834B27">
        <w:rPr>
          <w:rFonts w:ascii="Calibri" w:hAnsi="Calibri" w:cs="Calibri"/>
          <w:lang w:val="ro-RO"/>
        </w:rPr>
        <w:t>ceea ce de multe ori este dificil pentru contribuabili</w:t>
      </w:r>
      <w:r w:rsidR="00F51C2B" w:rsidRPr="00834B27">
        <w:rPr>
          <w:rFonts w:ascii="Calibri" w:hAnsi="Calibri" w:cs="Calibri"/>
          <w:lang w:val="ro-RO"/>
        </w:rPr>
        <w:t>i</w:t>
      </w:r>
      <w:r w:rsidR="00805C3F" w:rsidRPr="00834B27">
        <w:rPr>
          <w:rFonts w:ascii="Calibri" w:hAnsi="Calibri" w:cs="Calibri"/>
          <w:lang w:val="ro-RO"/>
        </w:rPr>
        <w:t xml:space="preserve"> care nu </w:t>
      </w:r>
      <w:r w:rsidR="00D77C4B" w:rsidRPr="00834B27">
        <w:rPr>
          <w:rFonts w:ascii="Calibri" w:hAnsi="Calibri" w:cs="Calibri"/>
          <w:lang w:val="ro-RO"/>
        </w:rPr>
        <w:t>ț</w:t>
      </w:r>
      <w:r w:rsidR="00B72A14" w:rsidRPr="00834B27">
        <w:rPr>
          <w:rFonts w:ascii="Calibri" w:hAnsi="Calibri" w:cs="Calibri"/>
          <w:lang w:val="ro-RO"/>
        </w:rPr>
        <w:t>in</w:t>
      </w:r>
      <w:r w:rsidR="00805C3F" w:rsidRPr="00834B27">
        <w:rPr>
          <w:rFonts w:ascii="Calibri" w:hAnsi="Calibri" w:cs="Calibri"/>
          <w:lang w:val="ro-RO"/>
        </w:rPr>
        <w:t xml:space="preserve"> contabilitate</w:t>
      </w:r>
      <w:r w:rsidR="003757ED" w:rsidRPr="00834B27">
        <w:rPr>
          <w:rFonts w:ascii="Calibri" w:hAnsi="Calibri" w:cs="Calibri"/>
          <w:lang w:val="ro-RO"/>
        </w:rPr>
        <w:t xml:space="preserve"> (imensa majoritate), </w:t>
      </w:r>
      <w:r w:rsidR="00B72A14" w:rsidRPr="00834B27">
        <w:rPr>
          <w:rFonts w:ascii="Calibri" w:hAnsi="Calibri" w:cs="Calibri"/>
          <w:lang w:val="ro-RO"/>
        </w:rPr>
        <w:t>declara</w:t>
      </w:r>
      <w:r w:rsidR="00D77C4B" w:rsidRPr="00834B27">
        <w:rPr>
          <w:rFonts w:ascii="Calibri" w:hAnsi="Calibri" w:cs="Calibri"/>
          <w:lang w:val="ro-RO"/>
        </w:rPr>
        <w:t>ț</w:t>
      </w:r>
      <w:r w:rsidR="00B72A14" w:rsidRPr="00834B27">
        <w:rPr>
          <w:rFonts w:ascii="Calibri" w:hAnsi="Calibri" w:cs="Calibri"/>
          <w:lang w:val="ro-RO"/>
        </w:rPr>
        <w:t>ia</w:t>
      </w:r>
      <w:r w:rsidR="00E60C41" w:rsidRPr="00834B27">
        <w:rPr>
          <w:rFonts w:ascii="Calibri" w:hAnsi="Calibri" w:cs="Calibri"/>
          <w:lang w:val="ro-RO"/>
        </w:rPr>
        <w:t xml:space="preserve"> la care ne referim aici trebuie</w:t>
      </w:r>
      <w:r w:rsidR="00A76895" w:rsidRPr="00834B27">
        <w:rPr>
          <w:rFonts w:ascii="Calibri" w:hAnsi="Calibri" w:cs="Calibri"/>
          <w:lang w:val="ro-RO"/>
        </w:rPr>
        <w:t xml:space="preserve"> s</w:t>
      </w:r>
      <w:r w:rsidR="00B72A14" w:rsidRPr="00834B27">
        <w:rPr>
          <w:rFonts w:ascii="Calibri" w:hAnsi="Calibri" w:cs="Calibri"/>
          <w:lang w:val="ro-RO"/>
        </w:rPr>
        <w:t>ă</w:t>
      </w:r>
      <w:r w:rsidR="00A76895" w:rsidRPr="00834B27">
        <w:rPr>
          <w:rFonts w:ascii="Calibri" w:hAnsi="Calibri" w:cs="Calibri"/>
          <w:lang w:val="ro-RO"/>
        </w:rPr>
        <w:t xml:space="preserve"> reflecte patrimoniul personal la data depunerii.</w:t>
      </w:r>
    </w:p>
    <w:p w14:paraId="045DCC07" w14:textId="631E14A6" w:rsidR="00CF653D" w:rsidRPr="00834B27" w:rsidRDefault="00B32659" w:rsidP="00AE3A28">
      <w:pPr>
        <w:tabs>
          <w:tab w:val="left" w:pos="720"/>
        </w:tabs>
        <w:spacing w:line="276" w:lineRule="auto"/>
        <w:jc w:val="both"/>
        <w:rPr>
          <w:rFonts w:ascii="Calibri" w:hAnsi="Calibri" w:cs="Calibri"/>
          <w:lang w:val="ro-RO"/>
        </w:rPr>
      </w:pPr>
      <w:r w:rsidRPr="00834B27">
        <w:rPr>
          <w:rFonts w:ascii="Calibri" w:hAnsi="Calibri" w:cs="Calibri"/>
          <w:lang w:val="ro-RO"/>
        </w:rPr>
        <w:t>Consider</w:t>
      </w:r>
      <w:r w:rsidR="00F51C2B" w:rsidRPr="00834B27">
        <w:rPr>
          <w:rFonts w:ascii="Calibri" w:hAnsi="Calibri" w:cs="Calibri"/>
          <w:lang w:val="ro-RO"/>
        </w:rPr>
        <w:t>ă</w:t>
      </w:r>
      <w:r w:rsidRPr="00834B27">
        <w:rPr>
          <w:rFonts w:ascii="Calibri" w:hAnsi="Calibri" w:cs="Calibri"/>
          <w:lang w:val="ro-RO"/>
        </w:rPr>
        <w:t>m c</w:t>
      </w:r>
      <w:r w:rsidR="00B72A14" w:rsidRPr="00834B27">
        <w:rPr>
          <w:rFonts w:ascii="Calibri" w:hAnsi="Calibri" w:cs="Calibri"/>
          <w:lang w:val="ro-RO"/>
        </w:rPr>
        <w:t>ă</w:t>
      </w:r>
      <w:r w:rsidRPr="00834B27">
        <w:rPr>
          <w:rFonts w:ascii="Calibri" w:hAnsi="Calibri" w:cs="Calibri"/>
          <w:lang w:val="ro-RO"/>
        </w:rPr>
        <w:t xml:space="preserve"> aceast</w:t>
      </w:r>
      <w:r w:rsidR="00B72A14" w:rsidRPr="00834B27">
        <w:rPr>
          <w:rFonts w:ascii="Calibri" w:hAnsi="Calibri" w:cs="Calibri"/>
          <w:lang w:val="ro-RO"/>
        </w:rPr>
        <w:t>ă</w:t>
      </w:r>
      <w:r w:rsidRPr="00834B27">
        <w:rPr>
          <w:rFonts w:ascii="Calibri" w:hAnsi="Calibri" w:cs="Calibri"/>
          <w:lang w:val="ro-RO"/>
        </w:rPr>
        <w:t xml:space="preserve"> obliga</w:t>
      </w:r>
      <w:r w:rsidR="00D77C4B" w:rsidRPr="00834B27">
        <w:rPr>
          <w:rFonts w:ascii="Calibri" w:hAnsi="Calibri" w:cs="Calibri"/>
          <w:lang w:val="ro-RO"/>
        </w:rPr>
        <w:t>ț</w:t>
      </w:r>
      <w:r w:rsidRPr="00834B27">
        <w:rPr>
          <w:rFonts w:ascii="Calibri" w:hAnsi="Calibri" w:cs="Calibri"/>
          <w:lang w:val="ro-RO"/>
        </w:rPr>
        <w:t xml:space="preserve">ie </w:t>
      </w:r>
      <w:r w:rsidR="00D74FA9" w:rsidRPr="00834B27">
        <w:rPr>
          <w:rFonts w:ascii="Calibri" w:hAnsi="Calibri" w:cs="Calibri"/>
          <w:lang w:val="ro-RO"/>
        </w:rPr>
        <w:t xml:space="preserve">(depunerea </w:t>
      </w:r>
      <w:r w:rsidR="00B72A14" w:rsidRPr="00834B27">
        <w:rPr>
          <w:rFonts w:ascii="Calibri" w:hAnsi="Calibri" w:cs="Calibri"/>
          <w:lang w:val="ro-RO"/>
        </w:rPr>
        <w:t>declara</w:t>
      </w:r>
      <w:r w:rsidR="00D77C4B" w:rsidRPr="00834B27">
        <w:rPr>
          <w:rFonts w:ascii="Calibri" w:hAnsi="Calibri" w:cs="Calibri"/>
          <w:lang w:val="ro-RO"/>
        </w:rPr>
        <w:t>ț</w:t>
      </w:r>
      <w:r w:rsidR="00B72A14" w:rsidRPr="00834B27">
        <w:rPr>
          <w:rFonts w:ascii="Calibri" w:hAnsi="Calibri" w:cs="Calibri"/>
          <w:lang w:val="ro-RO"/>
        </w:rPr>
        <w:t>iei</w:t>
      </w:r>
      <w:r w:rsidR="00D74FA9" w:rsidRPr="00834B27">
        <w:rPr>
          <w:rFonts w:ascii="Calibri" w:hAnsi="Calibri" w:cs="Calibri"/>
          <w:lang w:val="ro-RO"/>
        </w:rPr>
        <w:t xml:space="preserve"> </w:t>
      </w:r>
      <w:r w:rsidR="00B72A14" w:rsidRPr="00834B27">
        <w:rPr>
          <w:rFonts w:ascii="Calibri" w:hAnsi="Calibri" w:cs="Calibri"/>
          <w:lang w:val="ro-RO"/>
        </w:rPr>
        <w:t>ini</w:t>
      </w:r>
      <w:r w:rsidR="00D77C4B" w:rsidRPr="00834B27">
        <w:rPr>
          <w:rFonts w:ascii="Calibri" w:hAnsi="Calibri" w:cs="Calibri"/>
          <w:lang w:val="ro-RO"/>
        </w:rPr>
        <w:t>ț</w:t>
      </w:r>
      <w:r w:rsidR="00B72A14" w:rsidRPr="00834B27">
        <w:rPr>
          <w:rFonts w:ascii="Calibri" w:hAnsi="Calibri" w:cs="Calibri"/>
          <w:lang w:val="ro-RO"/>
        </w:rPr>
        <w:t>iale</w:t>
      </w:r>
      <w:r w:rsidR="00D74FA9" w:rsidRPr="00834B27">
        <w:rPr>
          <w:rFonts w:ascii="Calibri" w:hAnsi="Calibri" w:cs="Calibri"/>
          <w:lang w:val="ro-RO"/>
        </w:rPr>
        <w:t xml:space="preserve"> de patrimoniu) trebuie stabilit</w:t>
      </w:r>
      <w:r w:rsidR="00B72A14" w:rsidRPr="00834B27">
        <w:rPr>
          <w:rFonts w:ascii="Calibri" w:hAnsi="Calibri" w:cs="Calibri"/>
          <w:lang w:val="ro-RO"/>
        </w:rPr>
        <w:t>ă</w:t>
      </w:r>
      <w:r w:rsidR="00D74FA9" w:rsidRPr="00834B27">
        <w:rPr>
          <w:rFonts w:ascii="Calibri" w:hAnsi="Calibri" w:cs="Calibri"/>
          <w:lang w:val="ro-RO"/>
        </w:rPr>
        <w:t xml:space="preserve"> exclusiv </w:t>
      </w:r>
      <w:r w:rsidR="00B72A14" w:rsidRPr="00834B27">
        <w:rPr>
          <w:rFonts w:ascii="Calibri" w:hAnsi="Calibri" w:cs="Calibri"/>
          <w:lang w:val="ro-RO"/>
        </w:rPr>
        <w:t>î</w:t>
      </w:r>
      <w:r w:rsidR="00D74FA9" w:rsidRPr="00834B27">
        <w:rPr>
          <w:rFonts w:ascii="Calibri" w:hAnsi="Calibri" w:cs="Calibri"/>
          <w:lang w:val="ro-RO"/>
        </w:rPr>
        <w:t xml:space="preserve">n sarcina </w:t>
      </w:r>
      <w:r w:rsidR="00B72A14" w:rsidRPr="00834B27">
        <w:rPr>
          <w:rFonts w:ascii="Calibri" w:hAnsi="Calibri" w:cs="Calibri"/>
          <w:lang w:val="ro-RO"/>
        </w:rPr>
        <w:t>contribuabililor</w:t>
      </w:r>
      <w:r w:rsidR="00D74FA9" w:rsidRPr="00834B27">
        <w:rPr>
          <w:rFonts w:ascii="Calibri" w:hAnsi="Calibri" w:cs="Calibri"/>
          <w:lang w:val="ro-RO"/>
        </w:rPr>
        <w:t xml:space="preserve"> care</w:t>
      </w:r>
      <w:r w:rsidR="00B72A14" w:rsidRPr="00834B27">
        <w:rPr>
          <w:rFonts w:ascii="Calibri" w:hAnsi="Calibri" w:cs="Calibri"/>
          <w:lang w:val="ro-RO"/>
        </w:rPr>
        <w:t>,</w:t>
      </w:r>
      <w:r w:rsidR="00D74FA9" w:rsidRPr="00834B27">
        <w:rPr>
          <w:rFonts w:ascii="Calibri" w:hAnsi="Calibri" w:cs="Calibri"/>
          <w:lang w:val="ro-RO"/>
        </w:rPr>
        <w:t xml:space="preserve"> la data instituirii </w:t>
      </w:r>
      <w:r w:rsidR="00BD258C" w:rsidRPr="00834B27">
        <w:rPr>
          <w:rFonts w:ascii="Calibri" w:hAnsi="Calibri" w:cs="Calibri"/>
          <w:lang w:val="ro-RO"/>
        </w:rPr>
        <w:t>acesteia</w:t>
      </w:r>
      <w:r w:rsidR="00D14AED" w:rsidRPr="00834B27">
        <w:rPr>
          <w:rFonts w:ascii="Calibri" w:hAnsi="Calibri" w:cs="Calibri"/>
          <w:lang w:val="ro-RO"/>
        </w:rPr>
        <w:t>,</w:t>
      </w:r>
      <w:r w:rsidR="00BD258C" w:rsidRPr="00834B27">
        <w:rPr>
          <w:rFonts w:ascii="Calibri" w:hAnsi="Calibri" w:cs="Calibri"/>
          <w:lang w:val="ro-RO"/>
        </w:rPr>
        <w:t xml:space="preserve"> au un patrimoniu net </w:t>
      </w:r>
      <w:r w:rsidR="008D015C" w:rsidRPr="00834B27">
        <w:rPr>
          <w:rFonts w:ascii="Calibri" w:hAnsi="Calibri" w:cs="Calibri"/>
          <w:lang w:val="ro-RO"/>
        </w:rPr>
        <w:t xml:space="preserve">(calculat </w:t>
      </w:r>
      <w:r w:rsidR="008D015C" w:rsidRPr="00834B27">
        <w:rPr>
          <w:rFonts w:ascii="Calibri" w:hAnsi="Calibri" w:cs="Calibri"/>
          <w:lang w:val="ro-RO"/>
        </w:rPr>
        <w:lastRenderedPageBreak/>
        <w:t>ca diferen</w:t>
      </w:r>
      <w:r w:rsidR="004532FA" w:rsidRPr="00834B27">
        <w:rPr>
          <w:rFonts w:ascii="Calibri" w:hAnsi="Calibri" w:cs="Calibri"/>
          <w:lang w:val="ro-RO"/>
        </w:rPr>
        <w:t xml:space="preserve">ță dintre patrimoniul brut și datorii) </w:t>
      </w:r>
      <w:r w:rsidR="00BD258C" w:rsidRPr="00834B27">
        <w:rPr>
          <w:rFonts w:ascii="Calibri" w:hAnsi="Calibri" w:cs="Calibri"/>
          <w:lang w:val="ro-RO"/>
        </w:rPr>
        <w:t xml:space="preserve">ce </w:t>
      </w:r>
      <w:r w:rsidR="00B72A14" w:rsidRPr="00834B27">
        <w:rPr>
          <w:rFonts w:ascii="Calibri" w:hAnsi="Calibri" w:cs="Calibri"/>
          <w:lang w:val="ro-RO"/>
        </w:rPr>
        <w:t>depășește</w:t>
      </w:r>
      <w:r w:rsidR="00BD258C" w:rsidRPr="00834B27">
        <w:rPr>
          <w:rFonts w:ascii="Calibri" w:hAnsi="Calibri" w:cs="Calibri"/>
          <w:lang w:val="ro-RO"/>
        </w:rPr>
        <w:t xml:space="preserve"> </w:t>
      </w:r>
      <w:r w:rsidR="00CF653D" w:rsidRPr="00834B27">
        <w:rPr>
          <w:rFonts w:ascii="Calibri" w:hAnsi="Calibri" w:cs="Calibri"/>
          <w:lang w:val="ro-RO"/>
        </w:rPr>
        <w:t xml:space="preserve"> 1 milion de euro, </w:t>
      </w:r>
      <w:r w:rsidR="009E7B9C" w:rsidRPr="00834B27">
        <w:rPr>
          <w:rFonts w:ascii="Calibri" w:hAnsi="Calibri" w:cs="Calibri"/>
          <w:lang w:val="ro-RO"/>
        </w:rPr>
        <w:t xml:space="preserve">nu pentru </w:t>
      </w:r>
      <w:r w:rsidR="00B72A14" w:rsidRPr="00834B27">
        <w:rPr>
          <w:rFonts w:ascii="Calibri" w:hAnsi="Calibri" w:cs="Calibri"/>
          <w:lang w:val="ro-RO"/>
        </w:rPr>
        <w:t>to</w:t>
      </w:r>
      <w:r w:rsidR="00D77C4B" w:rsidRPr="00834B27">
        <w:rPr>
          <w:rFonts w:ascii="Calibri" w:hAnsi="Calibri" w:cs="Calibri"/>
          <w:lang w:val="ro-RO"/>
        </w:rPr>
        <w:t>ț</w:t>
      </w:r>
      <w:r w:rsidR="00B72A14" w:rsidRPr="00834B27">
        <w:rPr>
          <w:rFonts w:ascii="Calibri" w:hAnsi="Calibri" w:cs="Calibri"/>
          <w:lang w:val="ro-RO"/>
        </w:rPr>
        <w:t>i</w:t>
      </w:r>
      <w:r w:rsidR="009E7B9C" w:rsidRPr="00834B27">
        <w:rPr>
          <w:rFonts w:ascii="Calibri" w:hAnsi="Calibri" w:cs="Calibri"/>
          <w:lang w:val="ro-RO"/>
        </w:rPr>
        <w:t xml:space="preserve"> contribuabilii.</w:t>
      </w:r>
      <w:r w:rsidR="00D10069" w:rsidRPr="00834B27">
        <w:rPr>
          <w:rFonts w:ascii="Calibri" w:hAnsi="Calibri" w:cs="Calibri"/>
          <w:lang w:val="ro-RO"/>
        </w:rPr>
        <w:t xml:space="preserve"> </w:t>
      </w:r>
      <w:r w:rsidR="00FC0228" w:rsidRPr="00834B27">
        <w:rPr>
          <w:rFonts w:ascii="Calibri" w:hAnsi="Calibri" w:cs="Calibri"/>
          <w:lang w:val="ro-RO"/>
        </w:rPr>
        <w:t xml:space="preserve">Considerăm pragul </w:t>
      </w:r>
      <w:r w:rsidR="00D10069" w:rsidRPr="00834B27">
        <w:rPr>
          <w:rFonts w:ascii="Calibri" w:hAnsi="Calibri" w:cs="Calibri"/>
          <w:lang w:val="ro-RO"/>
        </w:rPr>
        <w:t xml:space="preserve"> de 1 milion de euro </w:t>
      </w:r>
      <w:r w:rsidR="00FC0228" w:rsidRPr="00834B27">
        <w:rPr>
          <w:rFonts w:ascii="Calibri" w:hAnsi="Calibri" w:cs="Calibri"/>
          <w:lang w:val="ro-RO"/>
        </w:rPr>
        <w:t>ca fiind unul re</w:t>
      </w:r>
      <w:r w:rsidR="00581DA4" w:rsidRPr="00834B27">
        <w:rPr>
          <w:rFonts w:ascii="Calibri" w:hAnsi="Calibri" w:cs="Calibri"/>
          <w:lang w:val="ro-RO"/>
        </w:rPr>
        <w:t>zonabil.</w:t>
      </w:r>
    </w:p>
    <w:p w14:paraId="3AEE2A67" w14:textId="7BD3EC43" w:rsidR="00162E6E" w:rsidRPr="00834B27" w:rsidRDefault="00792754" w:rsidP="00AE3A28">
      <w:pPr>
        <w:tabs>
          <w:tab w:val="left" w:pos="720"/>
        </w:tabs>
        <w:spacing w:line="276" w:lineRule="auto"/>
        <w:jc w:val="both"/>
        <w:rPr>
          <w:rFonts w:ascii="Calibri" w:hAnsi="Calibri" w:cs="Calibri"/>
          <w:lang w:val="ro-RO"/>
        </w:rPr>
      </w:pPr>
      <w:r w:rsidRPr="00834B27">
        <w:rPr>
          <w:rFonts w:ascii="Calibri" w:hAnsi="Calibri" w:cs="Calibri"/>
          <w:lang w:val="ro-RO"/>
        </w:rPr>
        <w:t>I</w:t>
      </w:r>
      <w:r w:rsidR="00CF653D" w:rsidRPr="00834B27">
        <w:rPr>
          <w:rFonts w:ascii="Calibri" w:hAnsi="Calibri" w:cs="Calibri"/>
          <w:lang w:val="ro-RO"/>
        </w:rPr>
        <w:t xml:space="preserve">nstituirea </w:t>
      </w:r>
      <w:r w:rsidR="00B72A14" w:rsidRPr="00834B27">
        <w:rPr>
          <w:rFonts w:ascii="Calibri" w:hAnsi="Calibri" w:cs="Calibri"/>
          <w:lang w:val="ro-RO"/>
        </w:rPr>
        <w:t>obliga</w:t>
      </w:r>
      <w:r w:rsidR="00D77C4B" w:rsidRPr="00834B27">
        <w:rPr>
          <w:rFonts w:ascii="Calibri" w:hAnsi="Calibri" w:cs="Calibri"/>
          <w:lang w:val="ro-RO"/>
        </w:rPr>
        <w:t>ț</w:t>
      </w:r>
      <w:r w:rsidR="00B72A14" w:rsidRPr="00834B27">
        <w:rPr>
          <w:rFonts w:ascii="Calibri" w:hAnsi="Calibri" w:cs="Calibri"/>
          <w:lang w:val="ro-RO"/>
        </w:rPr>
        <w:t>iei</w:t>
      </w:r>
      <w:r w:rsidR="00CF653D" w:rsidRPr="00834B27">
        <w:rPr>
          <w:rFonts w:ascii="Calibri" w:hAnsi="Calibri" w:cs="Calibri"/>
          <w:lang w:val="ro-RO"/>
        </w:rPr>
        <w:t xml:space="preserve"> </w:t>
      </w:r>
      <w:r w:rsidR="009E7B9C" w:rsidRPr="00834B27">
        <w:rPr>
          <w:rFonts w:ascii="Calibri" w:hAnsi="Calibri" w:cs="Calibri"/>
          <w:lang w:val="ro-RO"/>
        </w:rPr>
        <w:t xml:space="preserve">pentru </w:t>
      </w:r>
      <w:r w:rsidR="00B72A14" w:rsidRPr="00834B27">
        <w:rPr>
          <w:rFonts w:ascii="Calibri" w:hAnsi="Calibri" w:cs="Calibri"/>
          <w:lang w:val="ro-RO"/>
        </w:rPr>
        <w:t>to</w:t>
      </w:r>
      <w:r w:rsidR="00D77C4B" w:rsidRPr="00834B27">
        <w:rPr>
          <w:rFonts w:ascii="Calibri" w:hAnsi="Calibri" w:cs="Calibri"/>
          <w:lang w:val="ro-RO"/>
        </w:rPr>
        <w:t>ț</w:t>
      </w:r>
      <w:r w:rsidR="00B72A14" w:rsidRPr="00834B27">
        <w:rPr>
          <w:rFonts w:ascii="Calibri" w:hAnsi="Calibri" w:cs="Calibri"/>
          <w:lang w:val="ro-RO"/>
        </w:rPr>
        <w:t>i</w:t>
      </w:r>
      <w:r w:rsidR="009E7B9C" w:rsidRPr="00834B27">
        <w:rPr>
          <w:rFonts w:ascii="Calibri" w:hAnsi="Calibri" w:cs="Calibri"/>
          <w:lang w:val="ro-RO"/>
        </w:rPr>
        <w:t xml:space="preserve"> contribuabilii</w:t>
      </w:r>
      <w:r w:rsidRPr="00834B27">
        <w:rPr>
          <w:rFonts w:ascii="Calibri" w:hAnsi="Calibri" w:cs="Calibri"/>
          <w:lang w:val="ro-RO"/>
        </w:rPr>
        <w:t>, p</w:t>
      </w:r>
      <w:r w:rsidR="009E7B9C" w:rsidRPr="00834B27">
        <w:rPr>
          <w:rFonts w:ascii="Calibri" w:hAnsi="Calibri" w:cs="Calibri"/>
          <w:lang w:val="ro-RO"/>
        </w:rPr>
        <w:t>e de o parte</w:t>
      </w:r>
      <w:r w:rsidR="00B72A14" w:rsidRPr="00834B27">
        <w:rPr>
          <w:rFonts w:ascii="Calibri" w:hAnsi="Calibri" w:cs="Calibri"/>
          <w:lang w:val="ro-RO"/>
        </w:rPr>
        <w:t>,</w:t>
      </w:r>
      <w:r w:rsidR="00162E6E" w:rsidRPr="00834B27">
        <w:rPr>
          <w:rFonts w:ascii="Calibri" w:hAnsi="Calibri" w:cs="Calibri"/>
          <w:lang w:val="ro-RO"/>
        </w:rPr>
        <w:t xml:space="preserve"> ar institui o sarcină suplimentară pentru contribuabilii care nu prezintă risc fiscal (cetățeni cu venituri și averi mici)</w:t>
      </w:r>
      <w:r w:rsidR="009E7B9C" w:rsidRPr="00834B27">
        <w:rPr>
          <w:rFonts w:ascii="Calibri" w:hAnsi="Calibri" w:cs="Calibri"/>
          <w:lang w:val="ro-RO"/>
        </w:rPr>
        <w:t>, iar</w:t>
      </w:r>
      <w:r w:rsidR="00B72A14" w:rsidRPr="00834B27">
        <w:rPr>
          <w:rFonts w:ascii="Calibri" w:hAnsi="Calibri" w:cs="Calibri"/>
          <w:lang w:val="ro-RO"/>
        </w:rPr>
        <w:t>, pe</w:t>
      </w:r>
      <w:r w:rsidR="009E7B9C" w:rsidRPr="00834B27">
        <w:rPr>
          <w:rFonts w:ascii="Calibri" w:hAnsi="Calibri" w:cs="Calibri"/>
          <w:lang w:val="ro-RO"/>
        </w:rPr>
        <w:t xml:space="preserve"> de </w:t>
      </w:r>
      <w:r w:rsidR="00B72A14" w:rsidRPr="00834B27">
        <w:rPr>
          <w:rFonts w:ascii="Calibri" w:hAnsi="Calibri" w:cs="Calibri"/>
          <w:lang w:val="ro-RO"/>
        </w:rPr>
        <w:t>cealaltă</w:t>
      </w:r>
      <w:r w:rsidR="009E7B9C" w:rsidRPr="00834B27">
        <w:rPr>
          <w:rFonts w:ascii="Calibri" w:hAnsi="Calibri" w:cs="Calibri"/>
          <w:lang w:val="ro-RO"/>
        </w:rPr>
        <w:t xml:space="preserve"> parte</w:t>
      </w:r>
      <w:r w:rsidR="00162E6E" w:rsidRPr="00834B27">
        <w:rPr>
          <w:rFonts w:ascii="Calibri" w:hAnsi="Calibri" w:cs="Calibri"/>
          <w:lang w:val="ro-RO"/>
        </w:rPr>
        <w:t>, ar inunda ANAF cu informație nerelevantă și ar reduce capacitatea de a analiza informațiile primite.</w:t>
      </w:r>
    </w:p>
    <w:p w14:paraId="3A7D4D58" w14:textId="070F9FE2" w:rsidR="00A76895" w:rsidRPr="00834B27" w:rsidRDefault="00A76895" w:rsidP="00AE3A28">
      <w:pPr>
        <w:tabs>
          <w:tab w:val="left" w:pos="720"/>
        </w:tabs>
        <w:spacing w:line="276" w:lineRule="auto"/>
        <w:jc w:val="both"/>
        <w:rPr>
          <w:rFonts w:ascii="Calibri" w:hAnsi="Calibri" w:cs="Calibri"/>
          <w:lang w:val="ro-RO"/>
        </w:rPr>
      </w:pPr>
      <w:r w:rsidRPr="00834B27">
        <w:rPr>
          <w:rFonts w:ascii="Calibri" w:hAnsi="Calibri" w:cs="Calibri"/>
          <w:lang w:val="ro-RO"/>
        </w:rPr>
        <w:t xml:space="preserve">Ulterior „momentului zero”, </w:t>
      </w:r>
      <w:r w:rsidR="00DF65DB" w:rsidRPr="00834B27">
        <w:rPr>
          <w:rFonts w:ascii="Calibri" w:hAnsi="Calibri" w:cs="Calibri"/>
          <w:lang w:val="ro-RO"/>
        </w:rPr>
        <w:t xml:space="preserve">trebuie </w:t>
      </w:r>
      <w:r w:rsidRPr="00834B27">
        <w:rPr>
          <w:rFonts w:ascii="Calibri" w:hAnsi="Calibri" w:cs="Calibri"/>
          <w:lang w:val="ro-RO"/>
        </w:rPr>
        <w:t>instituit</w:t>
      </w:r>
      <w:r w:rsidR="00B72A14" w:rsidRPr="00834B27">
        <w:rPr>
          <w:rFonts w:ascii="Calibri" w:hAnsi="Calibri" w:cs="Calibri"/>
          <w:lang w:val="ro-RO"/>
        </w:rPr>
        <w:t>ă</w:t>
      </w:r>
      <w:r w:rsidRPr="00834B27">
        <w:rPr>
          <w:rFonts w:ascii="Calibri" w:hAnsi="Calibri" w:cs="Calibri"/>
          <w:lang w:val="ro-RO"/>
        </w:rPr>
        <w:t xml:space="preserve"> o perioad</w:t>
      </w:r>
      <w:r w:rsidR="00B72A14" w:rsidRPr="00834B27">
        <w:rPr>
          <w:rFonts w:ascii="Calibri" w:hAnsi="Calibri" w:cs="Calibri"/>
          <w:lang w:val="ro-RO"/>
        </w:rPr>
        <w:t>ă</w:t>
      </w:r>
      <w:r w:rsidRPr="00834B27">
        <w:rPr>
          <w:rFonts w:ascii="Calibri" w:hAnsi="Calibri" w:cs="Calibri"/>
          <w:lang w:val="ro-RO"/>
        </w:rPr>
        <w:t xml:space="preserve"> de conformare voluntar</w:t>
      </w:r>
      <w:r w:rsidR="00B72A14" w:rsidRPr="00834B27">
        <w:rPr>
          <w:rFonts w:ascii="Calibri" w:hAnsi="Calibri" w:cs="Calibri"/>
          <w:lang w:val="ro-RO"/>
        </w:rPr>
        <w:t>ă</w:t>
      </w:r>
      <w:r w:rsidR="009554F4" w:rsidRPr="00834B27">
        <w:rPr>
          <w:rFonts w:ascii="Calibri" w:hAnsi="Calibri" w:cs="Calibri"/>
          <w:lang w:val="ro-RO"/>
        </w:rPr>
        <w:t xml:space="preserve"> rezonabil</w:t>
      </w:r>
      <w:r w:rsidR="00B72A14" w:rsidRPr="00834B27">
        <w:rPr>
          <w:rFonts w:ascii="Calibri" w:hAnsi="Calibri" w:cs="Calibri"/>
          <w:lang w:val="ro-RO"/>
        </w:rPr>
        <w:t>ă</w:t>
      </w:r>
      <w:r w:rsidR="009554F4" w:rsidRPr="00834B27">
        <w:rPr>
          <w:rFonts w:ascii="Calibri" w:hAnsi="Calibri" w:cs="Calibri"/>
          <w:lang w:val="ro-RO"/>
        </w:rPr>
        <w:t xml:space="preserve"> (</w:t>
      </w:r>
      <w:r w:rsidR="00F51C2B" w:rsidRPr="00834B27">
        <w:rPr>
          <w:rFonts w:ascii="Calibri" w:hAnsi="Calibri" w:cs="Calibri"/>
          <w:lang w:val="ro-RO"/>
        </w:rPr>
        <w:t>de exemplu</w:t>
      </w:r>
      <w:r w:rsidR="00792754" w:rsidRPr="00834B27">
        <w:rPr>
          <w:rFonts w:ascii="Calibri" w:hAnsi="Calibri" w:cs="Calibri"/>
          <w:lang w:val="ro-RO"/>
        </w:rPr>
        <w:t>,</w:t>
      </w:r>
      <w:r w:rsidR="00F51C2B" w:rsidRPr="00834B27">
        <w:rPr>
          <w:rFonts w:ascii="Calibri" w:hAnsi="Calibri" w:cs="Calibri"/>
          <w:lang w:val="ro-RO"/>
        </w:rPr>
        <w:t xml:space="preserve"> </w:t>
      </w:r>
      <w:r w:rsidR="009554F4" w:rsidRPr="00834B27">
        <w:rPr>
          <w:rFonts w:ascii="Calibri" w:hAnsi="Calibri" w:cs="Calibri"/>
          <w:lang w:val="ro-RO"/>
        </w:rPr>
        <w:t>3 luni)</w:t>
      </w:r>
      <w:r w:rsidR="00460E7B" w:rsidRPr="00834B27">
        <w:rPr>
          <w:rFonts w:ascii="Calibri" w:hAnsi="Calibri" w:cs="Calibri"/>
          <w:lang w:val="ro-RO"/>
        </w:rPr>
        <w:t xml:space="preserve"> </w:t>
      </w:r>
      <w:r w:rsidR="00B72A14" w:rsidRPr="00834B27">
        <w:rPr>
          <w:rFonts w:ascii="Calibri" w:hAnsi="Calibri" w:cs="Calibri"/>
          <w:lang w:val="ro-RO"/>
        </w:rPr>
        <w:t>î</w:t>
      </w:r>
      <w:r w:rsidR="00460E7B" w:rsidRPr="00834B27">
        <w:rPr>
          <w:rFonts w:ascii="Calibri" w:hAnsi="Calibri" w:cs="Calibri"/>
          <w:lang w:val="ro-RO"/>
        </w:rPr>
        <w:t xml:space="preserve">n care contribuabilul </w:t>
      </w:r>
      <w:r w:rsidR="009554F4" w:rsidRPr="00834B27">
        <w:rPr>
          <w:rFonts w:ascii="Calibri" w:hAnsi="Calibri" w:cs="Calibri"/>
          <w:lang w:val="ro-RO"/>
        </w:rPr>
        <w:t xml:space="preserve">poate depune o </w:t>
      </w:r>
      <w:r w:rsidR="00B72A14" w:rsidRPr="00834B27">
        <w:rPr>
          <w:rFonts w:ascii="Calibri" w:hAnsi="Calibri" w:cs="Calibri"/>
          <w:lang w:val="ro-RO"/>
        </w:rPr>
        <w:t>declara</w:t>
      </w:r>
      <w:r w:rsidR="00D77C4B" w:rsidRPr="00834B27">
        <w:rPr>
          <w:rFonts w:ascii="Calibri" w:hAnsi="Calibri" w:cs="Calibri"/>
          <w:lang w:val="ro-RO"/>
        </w:rPr>
        <w:t>ț</w:t>
      </w:r>
      <w:r w:rsidR="00B72A14" w:rsidRPr="00834B27">
        <w:rPr>
          <w:rFonts w:ascii="Calibri" w:hAnsi="Calibri" w:cs="Calibri"/>
          <w:lang w:val="ro-RO"/>
        </w:rPr>
        <w:t>ie</w:t>
      </w:r>
      <w:r w:rsidR="009554F4" w:rsidRPr="00834B27">
        <w:rPr>
          <w:rFonts w:ascii="Calibri" w:hAnsi="Calibri" w:cs="Calibri"/>
          <w:lang w:val="ro-RO"/>
        </w:rPr>
        <w:t xml:space="preserve"> </w:t>
      </w:r>
      <w:r w:rsidR="00171EDA" w:rsidRPr="00834B27">
        <w:rPr>
          <w:rFonts w:ascii="Calibri" w:hAnsi="Calibri" w:cs="Calibri"/>
          <w:lang w:val="ro-RO"/>
        </w:rPr>
        <w:t>de conformare voluntară pentru veniturile nedeclarate anterior (în interiorul perioadei de prescripție extinsă, de 10 ani)</w:t>
      </w:r>
      <w:r w:rsidR="009554F4" w:rsidRPr="00834B27">
        <w:rPr>
          <w:rFonts w:ascii="Calibri" w:hAnsi="Calibri" w:cs="Calibri"/>
          <w:lang w:val="ro-RO"/>
        </w:rPr>
        <w:t xml:space="preserve"> </w:t>
      </w:r>
      <w:r w:rsidR="00B72A14" w:rsidRPr="00834B27">
        <w:rPr>
          <w:rFonts w:ascii="Calibri" w:hAnsi="Calibri" w:cs="Calibri"/>
          <w:lang w:val="ro-RO"/>
        </w:rPr>
        <w:t>ș</w:t>
      </w:r>
      <w:r w:rsidR="009554F4" w:rsidRPr="00834B27">
        <w:rPr>
          <w:rFonts w:ascii="Calibri" w:hAnsi="Calibri" w:cs="Calibri"/>
          <w:lang w:val="ro-RO"/>
        </w:rPr>
        <w:t xml:space="preserve">i </w:t>
      </w:r>
      <w:r w:rsidR="00B72A14" w:rsidRPr="00834B27">
        <w:rPr>
          <w:rFonts w:ascii="Calibri" w:hAnsi="Calibri" w:cs="Calibri"/>
          <w:lang w:val="ro-RO"/>
        </w:rPr>
        <w:t>plăti</w:t>
      </w:r>
      <w:r w:rsidR="00BF2638" w:rsidRPr="00834B27">
        <w:rPr>
          <w:rFonts w:ascii="Calibri" w:hAnsi="Calibri" w:cs="Calibri"/>
          <w:lang w:val="ro-RO"/>
        </w:rPr>
        <w:t xml:space="preserve"> impozitul pe venit la suma declarat</w:t>
      </w:r>
      <w:r w:rsidR="00B72A14" w:rsidRPr="00834B27">
        <w:rPr>
          <w:rFonts w:ascii="Calibri" w:hAnsi="Calibri" w:cs="Calibri"/>
          <w:lang w:val="ro-RO"/>
        </w:rPr>
        <w:t>ă</w:t>
      </w:r>
      <w:r w:rsidR="002E3EC0" w:rsidRPr="00834B27">
        <w:rPr>
          <w:rFonts w:ascii="Calibri" w:hAnsi="Calibri" w:cs="Calibri"/>
          <w:lang w:val="ro-RO"/>
        </w:rPr>
        <w:t xml:space="preserve">. </w:t>
      </w:r>
      <w:r w:rsidR="00B72A14" w:rsidRPr="00834B27">
        <w:rPr>
          <w:rFonts w:ascii="Calibri" w:hAnsi="Calibri" w:cs="Calibri"/>
          <w:lang w:val="ro-RO"/>
        </w:rPr>
        <w:t>Î</w:t>
      </w:r>
      <w:r w:rsidR="002E3EC0" w:rsidRPr="00834B27">
        <w:rPr>
          <w:rFonts w:ascii="Calibri" w:hAnsi="Calibri" w:cs="Calibri"/>
          <w:lang w:val="ro-RO"/>
        </w:rPr>
        <w:t xml:space="preserve">n </w:t>
      </w:r>
      <w:r w:rsidR="00B72A14" w:rsidRPr="00834B27">
        <w:rPr>
          <w:rFonts w:ascii="Calibri" w:hAnsi="Calibri" w:cs="Calibri"/>
          <w:lang w:val="ro-RO"/>
        </w:rPr>
        <w:t>func</w:t>
      </w:r>
      <w:r w:rsidR="00D77C4B" w:rsidRPr="00834B27">
        <w:rPr>
          <w:rFonts w:ascii="Calibri" w:hAnsi="Calibri" w:cs="Calibri"/>
          <w:lang w:val="ro-RO"/>
        </w:rPr>
        <w:t>ț</w:t>
      </w:r>
      <w:r w:rsidR="00B72A14" w:rsidRPr="00834B27">
        <w:rPr>
          <w:rFonts w:ascii="Calibri" w:hAnsi="Calibri" w:cs="Calibri"/>
          <w:lang w:val="ro-RO"/>
        </w:rPr>
        <w:t>ie</w:t>
      </w:r>
      <w:r w:rsidR="002E3EC0" w:rsidRPr="00834B27">
        <w:rPr>
          <w:rFonts w:ascii="Calibri" w:hAnsi="Calibri" w:cs="Calibri"/>
          <w:lang w:val="ro-RO"/>
        </w:rPr>
        <w:t xml:space="preserve"> de suma de plat</w:t>
      </w:r>
      <w:r w:rsidR="00B72A14" w:rsidRPr="00834B27">
        <w:rPr>
          <w:rFonts w:ascii="Calibri" w:hAnsi="Calibri" w:cs="Calibri"/>
          <w:lang w:val="ro-RO"/>
        </w:rPr>
        <w:t>ă</w:t>
      </w:r>
      <w:r w:rsidR="002E3EC0" w:rsidRPr="00834B27">
        <w:rPr>
          <w:rFonts w:ascii="Calibri" w:hAnsi="Calibri" w:cs="Calibri"/>
          <w:lang w:val="ro-RO"/>
        </w:rPr>
        <w:t xml:space="preserve">, se poate lua </w:t>
      </w:r>
      <w:r w:rsidR="00B72A14" w:rsidRPr="00834B27">
        <w:rPr>
          <w:rFonts w:ascii="Calibri" w:hAnsi="Calibri" w:cs="Calibri"/>
          <w:lang w:val="ro-RO"/>
        </w:rPr>
        <w:t>î</w:t>
      </w:r>
      <w:r w:rsidR="002E3EC0" w:rsidRPr="00834B27">
        <w:rPr>
          <w:rFonts w:ascii="Calibri" w:hAnsi="Calibri" w:cs="Calibri"/>
          <w:lang w:val="ro-RO"/>
        </w:rPr>
        <w:t xml:space="preserve">n considerare o </w:t>
      </w:r>
      <w:r w:rsidR="00B72A14" w:rsidRPr="00834B27">
        <w:rPr>
          <w:rFonts w:ascii="Calibri" w:hAnsi="Calibri" w:cs="Calibri"/>
          <w:lang w:val="ro-RO"/>
        </w:rPr>
        <w:t>eșalonare</w:t>
      </w:r>
      <w:r w:rsidR="002E3EC0" w:rsidRPr="00834B27">
        <w:rPr>
          <w:rFonts w:ascii="Calibri" w:hAnsi="Calibri" w:cs="Calibri"/>
          <w:lang w:val="ro-RO"/>
        </w:rPr>
        <w:t xml:space="preserve"> simplificat</w:t>
      </w:r>
      <w:r w:rsidR="00B72A14" w:rsidRPr="00834B27">
        <w:rPr>
          <w:rFonts w:ascii="Calibri" w:hAnsi="Calibri" w:cs="Calibri"/>
          <w:lang w:val="ro-RO"/>
        </w:rPr>
        <w:t>ă</w:t>
      </w:r>
      <w:r w:rsidR="00903442" w:rsidRPr="00834B27">
        <w:rPr>
          <w:rFonts w:ascii="Calibri" w:hAnsi="Calibri" w:cs="Calibri"/>
          <w:lang w:val="ro-RO"/>
        </w:rPr>
        <w:t>, pentr</w:t>
      </w:r>
      <w:r w:rsidR="00B32659" w:rsidRPr="00834B27">
        <w:rPr>
          <w:rFonts w:ascii="Calibri" w:hAnsi="Calibri" w:cs="Calibri"/>
          <w:lang w:val="ro-RO"/>
        </w:rPr>
        <w:t>u o perioad</w:t>
      </w:r>
      <w:r w:rsidR="00B72A14" w:rsidRPr="00834B27">
        <w:rPr>
          <w:rFonts w:ascii="Calibri" w:hAnsi="Calibri" w:cs="Calibri"/>
          <w:lang w:val="ro-RO"/>
        </w:rPr>
        <w:t>ă</w:t>
      </w:r>
      <w:r w:rsidR="00B32659" w:rsidRPr="00834B27">
        <w:rPr>
          <w:rFonts w:ascii="Calibri" w:hAnsi="Calibri" w:cs="Calibri"/>
          <w:lang w:val="ro-RO"/>
        </w:rPr>
        <w:t xml:space="preserve"> de p</w:t>
      </w:r>
      <w:r w:rsidR="00B72A14" w:rsidRPr="00834B27">
        <w:rPr>
          <w:rFonts w:ascii="Calibri" w:hAnsi="Calibri" w:cs="Calibri"/>
          <w:lang w:val="ro-RO"/>
        </w:rPr>
        <w:t>â</w:t>
      </w:r>
      <w:r w:rsidR="00B32659" w:rsidRPr="00834B27">
        <w:rPr>
          <w:rFonts w:ascii="Calibri" w:hAnsi="Calibri" w:cs="Calibri"/>
          <w:lang w:val="ro-RO"/>
        </w:rPr>
        <w:t>n</w:t>
      </w:r>
      <w:r w:rsidR="00B72A14" w:rsidRPr="00834B27">
        <w:rPr>
          <w:rFonts w:ascii="Calibri" w:hAnsi="Calibri" w:cs="Calibri"/>
          <w:lang w:val="ro-RO"/>
        </w:rPr>
        <w:t>ă</w:t>
      </w:r>
      <w:r w:rsidR="00B32659" w:rsidRPr="00834B27">
        <w:rPr>
          <w:rFonts w:ascii="Calibri" w:hAnsi="Calibri" w:cs="Calibri"/>
          <w:lang w:val="ro-RO"/>
        </w:rPr>
        <w:t xml:space="preserve"> la 12 luni. </w:t>
      </w:r>
    </w:p>
    <w:p w14:paraId="11F98AA7" w14:textId="1E4DF780" w:rsidR="00F665EB" w:rsidRPr="00834B27" w:rsidRDefault="00B72A14" w:rsidP="00AE3A28">
      <w:pPr>
        <w:tabs>
          <w:tab w:val="left" w:pos="720"/>
        </w:tabs>
        <w:spacing w:line="276" w:lineRule="auto"/>
        <w:jc w:val="both"/>
        <w:rPr>
          <w:rFonts w:ascii="Calibri" w:hAnsi="Calibri" w:cs="Calibri"/>
          <w:lang w:val="ro-RO"/>
        </w:rPr>
      </w:pPr>
      <w:r w:rsidRPr="00834B27">
        <w:rPr>
          <w:rFonts w:ascii="Calibri" w:hAnsi="Calibri" w:cs="Calibri"/>
          <w:lang w:val="ro-RO"/>
        </w:rPr>
        <w:t>După</w:t>
      </w:r>
      <w:r w:rsidR="00F665EB" w:rsidRPr="00834B27">
        <w:rPr>
          <w:rFonts w:ascii="Calibri" w:hAnsi="Calibri" w:cs="Calibri"/>
          <w:lang w:val="ro-RO"/>
        </w:rPr>
        <w:t xml:space="preserve"> </w:t>
      </w:r>
      <w:r w:rsidRPr="00834B27">
        <w:rPr>
          <w:rFonts w:ascii="Calibri" w:hAnsi="Calibri" w:cs="Calibri"/>
          <w:lang w:val="ro-RO"/>
        </w:rPr>
        <w:t>încheierea</w:t>
      </w:r>
      <w:r w:rsidR="00F665EB" w:rsidRPr="00834B27">
        <w:rPr>
          <w:rFonts w:ascii="Calibri" w:hAnsi="Calibri" w:cs="Calibri"/>
          <w:lang w:val="ro-RO"/>
        </w:rPr>
        <w:t xml:space="preserve"> perioadei de conformare voluntar</w:t>
      </w:r>
      <w:r w:rsidRPr="00834B27">
        <w:rPr>
          <w:rFonts w:ascii="Calibri" w:hAnsi="Calibri" w:cs="Calibri"/>
          <w:lang w:val="ro-RO"/>
        </w:rPr>
        <w:t>ă</w:t>
      </w:r>
      <w:r w:rsidR="00F665EB" w:rsidRPr="00834B27">
        <w:rPr>
          <w:rFonts w:ascii="Calibri" w:hAnsi="Calibri" w:cs="Calibri"/>
          <w:lang w:val="ro-RO"/>
        </w:rPr>
        <w:t xml:space="preserve">, posibilitatea </w:t>
      </w:r>
      <w:r w:rsidR="00800291" w:rsidRPr="00834B27">
        <w:rPr>
          <w:rFonts w:ascii="Calibri" w:hAnsi="Calibri" w:cs="Calibri"/>
          <w:lang w:val="ro-RO"/>
        </w:rPr>
        <w:t>existent</w:t>
      </w:r>
      <w:r w:rsidRPr="00834B27">
        <w:rPr>
          <w:rFonts w:ascii="Calibri" w:hAnsi="Calibri" w:cs="Calibri"/>
          <w:lang w:val="ro-RO"/>
        </w:rPr>
        <w:t>ă</w:t>
      </w:r>
      <w:r w:rsidR="00800291" w:rsidRPr="00834B27">
        <w:rPr>
          <w:rFonts w:ascii="Calibri" w:hAnsi="Calibri" w:cs="Calibri"/>
          <w:lang w:val="ro-RO"/>
        </w:rPr>
        <w:t xml:space="preserve"> </w:t>
      </w:r>
      <w:r w:rsidRPr="00834B27">
        <w:rPr>
          <w:rFonts w:ascii="Calibri" w:hAnsi="Calibri" w:cs="Calibri"/>
          <w:lang w:val="ro-RO"/>
        </w:rPr>
        <w:t>î</w:t>
      </w:r>
      <w:r w:rsidR="00800291" w:rsidRPr="00834B27">
        <w:rPr>
          <w:rFonts w:ascii="Calibri" w:hAnsi="Calibri" w:cs="Calibri"/>
          <w:lang w:val="ro-RO"/>
        </w:rPr>
        <w:t>n prez</w:t>
      </w:r>
      <w:r w:rsidR="00C56E52" w:rsidRPr="00834B27">
        <w:rPr>
          <w:rFonts w:ascii="Calibri" w:hAnsi="Calibri" w:cs="Calibri"/>
          <w:lang w:val="ro-RO"/>
        </w:rPr>
        <w:t>ent</w:t>
      </w:r>
      <w:r w:rsidRPr="00834B27">
        <w:rPr>
          <w:rFonts w:ascii="Calibri" w:hAnsi="Calibri" w:cs="Calibri"/>
          <w:lang w:val="ro-RO"/>
        </w:rPr>
        <w:t>,</w:t>
      </w:r>
      <w:r w:rsidR="00C56E52" w:rsidRPr="00834B27">
        <w:rPr>
          <w:rFonts w:ascii="Calibri" w:hAnsi="Calibri" w:cs="Calibri"/>
          <w:lang w:val="ro-RO"/>
        </w:rPr>
        <w:t xml:space="preserve"> de a </w:t>
      </w:r>
      <w:r w:rsidR="00F665EB" w:rsidRPr="00834B27">
        <w:rPr>
          <w:rFonts w:ascii="Calibri" w:hAnsi="Calibri" w:cs="Calibri"/>
          <w:lang w:val="ro-RO"/>
        </w:rPr>
        <w:t xml:space="preserve">depune </w:t>
      </w:r>
      <w:r w:rsidRPr="00834B27">
        <w:rPr>
          <w:rFonts w:ascii="Calibri" w:hAnsi="Calibri" w:cs="Calibri"/>
          <w:lang w:val="ro-RO"/>
        </w:rPr>
        <w:t>declara</w:t>
      </w:r>
      <w:r w:rsidR="00D77C4B" w:rsidRPr="00834B27">
        <w:rPr>
          <w:rFonts w:ascii="Calibri" w:hAnsi="Calibri" w:cs="Calibri"/>
          <w:lang w:val="ro-RO"/>
        </w:rPr>
        <w:t>ț</w:t>
      </w:r>
      <w:r w:rsidRPr="00834B27">
        <w:rPr>
          <w:rFonts w:ascii="Calibri" w:hAnsi="Calibri" w:cs="Calibri"/>
          <w:lang w:val="ro-RO"/>
        </w:rPr>
        <w:t>ia</w:t>
      </w:r>
      <w:r w:rsidR="00F665EB" w:rsidRPr="00834B27">
        <w:rPr>
          <w:rFonts w:ascii="Calibri" w:hAnsi="Calibri" w:cs="Calibri"/>
          <w:lang w:val="ro-RO"/>
        </w:rPr>
        <w:t xml:space="preserve"> </w:t>
      </w:r>
      <w:r w:rsidR="00171EDA" w:rsidRPr="00834B27">
        <w:rPr>
          <w:rFonts w:ascii="Calibri" w:hAnsi="Calibri" w:cs="Calibri"/>
          <w:lang w:val="ro-RO"/>
        </w:rPr>
        <w:t>rectificativă</w:t>
      </w:r>
      <w:r w:rsidR="00F665EB" w:rsidRPr="00834B27">
        <w:rPr>
          <w:rFonts w:ascii="Calibri" w:hAnsi="Calibri" w:cs="Calibri"/>
          <w:lang w:val="ro-RO"/>
        </w:rPr>
        <w:t xml:space="preserve"> </w:t>
      </w:r>
      <w:r w:rsidRPr="00834B27">
        <w:rPr>
          <w:rFonts w:ascii="Calibri" w:hAnsi="Calibri" w:cs="Calibri"/>
          <w:lang w:val="ro-RO"/>
        </w:rPr>
        <w:t>î</w:t>
      </w:r>
      <w:r w:rsidR="00800291" w:rsidRPr="00834B27">
        <w:rPr>
          <w:rFonts w:ascii="Calibri" w:hAnsi="Calibri" w:cs="Calibri"/>
          <w:lang w:val="ro-RO"/>
        </w:rPr>
        <w:t xml:space="preserve">n 30 de zile de la data primirii avizului de </w:t>
      </w:r>
      <w:r w:rsidRPr="00834B27">
        <w:rPr>
          <w:rFonts w:ascii="Calibri" w:hAnsi="Calibri" w:cs="Calibri"/>
          <w:lang w:val="ro-RO"/>
        </w:rPr>
        <w:t>inspec</w:t>
      </w:r>
      <w:r w:rsidR="00D77C4B" w:rsidRPr="00834B27">
        <w:rPr>
          <w:rFonts w:ascii="Calibri" w:hAnsi="Calibri" w:cs="Calibri"/>
          <w:lang w:val="ro-RO"/>
        </w:rPr>
        <w:t>ț</w:t>
      </w:r>
      <w:r w:rsidRPr="00834B27">
        <w:rPr>
          <w:rFonts w:ascii="Calibri" w:hAnsi="Calibri" w:cs="Calibri"/>
          <w:lang w:val="ro-RO"/>
        </w:rPr>
        <w:t>ie</w:t>
      </w:r>
      <w:r w:rsidR="00800291" w:rsidRPr="00834B27">
        <w:rPr>
          <w:rFonts w:ascii="Calibri" w:hAnsi="Calibri" w:cs="Calibri"/>
          <w:lang w:val="ro-RO"/>
        </w:rPr>
        <w:t xml:space="preserve"> </w:t>
      </w:r>
      <w:r w:rsidR="00C56E52" w:rsidRPr="00834B27">
        <w:rPr>
          <w:rFonts w:ascii="Calibri" w:hAnsi="Calibri" w:cs="Calibri"/>
          <w:lang w:val="ro-RO"/>
        </w:rPr>
        <w:t>trebuie eliminat</w:t>
      </w:r>
      <w:r w:rsidRPr="00834B27">
        <w:rPr>
          <w:rFonts w:ascii="Calibri" w:hAnsi="Calibri" w:cs="Calibri"/>
          <w:lang w:val="ro-RO"/>
        </w:rPr>
        <w:t>ă</w:t>
      </w:r>
      <w:r w:rsidR="00C56E52" w:rsidRPr="00834B27">
        <w:rPr>
          <w:rFonts w:ascii="Calibri" w:hAnsi="Calibri" w:cs="Calibri"/>
          <w:lang w:val="ro-RO"/>
        </w:rPr>
        <w:t>, iar cota sanc</w:t>
      </w:r>
      <w:r w:rsidR="00D77C4B" w:rsidRPr="00834B27">
        <w:rPr>
          <w:rFonts w:ascii="Calibri" w:hAnsi="Calibri" w:cs="Calibri"/>
          <w:lang w:val="ro-RO"/>
        </w:rPr>
        <w:t>ț</w:t>
      </w:r>
      <w:r w:rsidR="00C56E52" w:rsidRPr="00834B27">
        <w:rPr>
          <w:rFonts w:ascii="Calibri" w:hAnsi="Calibri" w:cs="Calibri"/>
          <w:lang w:val="ro-RO"/>
        </w:rPr>
        <w:t xml:space="preserve">ionatorie de 70% </w:t>
      </w:r>
      <w:r w:rsidR="00E83E39" w:rsidRPr="00834B27">
        <w:rPr>
          <w:rFonts w:ascii="Calibri" w:hAnsi="Calibri" w:cs="Calibri"/>
          <w:lang w:val="ro-RO"/>
        </w:rPr>
        <w:t>aplicat</w:t>
      </w:r>
      <w:r w:rsidRPr="00834B27">
        <w:rPr>
          <w:rFonts w:ascii="Calibri" w:hAnsi="Calibri" w:cs="Calibri"/>
          <w:lang w:val="ro-RO"/>
        </w:rPr>
        <w:t>ă</w:t>
      </w:r>
      <w:r w:rsidR="00E83E39" w:rsidRPr="00834B27">
        <w:rPr>
          <w:rFonts w:ascii="Calibri" w:hAnsi="Calibri" w:cs="Calibri"/>
          <w:lang w:val="ro-RO"/>
        </w:rPr>
        <w:t xml:space="preserve"> </w:t>
      </w:r>
      <w:r w:rsidRPr="00834B27">
        <w:rPr>
          <w:rFonts w:ascii="Calibri" w:hAnsi="Calibri" w:cs="Calibri"/>
          <w:lang w:val="ro-RO"/>
        </w:rPr>
        <w:t>fără</w:t>
      </w:r>
      <w:r w:rsidR="00E83E39" w:rsidRPr="00834B27">
        <w:rPr>
          <w:rFonts w:ascii="Calibri" w:hAnsi="Calibri" w:cs="Calibri"/>
          <w:lang w:val="ro-RO"/>
        </w:rPr>
        <w:t xml:space="preserve"> </w:t>
      </w:r>
      <w:r w:rsidRPr="00834B27">
        <w:rPr>
          <w:rFonts w:ascii="Calibri" w:hAnsi="Calibri" w:cs="Calibri"/>
          <w:lang w:val="ro-RO"/>
        </w:rPr>
        <w:t>excep</w:t>
      </w:r>
      <w:r w:rsidR="00D77C4B" w:rsidRPr="00834B27">
        <w:rPr>
          <w:rFonts w:ascii="Calibri" w:hAnsi="Calibri" w:cs="Calibri"/>
          <w:lang w:val="ro-RO"/>
        </w:rPr>
        <w:t>ț</w:t>
      </w:r>
      <w:r w:rsidRPr="00834B27">
        <w:rPr>
          <w:rFonts w:ascii="Calibri" w:hAnsi="Calibri" w:cs="Calibri"/>
          <w:lang w:val="ro-RO"/>
        </w:rPr>
        <w:t>ie</w:t>
      </w:r>
      <w:r w:rsidR="00E83E39" w:rsidRPr="00834B27">
        <w:rPr>
          <w:rFonts w:ascii="Calibri" w:hAnsi="Calibri" w:cs="Calibri"/>
          <w:lang w:val="ro-RO"/>
        </w:rPr>
        <w:t>.</w:t>
      </w:r>
      <w:r w:rsidR="004532FA" w:rsidRPr="00834B27">
        <w:rPr>
          <w:rFonts w:ascii="Calibri" w:hAnsi="Calibri" w:cs="Calibri"/>
          <w:lang w:val="ro-RO"/>
        </w:rPr>
        <w:t xml:space="preserve"> Considerăm </w:t>
      </w:r>
      <w:r w:rsidR="007B64AA" w:rsidRPr="00834B27">
        <w:rPr>
          <w:rFonts w:ascii="Calibri" w:hAnsi="Calibri" w:cs="Calibri"/>
          <w:lang w:val="ro-RO"/>
        </w:rPr>
        <w:t xml:space="preserve">însă că posibilitatea depunerii unei declarații rectificative </w:t>
      </w:r>
      <w:r w:rsidR="00CF5437" w:rsidRPr="00834B27">
        <w:rPr>
          <w:rFonts w:ascii="Calibri" w:hAnsi="Calibri" w:cs="Calibri"/>
          <w:lang w:val="ro-RO"/>
        </w:rPr>
        <w:t>trebuie păstrată, însă doar până la primirea avizului de inspecție.</w:t>
      </w:r>
    </w:p>
    <w:p w14:paraId="3457EFA5" w14:textId="112CCCA3" w:rsidR="00E83E39" w:rsidRPr="00834B27" w:rsidRDefault="00F37497" w:rsidP="00AE3A28">
      <w:pPr>
        <w:tabs>
          <w:tab w:val="left" w:pos="720"/>
        </w:tabs>
        <w:spacing w:line="276" w:lineRule="auto"/>
        <w:jc w:val="both"/>
        <w:rPr>
          <w:rFonts w:ascii="Calibri" w:hAnsi="Calibri" w:cs="Calibri"/>
          <w:lang w:val="ro-RO"/>
        </w:rPr>
      </w:pPr>
      <w:r w:rsidRPr="00834B27">
        <w:rPr>
          <w:rFonts w:ascii="Calibri" w:hAnsi="Calibri" w:cs="Calibri"/>
          <w:lang w:val="ro-RO"/>
        </w:rPr>
        <w:t>Consider</w:t>
      </w:r>
      <w:r w:rsidR="000429D3" w:rsidRPr="00834B27">
        <w:rPr>
          <w:rFonts w:ascii="Calibri" w:hAnsi="Calibri" w:cs="Calibri"/>
          <w:lang w:val="ro-RO"/>
        </w:rPr>
        <w:t>ă</w:t>
      </w:r>
      <w:r w:rsidRPr="00834B27">
        <w:rPr>
          <w:rFonts w:ascii="Calibri" w:hAnsi="Calibri" w:cs="Calibri"/>
          <w:lang w:val="ro-RO"/>
        </w:rPr>
        <w:t>m c</w:t>
      </w:r>
      <w:r w:rsidR="00B72A14" w:rsidRPr="00834B27">
        <w:rPr>
          <w:rFonts w:ascii="Calibri" w:hAnsi="Calibri" w:cs="Calibri"/>
          <w:lang w:val="ro-RO"/>
        </w:rPr>
        <w:t>ă</w:t>
      </w:r>
      <w:r w:rsidRPr="00834B27">
        <w:rPr>
          <w:rFonts w:ascii="Calibri" w:hAnsi="Calibri" w:cs="Calibri"/>
          <w:lang w:val="ro-RO"/>
        </w:rPr>
        <w:t xml:space="preserve"> o astfel de </w:t>
      </w:r>
      <w:r w:rsidR="00B72A14" w:rsidRPr="00834B27">
        <w:rPr>
          <w:rFonts w:ascii="Calibri" w:hAnsi="Calibri" w:cs="Calibri"/>
          <w:lang w:val="ro-RO"/>
        </w:rPr>
        <w:t>solu</w:t>
      </w:r>
      <w:r w:rsidR="00D77C4B" w:rsidRPr="00834B27">
        <w:rPr>
          <w:rFonts w:ascii="Calibri" w:hAnsi="Calibri" w:cs="Calibri"/>
          <w:lang w:val="ro-RO"/>
        </w:rPr>
        <w:t>ț</w:t>
      </w:r>
      <w:r w:rsidR="00B72A14" w:rsidRPr="00834B27">
        <w:rPr>
          <w:rFonts w:ascii="Calibri" w:hAnsi="Calibri" w:cs="Calibri"/>
          <w:lang w:val="ro-RO"/>
        </w:rPr>
        <w:t>ie</w:t>
      </w:r>
      <w:r w:rsidR="00215A2B" w:rsidRPr="00834B27">
        <w:rPr>
          <w:rFonts w:ascii="Calibri" w:hAnsi="Calibri" w:cs="Calibri"/>
          <w:lang w:val="ro-RO"/>
        </w:rPr>
        <w:t xml:space="preserve">, pe </w:t>
      </w:r>
      <w:r w:rsidR="00B72A14" w:rsidRPr="00834B27">
        <w:rPr>
          <w:rFonts w:ascii="Calibri" w:hAnsi="Calibri" w:cs="Calibri"/>
          <w:lang w:val="ro-RO"/>
        </w:rPr>
        <w:t>lângă</w:t>
      </w:r>
      <w:r w:rsidR="00215A2B" w:rsidRPr="00834B27">
        <w:rPr>
          <w:rFonts w:ascii="Calibri" w:hAnsi="Calibri" w:cs="Calibri"/>
          <w:lang w:val="ro-RO"/>
        </w:rPr>
        <w:t xml:space="preserve"> faptul c</w:t>
      </w:r>
      <w:r w:rsidR="00B72A14" w:rsidRPr="00834B27">
        <w:rPr>
          <w:rFonts w:ascii="Calibri" w:hAnsi="Calibri" w:cs="Calibri"/>
          <w:lang w:val="ro-RO"/>
        </w:rPr>
        <w:t>ă</w:t>
      </w:r>
      <w:r w:rsidR="00215A2B" w:rsidRPr="00834B27">
        <w:rPr>
          <w:rFonts w:ascii="Calibri" w:hAnsi="Calibri" w:cs="Calibri"/>
          <w:lang w:val="ro-RO"/>
        </w:rPr>
        <w:t xml:space="preserve"> poate aduce venituri semnificative </w:t>
      </w:r>
      <w:r w:rsidR="00B72A14" w:rsidRPr="00834B27">
        <w:rPr>
          <w:rFonts w:ascii="Calibri" w:hAnsi="Calibri" w:cs="Calibri"/>
          <w:lang w:val="ro-RO"/>
        </w:rPr>
        <w:t>î</w:t>
      </w:r>
      <w:r w:rsidR="00215A2B" w:rsidRPr="00834B27">
        <w:rPr>
          <w:rFonts w:ascii="Calibri" w:hAnsi="Calibri" w:cs="Calibri"/>
          <w:lang w:val="ro-RO"/>
        </w:rPr>
        <w:t>nt</w:t>
      </w:r>
      <w:r w:rsidR="00792754" w:rsidRPr="00834B27">
        <w:rPr>
          <w:rFonts w:ascii="Calibri" w:hAnsi="Calibri" w:cs="Calibri"/>
          <w:lang w:val="ro-RO"/>
        </w:rPr>
        <w:t>r</w:t>
      </w:r>
      <w:r w:rsidR="00D14AED" w:rsidRPr="00834B27">
        <w:rPr>
          <w:rFonts w:ascii="Calibri" w:hAnsi="Calibri" w:cs="Calibri"/>
          <w:lang w:val="ro-RO"/>
        </w:rPr>
        <w:t>-</w:t>
      </w:r>
      <w:r w:rsidR="00215A2B" w:rsidRPr="00834B27">
        <w:rPr>
          <w:rFonts w:ascii="Calibri" w:hAnsi="Calibri" w:cs="Calibri"/>
          <w:lang w:val="ro-RO"/>
        </w:rPr>
        <w:t xml:space="preserve">un timp scurt, </w:t>
      </w:r>
      <w:r w:rsidR="00B72A14" w:rsidRPr="00834B27">
        <w:rPr>
          <w:rFonts w:ascii="Calibri" w:hAnsi="Calibri" w:cs="Calibri"/>
          <w:lang w:val="ro-RO"/>
        </w:rPr>
        <w:t>descurajează</w:t>
      </w:r>
      <w:r w:rsidR="00215A2B" w:rsidRPr="00834B27">
        <w:rPr>
          <w:rFonts w:ascii="Calibri" w:hAnsi="Calibri" w:cs="Calibri"/>
          <w:lang w:val="ro-RO"/>
        </w:rPr>
        <w:t xml:space="preserve"> neconformarea </w:t>
      </w:r>
      <w:r w:rsidR="00B72A14" w:rsidRPr="00834B27">
        <w:rPr>
          <w:rFonts w:ascii="Calibri" w:hAnsi="Calibri" w:cs="Calibri"/>
          <w:lang w:val="ro-RO"/>
        </w:rPr>
        <w:t>ș</w:t>
      </w:r>
      <w:r w:rsidR="00215A2B" w:rsidRPr="00834B27">
        <w:rPr>
          <w:rFonts w:ascii="Calibri" w:hAnsi="Calibri" w:cs="Calibri"/>
          <w:lang w:val="ro-RO"/>
        </w:rPr>
        <w:t xml:space="preserve">i reduce semnificativ </w:t>
      </w:r>
      <w:r w:rsidR="00B72A14" w:rsidRPr="00834B27">
        <w:rPr>
          <w:rFonts w:ascii="Calibri" w:hAnsi="Calibri" w:cs="Calibri"/>
          <w:lang w:val="ro-RO"/>
        </w:rPr>
        <w:t>atât</w:t>
      </w:r>
      <w:r w:rsidR="00215A2B" w:rsidRPr="00834B27">
        <w:rPr>
          <w:rFonts w:ascii="Calibri" w:hAnsi="Calibri" w:cs="Calibri"/>
          <w:lang w:val="ro-RO"/>
        </w:rPr>
        <w:t xml:space="preserve"> costurile de </w:t>
      </w:r>
      <w:r w:rsidR="00B72A14" w:rsidRPr="00834B27">
        <w:rPr>
          <w:rFonts w:ascii="Calibri" w:hAnsi="Calibri" w:cs="Calibri"/>
          <w:lang w:val="ro-RO"/>
        </w:rPr>
        <w:t>inspec</w:t>
      </w:r>
      <w:r w:rsidR="00D77C4B" w:rsidRPr="00834B27">
        <w:rPr>
          <w:rFonts w:ascii="Calibri" w:hAnsi="Calibri" w:cs="Calibri"/>
          <w:lang w:val="ro-RO"/>
        </w:rPr>
        <w:t>ț</w:t>
      </w:r>
      <w:r w:rsidR="00B72A14" w:rsidRPr="00834B27">
        <w:rPr>
          <w:rFonts w:ascii="Calibri" w:hAnsi="Calibri" w:cs="Calibri"/>
          <w:lang w:val="ro-RO"/>
        </w:rPr>
        <w:t>ie,</w:t>
      </w:r>
      <w:r w:rsidR="00215A2B" w:rsidRPr="00834B27">
        <w:rPr>
          <w:rFonts w:ascii="Calibri" w:hAnsi="Calibri" w:cs="Calibri"/>
          <w:lang w:val="ro-RO"/>
        </w:rPr>
        <w:t xml:space="preserve"> c</w:t>
      </w:r>
      <w:r w:rsidR="00B72A14" w:rsidRPr="00834B27">
        <w:rPr>
          <w:rFonts w:ascii="Calibri" w:hAnsi="Calibri" w:cs="Calibri"/>
          <w:lang w:val="ro-RO"/>
        </w:rPr>
        <w:t>â</w:t>
      </w:r>
      <w:r w:rsidR="00215A2B" w:rsidRPr="00834B27">
        <w:rPr>
          <w:rFonts w:ascii="Calibri" w:hAnsi="Calibri" w:cs="Calibri"/>
          <w:lang w:val="ro-RO"/>
        </w:rPr>
        <w:t xml:space="preserve">t </w:t>
      </w:r>
      <w:r w:rsidR="00B72A14" w:rsidRPr="00834B27">
        <w:rPr>
          <w:rFonts w:ascii="Calibri" w:hAnsi="Calibri" w:cs="Calibri"/>
          <w:lang w:val="ro-RO"/>
        </w:rPr>
        <w:t>ș</w:t>
      </w:r>
      <w:r w:rsidR="00215A2B" w:rsidRPr="00834B27">
        <w:rPr>
          <w:rFonts w:ascii="Calibri" w:hAnsi="Calibri" w:cs="Calibri"/>
          <w:lang w:val="ro-RO"/>
        </w:rPr>
        <w:t xml:space="preserve">i costurile asociate </w:t>
      </w:r>
      <w:r w:rsidR="00B72A14" w:rsidRPr="00834B27">
        <w:rPr>
          <w:rFonts w:ascii="Calibri" w:hAnsi="Calibri" w:cs="Calibri"/>
          <w:lang w:val="ro-RO"/>
        </w:rPr>
        <w:t>solu</w:t>
      </w:r>
      <w:r w:rsidR="00D77C4B" w:rsidRPr="00834B27">
        <w:rPr>
          <w:rFonts w:ascii="Calibri" w:hAnsi="Calibri" w:cs="Calibri"/>
          <w:lang w:val="ro-RO"/>
        </w:rPr>
        <w:t>ț</w:t>
      </w:r>
      <w:r w:rsidR="00B72A14" w:rsidRPr="00834B27">
        <w:rPr>
          <w:rFonts w:ascii="Calibri" w:hAnsi="Calibri" w:cs="Calibri"/>
          <w:lang w:val="ro-RO"/>
        </w:rPr>
        <w:t>ionării</w:t>
      </w:r>
      <w:r w:rsidR="00215A2B" w:rsidRPr="00834B27">
        <w:rPr>
          <w:rFonts w:ascii="Calibri" w:hAnsi="Calibri" w:cs="Calibri"/>
          <w:lang w:val="ro-RO"/>
        </w:rPr>
        <w:t xml:space="preserve"> </w:t>
      </w:r>
      <w:r w:rsidR="00B72A14" w:rsidRPr="00834B27">
        <w:rPr>
          <w:rFonts w:ascii="Calibri" w:hAnsi="Calibri" w:cs="Calibri"/>
          <w:lang w:val="ro-RO"/>
        </w:rPr>
        <w:t>contesta</w:t>
      </w:r>
      <w:r w:rsidR="00D77C4B" w:rsidRPr="00834B27">
        <w:rPr>
          <w:rFonts w:ascii="Calibri" w:hAnsi="Calibri" w:cs="Calibri"/>
          <w:lang w:val="ro-RO"/>
        </w:rPr>
        <w:t>ț</w:t>
      </w:r>
      <w:r w:rsidR="00B72A14" w:rsidRPr="00834B27">
        <w:rPr>
          <w:rFonts w:ascii="Calibri" w:hAnsi="Calibri" w:cs="Calibri"/>
          <w:lang w:val="ro-RO"/>
        </w:rPr>
        <w:t>iilor</w:t>
      </w:r>
      <w:r w:rsidR="00215A2B" w:rsidRPr="00834B27">
        <w:rPr>
          <w:rFonts w:ascii="Calibri" w:hAnsi="Calibri" w:cs="Calibri"/>
          <w:lang w:val="ro-RO"/>
        </w:rPr>
        <w:t xml:space="preserve"> </w:t>
      </w:r>
      <w:r w:rsidR="00B72A14" w:rsidRPr="00834B27">
        <w:rPr>
          <w:rFonts w:ascii="Calibri" w:hAnsi="Calibri" w:cs="Calibri"/>
          <w:lang w:val="ro-RO"/>
        </w:rPr>
        <w:t>î</w:t>
      </w:r>
      <w:r w:rsidR="004F0233" w:rsidRPr="00834B27">
        <w:rPr>
          <w:rFonts w:ascii="Calibri" w:hAnsi="Calibri" w:cs="Calibri"/>
          <w:lang w:val="ro-RO"/>
        </w:rPr>
        <w:t>n faza administrativ</w:t>
      </w:r>
      <w:r w:rsidR="00B72A14" w:rsidRPr="00834B27">
        <w:rPr>
          <w:rFonts w:ascii="Calibri" w:hAnsi="Calibri" w:cs="Calibri"/>
          <w:lang w:val="ro-RO"/>
        </w:rPr>
        <w:t>ă</w:t>
      </w:r>
      <w:r w:rsidR="004F0233" w:rsidRPr="00834B27">
        <w:rPr>
          <w:rFonts w:ascii="Calibri" w:hAnsi="Calibri" w:cs="Calibri"/>
          <w:lang w:val="ro-RO"/>
        </w:rPr>
        <w:t xml:space="preserve"> </w:t>
      </w:r>
      <w:r w:rsidR="00B72A14" w:rsidRPr="00834B27">
        <w:rPr>
          <w:rFonts w:ascii="Calibri" w:hAnsi="Calibri" w:cs="Calibri"/>
          <w:lang w:val="ro-RO"/>
        </w:rPr>
        <w:t>ș</w:t>
      </w:r>
      <w:r w:rsidR="004F0233" w:rsidRPr="00834B27">
        <w:rPr>
          <w:rFonts w:ascii="Calibri" w:hAnsi="Calibri" w:cs="Calibri"/>
          <w:lang w:val="ro-RO"/>
        </w:rPr>
        <w:t xml:space="preserve">i costurile asociate </w:t>
      </w:r>
      <w:r w:rsidR="00B72A14" w:rsidRPr="00834B27">
        <w:rPr>
          <w:rFonts w:ascii="Calibri" w:hAnsi="Calibri" w:cs="Calibri"/>
          <w:lang w:val="ro-RO"/>
        </w:rPr>
        <w:t>ac</w:t>
      </w:r>
      <w:r w:rsidR="00D77C4B" w:rsidRPr="00834B27">
        <w:rPr>
          <w:rFonts w:ascii="Calibri" w:hAnsi="Calibri" w:cs="Calibri"/>
          <w:lang w:val="ro-RO"/>
        </w:rPr>
        <w:t>ț</w:t>
      </w:r>
      <w:r w:rsidR="00B72A14" w:rsidRPr="00834B27">
        <w:rPr>
          <w:rFonts w:ascii="Calibri" w:hAnsi="Calibri" w:cs="Calibri"/>
          <w:lang w:val="ro-RO"/>
        </w:rPr>
        <w:t>iunilor</w:t>
      </w:r>
      <w:r w:rsidR="004F0233" w:rsidRPr="00834B27">
        <w:rPr>
          <w:rFonts w:ascii="Calibri" w:hAnsi="Calibri" w:cs="Calibri"/>
          <w:lang w:val="ro-RO"/>
        </w:rPr>
        <w:t xml:space="preserve"> </w:t>
      </w:r>
      <w:r w:rsidR="00B72A14" w:rsidRPr="00834B27">
        <w:rPr>
          <w:rFonts w:ascii="Calibri" w:hAnsi="Calibri" w:cs="Calibri"/>
          <w:lang w:val="ro-RO"/>
        </w:rPr>
        <w:t>î</w:t>
      </w:r>
      <w:r w:rsidR="004F0233" w:rsidRPr="00834B27">
        <w:rPr>
          <w:rFonts w:ascii="Calibri" w:hAnsi="Calibri" w:cs="Calibri"/>
          <w:lang w:val="ro-RO"/>
        </w:rPr>
        <w:t xml:space="preserve">n </w:t>
      </w:r>
      <w:r w:rsidR="00B72A14" w:rsidRPr="00834B27">
        <w:rPr>
          <w:rFonts w:ascii="Calibri" w:hAnsi="Calibri" w:cs="Calibri"/>
          <w:lang w:val="ro-RO"/>
        </w:rPr>
        <w:t>instan</w:t>
      </w:r>
      <w:r w:rsidR="00D77C4B" w:rsidRPr="00834B27">
        <w:rPr>
          <w:rFonts w:ascii="Calibri" w:hAnsi="Calibri" w:cs="Calibri"/>
          <w:lang w:val="ro-RO"/>
        </w:rPr>
        <w:t>ț</w:t>
      </w:r>
      <w:r w:rsidR="00B72A14" w:rsidRPr="00834B27">
        <w:rPr>
          <w:rFonts w:ascii="Calibri" w:hAnsi="Calibri" w:cs="Calibri"/>
          <w:lang w:val="ro-RO"/>
        </w:rPr>
        <w:t>ă</w:t>
      </w:r>
      <w:r w:rsidR="004F0233" w:rsidRPr="00834B27">
        <w:rPr>
          <w:rFonts w:ascii="Calibri" w:hAnsi="Calibri" w:cs="Calibri"/>
          <w:lang w:val="ro-RO"/>
        </w:rPr>
        <w:t>.</w:t>
      </w:r>
    </w:p>
    <w:p w14:paraId="5A2D8D15" w14:textId="0879F09F" w:rsidR="00D50F2F" w:rsidRPr="00834B27" w:rsidRDefault="00B72A14" w:rsidP="00AE3A28">
      <w:pPr>
        <w:tabs>
          <w:tab w:val="left" w:pos="720"/>
        </w:tabs>
        <w:spacing w:line="276" w:lineRule="auto"/>
        <w:jc w:val="both"/>
        <w:rPr>
          <w:rFonts w:ascii="Calibri" w:hAnsi="Calibri" w:cs="Calibri"/>
          <w:lang w:val="ro-RO"/>
        </w:rPr>
      </w:pPr>
      <w:r w:rsidRPr="00834B27">
        <w:rPr>
          <w:rFonts w:ascii="Calibri" w:hAnsi="Calibri" w:cs="Calibri"/>
          <w:lang w:val="ro-RO"/>
        </w:rPr>
        <w:t>Sintetizând</w:t>
      </w:r>
      <w:r w:rsidR="00D50F2F" w:rsidRPr="00834B27">
        <w:rPr>
          <w:rFonts w:ascii="Calibri" w:hAnsi="Calibri" w:cs="Calibri"/>
          <w:lang w:val="ro-RO"/>
        </w:rPr>
        <w:t>:</w:t>
      </w:r>
    </w:p>
    <w:p w14:paraId="4EE608F1" w14:textId="2D086934" w:rsidR="00D50F2F" w:rsidRPr="00834B27" w:rsidRDefault="00B72A14" w:rsidP="00B72A14">
      <w:pPr>
        <w:pStyle w:val="Listparagraf"/>
        <w:numPr>
          <w:ilvl w:val="0"/>
          <w:numId w:val="37"/>
        </w:numPr>
        <w:tabs>
          <w:tab w:val="left" w:pos="720"/>
        </w:tabs>
        <w:spacing w:line="276" w:lineRule="auto"/>
        <w:ind w:left="720" w:hanging="360"/>
        <w:jc w:val="both"/>
        <w:rPr>
          <w:rFonts w:ascii="Calibri" w:hAnsi="Calibri" w:cs="Calibri"/>
          <w:lang w:val="ro-RO"/>
        </w:rPr>
      </w:pPr>
      <w:r w:rsidRPr="00834B27">
        <w:rPr>
          <w:rFonts w:ascii="Calibri" w:hAnsi="Calibri" w:cs="Calibri"/>
          <w:lang w:val="ro-RO"/>
        </w:rPr>
        <w:t>Declara</w:t>
      </w:r>
      <w:r w:rsidR="00D77C4B" w:rsidRPr="00834B27">
        <w:rPr>
          <w:rFonts w:ascii="Calibri" w:hAnsi="Calibri" w:cs="Calibri"/>
          <w:lang w:val="ro-RO"/>
        </w:rPr>
        <w:t>ț</w:t>
      </w:r>
      <w:r w:rsidRPr="00834B27">
        <w:rPr>
          <w:rFonts w:ascii="Calibri" w:hAnsi="Calibri" w:cs="Calibri"/>
          <w:lang w:val="ro-RO"/>
        </w:rPr>
        <w:t>i</w:t>
      </w:r>
      <w:r w:rsidR="008033B1" w:rsidRPr="00834B27">
        <w:rPr>
          <w:rFonts w:ascii="Calibri" w:hAnsi="Calibri" w:cs="Calibri"/>
          <w:lang w:val="ro-RO"/>
        </w:rPr>
        <w:t>a</w:t>
      </w:r>
      <w:r w:rsidR="00D50F2F" w:rsidRPr="00834B27">
        <w:rPr>
          <w:rFonts w:ascii="Calibri" w:hAnsi="Calibri" w:cs="Calibri"/>
          <w:lang w:val="ro-RO"/>
        </w:rPr>
        <w:t xml:space="preserve"> </w:t>
      </w:r>
      <w:r w:rsidRPr="00834B27">
        <w:rPr>
          <w:rFonts w:ascii="Calibri" w:hAnsi="Calibri" w:cs="Calibri"/>
          <w:lang w:val="ro-RO"/>
        </w:rPr>
        <w:t>ini</w:t>
      </w:r>
      <w:r w:rsidR="00D77C4B" w:rsidRPr="00834B27">
        <w:rPr>
          <w:rFonts w:ascii="Calibri" w:hAnsi="Calibri" w:cs="Calibri"/>
          <w:lang w:val="ro-RO"/>
        </w:rPr>
        <w:t>ț</w:t>
      </w:r>
      <w:r w:rsidRPr="00834B27">
        <w:rPr>
          <w:rFonts w:ascii="Calibri" w:hAnsi="Calibri" w:cs="Calibri"/>
          <w:lang w:val="ro-RO"/>
        </w:rPr>
        <w:t>ială</w:t>
      </w:r>
      <w:r w:rsidR="00D50F2F" w:rsidRPr="00834B27">
        <w:rPr>
          <w:rFonts w:ascii="Calibri" w:hAnsi="Calibri" w:cs="Calibri"/>
          <w:lang w:val="ro-RO"/>
        </w:rPr>
        <w:t xml:space="preserve"> de patrimoniu depus</w:t>
      </w:r>
      <w:r w:rsidR="00792754" w:rsidRPr="00834B27">
        <w:rPr>
          <w:rFonts w:ascii="Calibri" w:hAnsi="Calibri" w:cs="Calibri"/>
          <w:lang w:val="ro-RO"/>
        </w:rPr>
        <w:t>ă</w:t>
      </w:r>
      <w:r w:rsidR="00D50F2F" w:rsidRPr="00834B27">
        <w:rPr>
          <w:rFonts w:ascii="Calibri" w:hAnsi="Calibri" w:cs="Calibri"/>
          <w:lang w:val="ro-RO"/>
        </w:rPr>
        <w:t xml:space="preserve"> de </w:t>
      </w:r>
      <w:r w:rsidRPr="00834B27">
        <w:rPr>
          <w:rFonts w:ascii="Calibri" w:hAnsi="Calibri" w:cs="Calibri"/>
          <w:lang w:val="ro-RO"/>
        </w:rPr>
        <w:t>to</w:t>
      </w:r>
      <w:r w:rsidR="00D77C4B" w:rsidRPr="00834B27">
        <w:rPr>
          <w:rFonts w:ascii="Calibri" w:hAnsi="Calibri" w:cs="Calibri"/>
          <w:lang w:val="ro-RO"/>
        </w:rPr>
        <w:t>ț</w:t>
      </w:r>
      <w:r w:rsidRPr="00834B27">
        <w:rPr>
          <w:rFonts w:ascii="Calibri" w:hAnsi="Calibri" w:cs="Calibri"/>
          <w:lang w:val="ro-RO"/>
        </w:rPr>
        <w:t>i</w:t>
      </w:r>
      <w:r w:rsidR="00D50F2F" w:rsidRPr="00834B27">
        <w:rPr>
          <w:rFonts w:ascii="Calibri" w:hAnsi="Calibri" w:cs="Calibri"/>
          <w:lang w:val="ro-RO"/>
        </w:rPr>
        <w:t xml:space="preserve"> contribuabilii cu un patrimoniu net de peste 1 milion euro, </w:t>
      </w:r>
      <w:r w:rsidR="00716F13" w:rsidRPr="00834B27">
        <w:rPr>
          <w:rFonts w:ascii="Calibri" w:hAnsi="Calibri" w:cs="Calibri"/>
          <w:lang w:val="ro-RO"/>
        </w:rPr>
        <w:t>p</w:t>
      </w:r>
      <w:r w:rsidRPr="00834B27">
        <w:rPr>
          <w:rFonts w:ascii="Calibri" w:hAnsi="Calibri" w:cs="Calibri"/>
          <w:lang w:val="ro-RO"/>
        </w:rPr>
        <w:t>â</w:t>
      </w:r>
      <w:r w:rsidR="00716F13" w:rsidRPr="00834B27">
        <w:rPr>
          <w:rFonts w:ascii="Calibri" w:hAnsi="Calibri" w:cs="Calibri"/>
          <w:lang w:val="ro-RO"/>
        </w:rPr>
        <w:t>n</w:t>
      </w:r>
      <w:r w:rsidRPr="00834B27">
        <w:rPr>
          <w:rFonts w:ascii="Calibri" w:hAnsi="Calibri" w:cs="Calibri"/>
          <w:lang w:val="ro-RO"/>
        </w:rPr>
        <w:t>ă</w:t>
      </w:r>
      <w:r w:rsidR="00716F13" w:rsidRPr="00834B27">
        <w:rPr>
          <w:rFonts w:ascii="Calibri" w:hAnsi="Calibri" w:cs="Calibri"/>
          <w:lang w:val="ro-RO"/>
        </w:rPr>
        <w:t xml:space="preserve"> la o anumit</w:t>
      </w:r>
      <w:r w:rsidRPr="00834B27">
        <w:rPr>
          <w:rFonts w:ascii="Calibri" w:hAnsi="Calibri" w:cs="Calibri"/>
          <w:lang w:val="ro-RO"/>
        </w:rPr>
        <w:t>ă</w:t>
      </w:r>
      <w:r w:rsidR="00716F13" w:rsidRPr="00834B27">
        <w:rPr>
          <w:rFonts w:ascii="Calibri" w:hAnsi="Calibri" w:cs="Calibri"/>
          <w:lang w:val="ro-RO"/>
        </w:rPr>
        <w:t xml:space="preserve"> dat</w:t>
      </w:r>
      <w:r w:rsidRPr="00834B27">
        <w:rPr>
          <w:rFonts w:ascii="Calibri" w:hAnsi="Calibri" w:cs="Calibri"/>
          <w:lang w:val="ro-RO"/>
        </w:rPr>
        <w:t>ă</w:t>
      </w:r>
      <w:r w:rsidR="00716F13" w:rsidRPr="00834B27">
        <w:rPr>
          <w:rFonts w:ascii="Calibri" w:hAnsi="Calibri" w:cs="Calibri"/>
          <w:lang w:val="ro-RO"/>
        </w:rPr>
        <w:t xml:space="preserve"> („momentul zero”</w:t>
      </w:r>
      <w:r w:rsidR="00E2366D" w:rsidRPr="00834B27">
        <w:rPr>
          <w:rFonts w:ascii="Calibri" w:hAnsi="Calibri" w:cs="Calibri"/>
          <w:lang w:val="ro-RO"/>
        </w:rPr>
        <w:t>)</w:t>
      </w:r>
      <w:r w:rsidR="00716F13" w:rsidRPr="00834B27">
        <w:rPr>
          <w:rFonts w:ascii="Calibri" w:hAnsi="Calibri" w:cs="Calibri"/>
          <w:lang w:val="ro-RO"/>
        </w:rPr>
        <w:t>;</w:t>
      </w:r>
    </w:p>
    <w:p w14:paraId="336FA91A" w14:textId="655BDE5A" w:rsidR="00716F13" w:rsidRPr="00834B27" w:rsidRDefault="00716F13" w:rsidP="00B72A14">
      <w:pPr>
        <w:pStyle w:val="Listparagraf"/>
        <w:numPr>
          <w:ilvl w:val="0"/>
          <w:numId w:val="37"/>
        </w:numPr>
        <w:tabs>
          <w:tab w:val="left" w:pos="720"/>
        </w:tabs>
        <w:spacing w:line="276" w:lineRule="auto"/>
        <w:ind w:left="720" w:hanging="360"/>
        <w:jc w:val="both"/>
        <w:rPr>
          <w:rFonts w:ascii="Calibri" w:hAnsi="Calibri" w:cs="Calibri"/>
          <w:lang w:val="ro-RO"/>
        </w:rPr>
      </w:pPr>
      <w:r w:rsidRPr="00834B27">
        <w:rPr>
          <w:rFonts w:ascii="Calibri" w:hAnsi="Calibri" w:cs="Calibri"/>
          <w:lang w:val="ro-RO"/>
        </w:rPr>
        <w:t>Perioad</w:t>
      </w:r>
      <w:r w:rsidR="008033B1" w:rsidRPr="00834B27">
        <w:rPr>
          <w:rFonts w:ascii="Calibri" w:hAnsi="Calibri" w:cs="Calibri"/>
          <w:lang w:val="ro-RO"/>
        </w:rPr>
        <w:t>a</w:t>
      </w:r>
      <w:r w:rsidRPr="00834B27">
        <w:rPr>
          <w:rFonts w:ascii="Calibri" w:hAnsi="Calibri" w:cs="Calibri"/>
          <w:lang w:val="ro-RO"/>
        </w:rPr>
        <w:t xml:space="preserve"> de conformare voluntar</w:t>
      </w:r>
      <w:r w:rsidR="00B72A14" w:rsidRPr="00834B27">
        <w:rPr>
          <w:rFonts w:ascii="Calibri" w:hAnsi="Calibri" w:cs="Calibri"/>
          <w:lang w:val="ro-RO"/>
        </w:rPr>
        <w:t>ă</w:t>
      </w:r>
      <w:r w:rsidRPr="00834B27">
        <w:rPr>
          <w:rFonts w:ascii="Calibri" w:hAnsi="Calibri" w:cs="Calibri"/>
          <w:lang w:val="ro-RO"/>
        </w:rPr>
        <w:t xml:space="preserve"> de 3 luni, </w:t>
      </w:r>
      <w:r w:rsidR="008033B1" w:rsidRPr="00834B27">
        <w:rPr>
          <w:rFonts w:ascii="Calibri" w:hAnsi="Calibri" w:cs="Calibri"/>
          <w:lang w:val="ro-RO"/>
        </w:rPr>
        <w:t>după</w:t>
      </w:r>
      <w:r w:rsidRPr="00834B27">
        <w:rPr>
          <w:rFonts w:ascii="Calibri" w:hAnsi="Calibri" w:cs="Calibri"/>
          <w:lang w:val="ro-RO"/>
        </w:rPr>
        <w:t xml:space="preserve"> „momentul zero”</w:t>
      </w:r>
      <w:r w:rsidR="00FA2EB8" w:rsidRPr="00834B27">
        <w:rPr>
          <w:rFonts w:ascii="Calibri" w:hAnsi="Calibri" w:cs="Calibri"/>
          <w:lang w:val="ro-RO"/>
        </w:rPr>
        <w:t xml:space="preserve">, prin depunerea unei </w:t>
      </w:r>
      <w:r w:rsidR="008033B1" w:rsidRPr="00834B27">
        <w:rPr>
          <w:rFonts w:ascii="Calibri" w:hAnsi="Calibri" w:cs="Calibri"/>
          <w:lang w:val="ro-RO"/>
        </w:rPr>
        <w:t>declara</w:t>
      </w:r>
      <w:r w:rsidR="00D77C4B" w:rsidRPr="00834B27">
        <w:rPr>
          <w:rFonts w:ascii="Calibri" w:hAnsi="Calibri" w:cs="Calibri"/>
          <w:lang w:val="ro-RO"/>
        </w:rPr>
        <w:t>ț</w:t>
      </w:r>
      <w:r w:rsidR="008033B1" w:rsidRPr="00834B27">
        <w:rPr>
          <w:rFonts w:ascii="Calibri" w:hAnsi="Calibri" w:cs="Calibri"/>
          <w:lang w:val="ro-RO"/>
        </w:rPr>
        <w:t>ii</w:t>
      </w:r>
      <w:r w:rsidR="00FA2EB8" w:rsidRPr="00834B27">
        <w:rPr>
          <w:rFonts w:ascii="Calibri" w:hAnsi="Calibri" w:cs="Calibri"/>
          <w:lang w:val="ro-RO"/>
        </w:rPr>
        <w:t xml:space="preserve"> </w:t>
      </w:r>
      <w:r w:rsidR="00171EDA" w:rsidRPr="00834B27">
        <w:rPr>
          <w:rFonts w:ascii="Calibri" w:hAnsi="Calibri" w:cs="Calibri"/>
          <w:lang w:val="ro-RO"/>
        </w:rPr>
        <w:t>de conformare voluntară</w:t>
      </w:r>
      <w:r w:rsidR="00FA2EB8" w:rsidRPr="00834B27">
        <w:rPr>
          <w:rFonts w:ascii="Calibri" w:hAnsi="Calibri" w:cs="Calibri"/>
          <w:lang w:val="ro-RO"/>
        </w:rPr>
        <w:t xml:space="preserve"> </w:t>
      </w:r>
      <w:r w:rsidR="008033B1" w:rsidRPr="00834B27">
        <w:rPr>
          <w:rFonts w:ascii="Calibri" w:hAnsi="Calibri" w:cs="Calibri"/>
          <w:lang w:val="ro-RO"/>
        </w:rPr>
        <w:t>ș</w:t>
      </w:r>
      <w:r w:rsidR="00FA2EB8" w:rsidRPr="00834B27">
        <w:rPr>
          <w:rFonts w:ascii="Calibri" w:hAnsi="Calibri" w:cs="Calibri"/>
          <w:lang w:val="ro-RO"/>
        </w:rPr>
        <w:t>i plata impozitului pe venit;</w:t>
      </w:r>
    </w:p>
    <w:p w14:paraId="189CBBEC" w14:textId="08050005" w:rsidR="00FA2EB8" w:rsidRPr="00834B27" w:rsidRDefault="00FA2EB8" w:rsidP="00B72A14">
      <w:pPr>
        <w:pStyle w:val="Listparagraf"/>
        <w:numPr>
          <w:ilvl w:val="0"/>
          <w:numId w:val="37"/>
        </w:numPr>
        <w:tabs>
          <w:tab w:val="left" w:pos="720"/>
        </w:tabs>
        <w:spacing w:line="276" w:lineRule="auto"/>
        <w:ind w:left="720" w:hanging="360"/>
        <w:jc w:val="both"/>
        <w:rPr>
          <w:rFonts w:ascii="Calibri" w:hAnsi="Calibri" w:cs="Calibri"/>
          <w:lang w:val="ro-RO"/>
        </w:rPr>
      </w:pPr>
      <w:r w:rsidRPr="00834B27">
        <w:rPr>
          <w:rFonts w:ascii="Calibri" w:hAnsi="Calibri" w:cs="Calibri"/>
          <w:lang w:val="ro-RO"/>
        </w:rPr>
        <w:t>Cota de impozit de 70%</w:t>
      </w:r>
      <w:r w:rsidR="00912AF5" w:rsidRPr="00834B27">
        <w:rPr>
          <w:rFonts w:ascii="Calibri" w:hAnsi="Calibri" w:cs="Calibri"/>
          <w:lang w:val="ro-RO"/>
        </w:rPr>
        <w:t xml:space="preserve">, pentru toate sumele ce nu pot fi justificate, </w:t>
      </w:r>
      <w:r w:rsidR="008033B1" w:rsidRPr="00834B27">
        <w:rPr>
          <w:rFonts w:ascii="Calibri" w:hAnsi="Calibri" w:cs="Calibri"/>
          <w:lang w:val="ro-RO"/>
        </w:rPr>
        <w:t>după</w:t>
      </w:r>
      <w:r w:rsidR="00912AF5" w:rsidRPr="00834B27">
        <w:rPr>
          <w:rFonts w:ascii="Calibri" w:hAnsi="Calibri" w:cs="Calibri"/>
          <w:lang w:val="ro-RO"/>
        </w:rPr>
        <w:t xml:space="preserve"> </w:t>
      </w:r>
      <w:r w:rsidR="008033B1" w:rsidRPr="00834B27">
        <w:rPr>
          <w:rFonts w:ascii="Calibri" w:hAnsi="Calibri" w:cs="Calibri"/>
          <w:lang w:val="ro-RO"/>
        </w:rPr>
        <w:t>încheierea</w:t>
      </w:r>
      <w:r w:rsidR="00912AF5" w:rsidRPr="00834B27">
        <w:rPr>
          <w:rFonts w:ascii="Calibri" w:hAnsi="Calibri" w:cs="Calibri"/>
          <w:lang w:val="ro-RO"/>
        </w:rPr>
        <w:t xml:space="preserve"> perioadei de conformare voluntar</w:t>
      </w:r>
      <w:r w:rsidR="008033B1" w:rsidRPr="00834B27">
        <w:rPr>
          <w:rFonts w:ascii="Calibri" w:hAnsi="Calibri" w:cs="Calibri"/>
          <w:lang w:val="ro-RO"/>
        </w:rPr>
        <w:t>ă</w:t>
      </w:r>
      <w:r w:rsidR="00912AF5" w:rsidRPr="00834B27">
        <w:rPr>
          <w:rFonts w:ascii="Calibri" w:hAnsi="Calibri" w:cs="Calibri"/>
          <w:lang w:val="ro-RO"/>
        </w:rPr>
        <w:t>.</w:t>
      </w:r>
    </w:p>
    <w:p w14:paraId="0E87B8A4" w14:textId="5D42C060" w:rsidR="00CD053C" w:rsidRPr="00834B27" w:rsidRDefault="008033B1" w:rsidP="00AE3A28">
      <w:pPr>
        <w:tabs>
          <w:tab w:val="left" w:pos="720"/>
        </w:tabs>
        <w:spacing w:line="276" w:lineRule="auto"/>
        <w:jc w:val="both"/>
        <w:rPr>
          <w:rFonts w:ascii="Calibri" w:hAnsi="Calibri" w:cs="Calibri"/>
          <w:lang w:val="ro-RO"/>
        </w:rPr>
      </w:pPr>
      <w:r w:rsidRPr="00834B27">
        <w:rPr>
          <w:rFonts w:ascii="Calibri" w:hAnsi="Calibri" w:cs="Calibri"/>
          <w:lang w:val="ro-RO"/>
        </w:rPr>
        <w:t>Men</w:t>
      </w:r>
      <w:r w:rsidR="00D77C4B" w:rsidRPr="00834B27">
        <w:rPr>
          <w:rFonts w:ascii="Calibri" w:hAnsi="Calibri" w:cs="Calibri"/>
          <w:lang w:val="ro-RO"/>
        </w:rPr>
        <w:t>ț</w:t>
      </w:r>
      <w:r w:rsidRPr="00834B27">
        <w:rPr>
          <w:rFonts w:ascii="Calibri" w:hAnsi="Calibri" w:cs="Calibri"/>
          <w:lang w:val="ro-RO"/>
        </w:rPr>
        <w:t>ionăm</w:t>
      </w:r>
      <w:r w:rsidR="00D50F2F" w:rsidRPr="00834B27">
        <w:rPr>
          <w:rFonts w:ascii="Calibri" w:hAnsi="Calibri" w:cs="Calibri"/>
          <w:lang w:val="ro-RO"/>
        </w:rPr>
        <w:t xml:space="preserve"> c</w:t>
      </w:r>
      <w:r w:rsidRPr="00834B27">
        <w:rPr>
          <w:rFonts w:ascii="Calibri" w:hAnsi="Calibri" w:cs="Calibri"/>
          <w:lang w:val="ro-RO"/>
        </w:rPr>
        <w:t>ă</w:t>
      </w:r>
      <w:r w:rsidR="00D50F2F" w:rsidRPr="00834B27">
        <w:rPr>
          <w:rFonts w:ascii="Calibri" w:hAnsi="Calibri" w:cs="Calibri"/>
          <w:lang w:val="ro-RO"/>
        </w:rPr>
        <w:t xml:space="preserve"> o propunere similar</w:t>
      </w:r>
      <w:r w:rsidRPr="00834B27">
        <w:rPr>
          <w:rFonts w:ascii="Calibri" w:hAnsi="Calibri" w:cs="Calibri"/>
          <w:lang w:val="ro-RO"/>
        </w:rPr>
        <w:t>ă</w:t>
      </w:r>
      <w:r w:rsidR="00D50F2F" w:rsidRPr="00834B27">
        <w:rPr>
          <w:rFonts w:ascii="Calibri" w:hAnsi="Calibri" w:cs="Calibri"/>
          <w:lang w:val="ro-RO"/>
        </w:rPr>
        <w:t xml:space="preserve"> a fost inclus</w:t>
      </w:r>
      <w:r w:rsidRPr="00834B27">
        <w:rPr>
          <w:rFonts w:ascii="Calibri" w:hAnsi="Calibri" w:cs="Calibri"/>
          <w:lang w:val="ro-RO"/>
        </w:rPr>
        <w:t>ă</w:t>
      </w:r>
      <w:r w:rsidR="00D50F2F" w:rsidRPr="00834B27">
        <w:rPr>
          <w:rFonts w:ascii="Calibri" w:hAnsi="Calibri" w:cs="Calibri"/>
          <w:lang w:val="ro-RO"/>
        </w:rPr>
        <w:t xml:space="preserve"> </w:t>
      </w:r>
      <w:r w:rsidRPr="00834B27">
        <w:rPr>
          <w:rFonts w:ascii="Calibri" w:hAnsi="Calibri" w:cs="Calibri"/>
          <w:lang w:val="ro-RO"/>
        </w:rPr>
        <w:t>ș</w:t>
      </w:r>
      <w:r w:rsidR="00D50F2F" w:rsidRPr="00834B27">
        <w:rPr>
          <w:rFonts w:ascii="Calibri" w:hAnsi="Calibri" w:cs="Calibri"/>
          <w:lang w:val="ro-RO"/>
        </w:rPr>
        <w:t xml:space="preserve">i </w:t>
      </w:r>
      <w:r w:rsidRPr="00834B27">
        <w:rPr>
          <w:rFonts w:ascii="Calibri" w:hAnsi="Calibri" w:cs="Calibri"/>
          <w:lang w:val="ro-RO"/>
        </w:rPr>
        <w:t>î</w:t>
      </w:r>
      <w:r w:rsidR="00D50F2F" w:rsidRPr="00834B27">
        <w:rPr>
          <w:rFonts w:ascii="Calibri" w:hAnsi="Calibri" w:cs="Calibri"/>
          <w:lang w:val="ro-RO"/>
        </w:rPr>
        <w:t xml:space="preserve">n proiectul de OUG </w:t>
      </w:r>
      <w:r w:rsidRPr="00834B27">
        <w:rPr>
          <w:rFonts w:ascii="Calibri" w:hAnsi="Calibri" w:cs="Calibri"/>
          <w:lang w:val="ro-RO"/>
        </w:rPr>
        <w:t>apărut</w:t>
      </w:r>
      <w:r w:rsidR="00D50F2F" w:rsidRPr="00834B27">
        <w:rPr>
          <w:rFonts w:ascii="Calibri" w:hAnsi="Calibri" w:cs="Calibri"/>
          <w:lang w:val="ro-RO"/>
        </w:rPr>
        <w:t xml:space="preserve"> </w:t>
      </w:r>
      <w:r w:rsidRPr="00834B27">
        <w:rPr>
          <w:rFonts w:ascii="Calibri" w:hAnsi="Calibri" w:cs="Calibri"/>
          <w:lang w:val="ro-RO"/>
        </w:rPr>
        <w:t>î</w:t>
      </w:r>
      <w:r w:rsidR="00D50F2F" w:rsidRPr="00834B27">
        <w:rPr>
          <w:rFonts w:ascii="Calibri" w:hAnsi="Calibri" w:cs="Calibri"/>
          <w:lang w:val="ro-RO"/>
        </w:rPr>
        <w:t xml:space="preserve">n </w:t>
      </w:r>
      <w:r w:rsidRPr="00834B27">
        <w:rPr>
          <w:rFonts w:ascii="Calibri" w:hAnsi="Calibri" w:cs="Calibri"/>
          <w:lang w:val="ro-RO"/>
        </w:rPr>
        <w:t>spa</w:t>
      </w:r>
      <w:r w:rsidR="00D77C4B" w:rsidRPr="00834B27">
        <w:rPr>
          <w:rFonts w:ascii="Calibri" w:hAnsi="Calibri" w:cs="Calibri"/>
          <w:lang w:val="ro-RO"/>
        </w:rPr>
        <w:t>ț</w:t>
      </w:r>
      <w:r w:rsidRPr="00834B27">
        <w:rPr>
          <w:rFonts w:ascii="Calibri" w:hAnsi="Calibri" w:cs="Calibri"/>
          <w:lang w:val="ro-RO"/>
        </w:rPr>
        <w:t>iul</w:t>
      </w:r>
      <w:r w:rsidR="00D50F2F" w:rsidRPr="00834B27">
        <w:rPr>
          <w:rFonts w:ascii="Calibri" w:hAnsi="Calibri" w:cs="Calibri"/>
          <w:lang w:val="ro-RO"/>
        </w:rPr>
        <w:t xml:space="preserve"> public </w:t>
      </w:r>
      <w:r w:rsidRPr="00834B27">
        <w:rPr>
          <w:rFonts w:ascii="Calibri" w:hAnsi="Calibri" w:cs="Calibri"/>
          <w:lang w:val="ro-RO"/>
        </w:rPr>
        <w:t>î</w:t>
      </w:r>
      <w:r w:rsidR="00D50F2F" w:rsidRPr="00834B27">
        <w:rPr>
          <w:rFonts w:ascii="Calibri" w:hAnsi="Calibri" w:cs="Calibri"/>
          <w:lang w:val="ro-RO"/>
        </w:rPr>
        <w:t>n septembrie 2016</w:t>
      </w:r>
      <w:r w:rsidR="00CD053C" w:rsidRPr="00834B27">
        <w:rPr>
          <w:rFonts w:ascii="Calibri" w:hAnsi="Calibri" w:cs="Calibri"/>
          <w:lang w:val="ro-RO"/>
        </w:rPr>
        <w:t>, proiect abandonat la acea vreme.</w:t>
      </w:r>
    </w:p>
    <w:p w14:paraId="0484219E" w14:textId="77777777" w:rsidR="005752DC" w:rsidRPr="00834B27" w:rsidRDefault="005752DC" w:rsidP="00AE3A28">
      <w:pPr>
        <w:tabs>
          <w:tab w:val="left" w:pos="720"/>
        </w:tabs>
        <w:spacing w:line="276" w:lineRule="auto"/>
        <w:jc w:val="both"/>
        <w:rPr>
          <w:rFonts w:ascii="Calibri" w:hAnsi="Calibri" w:cs="Calibri"/>
          <w:lang w:val="ro-RO"/>
        </w:rPr>
      </w:pPr>
    </w:p>
    <w:p w14:paraId="7D66B6D1" w14:textId="422C3D87" w:rsidR="007400EC" w:rsidRPr="00834B27" w:rsidRDefault="009741C3" w:rsidP="005752DC">
      <w:pPr>
        <w:pStyle w:val="Listparagraf"/>
        <w:keepNext/>
        <w:numPr>
          <w:ilvl w:val="0"/>
          <w:numId w:val="46"/>
        </w:numPr>
        <w:tabs>
          <w:tab w:val="left" w:pos="720"/>
        </w:tabs>
        <w:spacing w:line="276" w:lineRule="auto"/>
        <w:ind w:hanging="720"/>
        <w:jc w:val="both"/>
        <w:rPr>
          <w:rFonts w:ascii="Calibri" w:hAnsi="Calibri" w:cs="Calibri"/>
          <w:b/>
          <w:bCs/>
          <w:lang w:val="ro-RO"/>
        </w:rPr>
      </w:pPr>
      <w:r w:rsidRPr="00834B27">
        <w:rPr>
          <w:rFonts w:ascii="Calibri" w:hAnsi="Calibri" w:cs="Calibri"/>
          <w:b/>
          <w:bCs/>
          <w:lang w:val="ro-RO"/>
        </w:rPr>
        <w:t xml:space="preserve">Impozitarea persoanelor care </w:t>
      </w:r>
      <w:r w:rsidR="008033B1" w:rsidRPr="00834B27">
        <w:rPr>
          <w:rFonts w:ascii="Calibri" w:hAnsi="Calibri" w:cs="Calibri"/>
          <w:b/>
          <w:bCs/>
          <w:lang w:val="ro-RO"/>
        </w:rPr>
        <w:t>își</w:t>
      </w:r>
      <w:r w:rsidRPr="00834B27">
        <w:rPr>
          <w:rFonts w:ascii="Calibri" w:hAnsi="Calibri" w:cs="Calibri"/>
          <w:b/>
          <w:bCs/>
          <w:lang w:val="ro-RO"/>
        </w:rPr>
        <w:t xml:space="preserve"> mut</w:t>
      </w:r>
      <w:r w:rsidR="000D4C58" w:rsidRPr="00834B27">
        <w:rPr>
          <w:rFonts w:ascii="Calibri" w:hAnsi="Calibri" w:cs="Calibri"/>
          <w:b/>
          <w:bCs/>
          <w:lang w:val="ro-RO"/>
        </w:rPr>
        <w:t>ă</w:t>
      </w:r>
      <w:r w:rsidRPr="00834B27">
        <w:rPr>
          <w:rFonts w:ascii="Calibri" w:hAnsi="Calibri" w:cs="Calibri"/>
          <w:b/>
          <w:bCs/>
          <w:lang w:val="ro-RO"/>
        </w:rPr>
        <w:t xml:space="preserve"> reziden</w:t>
      </w:r>
      <w:r w:rsidR="00D77C4B" w:rsidRPr="00834B27">
        <w:rPr>
          <w:rFonts w:ascii="Calibri" w:hAnsi="Calibri" w:cs="Calibri"/>
          <w:b/>
          <w:bCs/>
          <w:lang w:val="ro-RO"/>
        </w:rPr>
        <w:t>ț</w:t>
      </w:r>
      <w:r w:rsidRPr="00834B27">
        <w:rPr>
          <w:rFonts w:ascii="Calibri" w:hAnsi="Calibri" w:cs="Calibri"/>
          <w:b/>
          <w:bCs/>
          <w:lang w:val="ro-RO"/>
        </w:rPr>
        <w:t xml:space="preserve">a </w:t>
      </w:r>
      <w:r w:rsidR="008033B1" w:rsidRPr="00834B27">
        <w:rPr>
          <w:rFonts w:ascii="Calibri" w:hAnsi="Calibri" w:cs="Calibri"/>
          <w:b/>
          <w:bCs/>
          <w:lang w:val="ro-RO"/>
        </w:rPr>
        <w:t>î</w:t>
      </w:r>
      <w:r w:rsidRPr="00834B27">
        <w:rPr>
          <w:rFonts w:ascii="Calibri" w:hAnsi="Calibri" w:cs="Calibri"/>
          <w:b/>
          <w:bCs/>
          <w:lang w:val="ro-RO"/>
        </w:rPr>
        <w:t>n alte state</w:t>
      </w:r>
      <w:r w:rsidR="005F26AF" w:rsidRPr="00834B27">
        <w:rPr>
          <w:rFonts w:ascii="Calibri" w:hAnsi="Calibri" w:cs="Calibri"/>
          <w:b/>
          <w:bCs/>
          <w:lang w:val="ro-RO"/>
        </w:rPr>
        <w:t xml:space="preserve"> („Exit Tax”</w:t>
      </w:r>
      <w:r w:rsidR="002F0FDD" w:rsidRPr="00834B27">
        <w:rPr>
          <w:rFonts w:ascii="Calibri" w:hAnsi="Calibri" w:cs="Calibri"/>
          <w:b/>
          <w:bCs/>
          <w:lang w:val="ro-RO"/>
        </w:rPr>
        <w:t>)</w:t>
      </w:r>
    </w:p>
    <w:p w14:paraId="4A710B33" w14:textId="139D009F" w:rsidR="008033B1" w:rsidRPr="00834B27" w:rsidRDefault="008033B1" w:rsidP="008033B1">
      <w:pPr>
        <w:tabs>
          <w:tab w:val="left" w:pos="720"/>
        </w:tabs>
        <w:spacing w:line="276" w:lineRule="auto"/>
        <w:jc w:val="both"/>
        <w:rPr>
          <w:rFonts w:ascii="Calibri" w:hAnsi="Calibri" w:cs="Calibri"/>
          <w:lang w:val="ro-RO"/>
        </w:rPr>
      </w:pPr>
      <w:r w:rsidRPr="00834B27">
        <w:rPr>
          <w:rFonts w:ascii="Calibri" w:hAnsi="Calibri" w:cs="Calibri"/>
          <w:lang w:val="ro-RO"/>
        </w:rPr>
        <w:t>Prin mutarea reziden</w:t>
      </w:r>
      <w:r w:rsidR="00D77C4B" w:rsidRPr="00834B27">
        <w:rPr>
          <w:rFonts w:ascii="Calibri" w:hAnsi="Calibri" w:cs="Calibri"/>
          <w:lang w:val="ro-RO"/>
        </w:rPr>
        <w:t>ț</w:t>
      </w:r>
      <w:r w:rsidRPr="00834B27">
        <w:rPr>
          <w:rFonts w:ascii="Calibri" w:hAnsi="Calibri" w:cs="Calibri"/>
          <w:lang w:val="ro-RO"/>
        </w:rPr>
        <w:t>ei într-un alt stat, în special în state cu care România are încheiate Conven</w:t>
      </w:r>
      <w:r w:rsidR="00D77C4B" w:rsidRPr="00834B27">
        <w:rPr>
          <w:rFonts w:ascii="Calibri" w:hAnsi="Calibri" w:cs="Calibri"/>
          <w:lang w:val="ro-RO"/>
        </w:rPr>
        <w:t>ț</w:t>
      </w:r>
      <w:r w:rsidRPr="00834B27">
        <w:rPr>
          <w:rFonts w:ascii="Calibri" w:hAnsi="Calibri" w:cs="Calibri"/>
          <w:lang w:val="ro-RO"/>
        </w:rPr>
        <w:t>ii privind evitarea dublei impuneri care nu impozitează veniturile ob</w:t>
      </w:r>
      <w:r w:rsidR="00D77C4B" w:rsidRPr="00834B27">
        <w:rPr>
          <w:rFonts w:ascii="Calibri" w:hAnsi="Calibri" w:cs="Calibri"/>
          <w:lang w:val="ro-RO"/>
        </w:rPr>
        <w:t>ț</w:t>
      </w:r>
      <w:r w:rsidRPr="00834B27">
        <w:rPr>
          <w:rFonts w:ascii="Calibri" w:hAnsi="Calibri" w:cs="Calibri"/>
          <w:lang w:val="ro-RO"/>
        </w:rPr>
        <w:t xml:space="preserve">inute din străinătate de proprii </w:t>
      </w:r>
      <w:r w:rsidRPr="00834B27">
        <w:rPr>
          <w:rFonts w:ascii="Calibri" w:hAnsi="Calibri" w:cs="Calibri"/>
          <w:lang w:val="ro-RO"/>
        </w:rPr>
        <w:lastRenderedPageBreak/>
        <w:t>reziden</w:t>
      </w:r>
      <w:r w:rsidR="00D77C4B" w:rsidRPr="00834B27">
        <w:rPr>
          <w:rFonts w:ascii="Calibri" w:hAnsi="Calibri" w:cs="Calibri"/>
          <w:lang w:val="ro-RO"/>
        </w:rPr>
        <w:t>ț</w:t>
      </w:r>
      <w:r w:rsidRPr="00834B27">
        <w:rPr>
          <w:rFonts w:ascii="Calibri" w:hAnsi="Calibri" w:cs="Calibri"/>
          <w:lang w:val="ro-RO"/>
        </w:rPr>
        <w:t>i, România pierde posibilitatea de a impozita câștigurile încă nerealizate ale acestora, în special câștigurile de capital precum creșterea valorii participa</w:t>
      </w:r>
      <w:r w:rsidR="00D77C4B" w:rsidRPr="00834B27">
        <w:rPr>
          <w:rFonts w:ascii="Calibri" w:hAnsi="Calibri" w:cs="Calibri"/>
          <w:lang w:val="ro-RO"/>
        </w:rPr>
        <w:t>ț</w:t>
      </w:r>
      <w:r w:rsidRPr="00834B27">
        <w:rPr>
          <w:rFonts w:ascii="Calibri" w:hAnsi="Calibri" w:cs="Calibri"/>
          <w:lang w:val="ro-RO"/>
        </w:rPr>
        <w:t>iilor de</w:t>
      </w:r>
      <w:r w:rsidR="00D77C4B" w:rsidRPr="00834B27">
        <w:rPr>
          <w:rFonts w:ascii="Calibri" w:hAnsi="Calibri" w:cs="Calibri"/>
          <w:lang w:val="ro-RO"/>
        </w:rPr>
        <w:t>ț</w:t>
      </w:r>
      <w:r w:rsidRPr="00834B27">
        <w:rPr>
          <w:rFonts w:ascii="Calibri" w:hAnsi="Calibri" w:cs="Calibri"/>
          <w:lang w:val="ro-RO"/>
        </w:rPr>
        <w:t>inute sau a investi</w:t>
      </w:r>
      <w:r w:rsidR="00D77C4B" w:rsidRPr="00834B27">
        <w:rPr>
          <w:rFonts w:ascii="Calibri" w:hAnsi="Calibri" w:cs="Calibri"/>
          <w:lang w:val="ro-RO"/>
        </w:rPr>
        <w:t>ț</w:t>
      </w:r>
      <w:r w:rsidRPr="00834B27">
        <w:rPr>
          <w:rFonts w:ascii="Calibri" w:hAnsi="Calibri" w:cs="Calibri"/>
          <w:lang w:val="ro-RO"/>
        </w:rPr>
        <w:t xml:space="preserve">iilor în criptomonede. </w:t>
      </w:r>
    </w:p>
    <w:p w14:paraId="6DC78575" w14:textId="350BDE70" w:rsidR="008033B1" w:rsidRPr="00834B27" w:rsidRDefault="008033B1" w:rsidP="008033B1">
      <w:pPr>
        <w:tabs>
          <w:tab w:val="left" w:pos="720"/>
        </w:tabs>
        <w:spacing w:line="276" w:lineRule="auto"/>
        <w:jc w:val="both"/>
        <w:rPr>
          <w:rFonts w:ascii="Calibri" w:hAnsi="Calibri" w:cs="Calibri"/>
          <w:lang w:val="ro-RO"/>
        </w:rPr>
      </w:pPr>
      <w:r w:rsidRPr="00834B27">
        <w:rPr>
          <w:rFonts w:ascii="Calibri" w:hAnsi="Calibri" w:cs="Calibri"/>
          <w:kern w:val="0"/>
          <w:lang w:val="ro-RO"/>
          <w14:ligatures w14:val="none"/>
        </w:rPr>
        <w:t>Considerăm că, pe de o parte, România nu trebuie să se opună deciziilor personale, reziden</w:t>
      </w:r>
      <w:r w:rsidR="00D77C4B" w:rsidRPr="00834B27">
        <w:rPr>
          <w:rFonts w:ascii="Calibri" w:hAnsi="Calibri" w:cs="Calibri"/>
          <w:kern w:val="0"/>
          <w:lang w:val="ro-RO"/>
          <w14:ligatures w14:val="none"/>
        </w:rPr>
        <w:t>ț</w:t>
      </w:r>
      <w:r w:rsidRPr="00834B27">
        <w:rPr>
          <w:rFonts w:ascii="Calibri" w:hAnsi="Calibri" w:cs="Calibri"/>
          <w:kern w:val="0"/>
          <w:lang w:val="ro-RO"/>
          <w14:ligatures w14:val="none"/>
        </w:rPr>
        <w:t>ii români (cetă</w:t>
      </w:r>
      <w:r w:rsidR="00D77C4B" w:rsidRPr="00834B27">
        <w:rPr>
          <w:rFonts w:ascii="Calibri" w:hAnsi="Calibri" w:cs="Calibri"/>
          <w:kern w:val="0"/>
          <w:lang w:val="ro-RO"/>
          <w14:ligatures w14:val="none"/>
        </w:rPr>
        <w:t>ț</w:t>
      </w:r>
      <w:r w:rsidRPr="00834B27">
        <w:rPr>
          <w:rFonts w:ascii="Calibri" w:hAnsi="Calibri" w:cs="Calibri"/>
          <w:kern w:val="0"/>
          <w:lang w:val="ro-RO"/>
          <w14:ligatures w14:val="none"/>
        </w:rPr>
        <w:t>eni ai României sau nu) fiind liberi să decidă cu privire la locul unde vor să trăiască.</w:t>
      </w:r>
      <w:r w:rsidRPr="00834B27">
        <w:rPr>
          <w:rFonts w:ascii="Calibri" w:hAnsi="Calibri" w:cs="Calibri"/>
          <w:lang w:val="ro-RO"/>
        </w:rPr>
        <w:t xml:space="preserve"> Pe de altă parte, considerăm că România trebuie să se protejeze în fa</w:t>
      </w:r>
      <w:r w:rsidR="00D77C4B" w:rsidRPr="00834B27">
        <w:rPr>
          <w:rFonts w:ascii="Calibri" w:hAnsi="Calibri" w:cs="Calibri"/>
          <w:lang w:val="ro-RO"/>
        </w:rPr>
        <w:t>ț</w:t>
      </w:r>
      <w:r w:rsidRPr="00834B27">
        <w:rPr>
          <w:rFonts w:ascii="Calibri" w:hAnsi="Calibri" w:cs="Calibri"/>
          <w:lang w:val="ro-RO"/>
        </w:rPr>
        <w:t>a erodării bazei de impu</w:t>
      </w:r>
      <w:r w:rsidR="00171EDA" w:rsidRPr="00834B27">
        <w:rPr>
          <w:rFonts w:ascii="Calibri" w:hAnsi="Calibri" w:cs="Calibri"/>
          <w:lang w:val="ro-RO"/>
        </w:rPr>
        <w:t>e</w:t>
      </w:r>
      <w:r w:rsidRPr="00834B27">
        <w:rPr>
          <w:rFonts w:ascii="Calibri" w:hAnsi="Calibri" w:cs="Calibri"/>
          <w:lang w:val="ro-RO"/>
        </w:rPr>
        <w:t>re prin impozitarea câștigurilor nerealizate (calculate ca diferen</w:t>
      </w:r>
      <w:r w:rsidR="00D77C4B" w:rsidRPr="00834B27">
        <w:rPr>
          <w:rFonts w:ascii="Calibri" w:hAnsi="Calibri" w:cs="Calibri"/>
          <w:lang w:val="ro-RO"/>
        </w:rPr>
        <w:t>ț</w:t>
      </w:r>
      <w:r w:rsidRPr="00834B27">
        <w:rPr>
          <w:rFonts w:ascii="Calibri" w:hAnsi="Calibri" w:cs="Calibri"/>
          <w:lang w:val="ro-RO"/>
        </w:rPr>
        <w:t>a dintre valoarea de pia</w:t>
      </w:r>
      <w:r w:rsidR="00D77C4B" w:rsidRPr="00834B27">
        <w:rPr>
          <w:rFonts w:ascii="Calibri" w:hAnsi="Calibri" w:cs="Calibri"/>
          <w:lang w:val="ro-RO"/>
        </w:rPr>
        <w:t>ț</w:t>
      </w:r>
      <w:r w:rsidRPr="00834B27">
        <w:rPr>
          <w:rFonts w:ascii="Calibri" w:hAnsi="Calibri" w:cs="Calibri"/>
          <w:lang w:val="ro-RO"/>
        </w:rPr>
        <w:t xml:space="preserve">ă și valoarea fiscală a activelor asupra cărora </w:t>
      </w:r>
      <w:r w:rsidR="005F26AF" w:rsidRPr="00834B27">
        <w:rPr>
          <w:rFonts w:ascii="Calibri" w:hAnsi="Calibri" w:cs="Calibri"/>
          <w:lang w:val="ro-RO"/>
        </w:rPr>
        <w:t xml:space="preserve">România </w:t>
      </w:r>
      <w:r w:rsidRPr="00834B27">
        <w:rPr>
          <w:rFonts w:ascii="Calibri" w:hAnsi="Calibri" w:cs="Calibri"/>
          <w:lang w:val="ro-RO"/>
        </w:rPr>
        <w:t>pierde dreptul de impunere).</w:t>
      </w:r>
      <w:r w:rsidR="00D14AED" w:rsidRPr="00834B27">
        <w:rPr>
          <w:rStyle w:val="Referinnotdesubsol"/>
          <w:rFonts w:ascii="Calibri" w:hAnsi="Calibri" w:cs="Calibri"/>
          <w:lang w:val="ro-RO"/>
        </w:rPr>
        <w:footnoteReference w:id="33"/>
      </w:r>
      <w:r w:rsidRPr="00834B27">
        <w:rPr>
          <w:rFonts w:ascii="Calibri" w:hAnsi="Calibri" w:cs="Calibri"/>
          <w:lang w:val="ro-RO"/>
        </w:rPr>
        <w:t xml:space="preserve"> </w:t>
      </w:r>
    </w:p>
    <w:p w14:paraId="629C987D" w14:textId="36BEDC66" w:rsidR="00CD053C" w:rsidRPr="00834B27" w:rsidRDefault="008033B1" w:rsidP="008033B1">
      <w:pPr>
        <w:tabs>
          <w:tab w:val="left" w:pos="720"/>
        </w:tabs>
        <w:spacing w:line="276" w:lineRule="auto"/>
        <w:jc w:val="both"/>
        <w:rPr>
          <w:rFonts w:ascii="Calibri" w:hAnsi="Calibri" w:cs="Calibri"/>
          <w:lang w:val="ro-RO"/>
        </w:rPr>
      </w:pPr>
      <w:r w:rsidRPr="00834B27">
        <w:rPr>
          <w:rFonts w:ascii="Calibri" w:hAnsi="Calibri" w:cs="Calibri"/>
          <w:lang w:val="ro-RO"/>
        </w:rPr>
        <w:t>Evident, un astfel de impozit trebuie aplicat doar asupra câștigurilor nerealizate asupra cărora România pierde dreptul de impunere și nu asupra bunurilor imobile de</w:t>
      </w:r>
      <w:r w:rsidR="00D77C4B" w:rsidRPr="00834B27">
        <w:rPr>
          <w:rFonts w:ascii="Calibri" w:hAnsi="Calibri" w:cs="Calibri"/>
          <w:lang w:val="ro-RO"/>
        </w:rPr>
        <w:t>ț</w:t>
      </w:r>
      <w:r w:rsidRPr="00834B27">
        <w:rPr>
          <w:rFonts w:ascii="Calibri" w:hAnsi="Calibri" w:cs="Calibri"/>
          <w:lang w:val="ro-RO"/>
        </w:rPr>
        <w:t>inute de aceste persoane în România, câștigurile/veniturile din vânzarea ulterioară a bunurilor imobile rămânând a fi impozitate în România (chiar și dacă există Conven</w:t>
      </w:r>
      <w:r w:rsidR="00D77C4B" w:rsidRPr="00834B27">
        <w:rPr>
          <w:rFonts w:ascii="Calibri" w:hAnsi="Calibri" w:cs="Calibri"/>
          <w:lang w:val="ro-RO"/>
        </w:rPr>
        <w:t>ț</w:t>
      </w:r>
      <w:r w:rsidRPr="00834B27">
        <w:rPr>
          <w:rFonts w:ascii="Calibri" w:hAnsi="Calibri" w:cs="Calibri"/>
          <w:lang w:val="ro-RO"/>
        </w:rPr>
        <w:t>ie privind evitarea dublei impuneri cu statul în care persoana își mută reziden</w:t>
      </w:r>
      <w:r w:rsidR="00D77C4B" w:rsidRPr="00834B27">
        <w:rPr>
          <w:rFonts w:ascii="Calibri" w:hAnsi="Calibri" w:cs="Calibri"/>
          <w:lang w:val="ro-RO"/>
        </w:rPr>
        <w:t>ț</w:t>
      </w:r>
      <w:r w:rsidRPr="00834B27">
        <w:rPr>
          <w:rFonts w:ascii="Calibri" w:hAnsi="Calibri" w:cs="Calibri"/>
          <w:lang w:val="ro-RO"/>
        </w:rPr>
        <w:t>a fiscală).</w:t>
      </w:r>
      <w:r w:rsidR="000D4C58" w:rsidRPr="00834B27">
        <w:rPr>
          <w:rStyle w:val="Referinnotdesubsol"/>
          <w:rFonts w:ascii="Calibri" w:hAnsi="Calibri" w:cs="Calibri"/>
          <w:lang w:val="ro-RO"/>
        </w:rPr>
        <w:footnoteReference w:id="34"/>
      </w:r>
    </w:p>
    <w:p w14:paraId="1FCA1046" w14:textId="77777777" w:rsidR="001163D1" w:rsidRPr="00834B27" w:rsidRDefault="001163D1" w:rsidP="00570A27">
      <w:pPr>
        <w:tabs>
          <w:tab w:val="left" w:pos="720"/>
        </w:tabs>
        <w:spacing w:line="276" w:lineRule="auto"/>
        <w:jc w:val="both"/>
        <w:rPr>
          <w:rFonts w:ascii="Calibri" w:hAnsi="Calibri" w:cs="Calibri"/>
          <w:lang w:val="ro-RO"/>
        </w:rPr>
      </w:pPr>
    </w:p>
    <w:p w14:paraId="7999BA46" w14:textId="638E7D9A" w:rsidR="001163D1" w:rsidRPr="00834B27" w:rsidRDefault="00F91966" w:rsidP="005752DC">
      <w:pPr>
        <w:pStyle w:val="Listparagraf"/>
        <w:keepNext/>
        <w:numPr>
          <w:ilvl w:val="2"/>
          <w:numId w:val="45"/>
        </w:numPr>
        <w:tabs>
          <w:tab w:val="left" w:pos="720"/>
        </w:tabs>
        <w:spacing w:line="276" w:lineRule="auto"/>
        <w:ind w:left="720" w:hanging="720"/>
        <w:jc w:val="both"/>
        <w:rPr>
          <w:rFonts w:ascii="Calibri" w:hAnsi="Calibri" w:cs="Calibri"/>
          <w:b/>
          <w:bCs/>
          <w:lang w:val="ro-RO"/>
        </w:rPr>
      </w:pPr>
      <w:r w:rsidRPr="00834B27">
        <w:rPr>
          <w:rFonts w:ascii="Calibri" w:hAnsi="Calibri" w:cs="Calibri"/>
          <w:b/>
          <w:bCs/>
          <w:lang w:val="ro-RO"/>
        </w:rPr>
        <w:t xml:space="preserve">Cote </w:t>
      </w:r>
      <w:r w:rsidR="00095A75" w:rsidRPr="00834B27">
        <w:rPr>
          <w:rFonts w:ascii="Calibri" w:hAnsi="Calibri" w:cs="Calibri"/>
          <w:b/>
          <w:bCs/>
          <w:lang w:val="ro-RO"/>
        </w:rPr>
        <w:t xml:space="preserve">pentru CAS, CASS </w:t>
      </w:r>
      <w:r w:rsidR="008033B1" w:rsidRPr="00834B27">
        <w:rPr>
          <w:rFonts w:ascii="Calibri" w:hAnsi="Calibri" w:cs="Calibri"/>
          <w:b/>
          <w:bCs/>
          <w:lang w:val="ro-RO"/>
        </w:rPr>
        <w:t>ș</w:t>
      </w:r>
      <w:r w:rsidR="00095A75" w:rsidRPr="00834B27">
        <w:rPr>
          <w:rFonts w:ascii="Calibri" w:hAnsi="Calibri" w:cs="Calibri"/>
          <w:b/>
          <w:bCs/>
          <w:lang w:val="ro-RO"/>
        </w:rPr>
        <w:t>i IV. Plafon al bazei de calcul</w:t>
      </w:r>
      <w:r w:rsidR="00C64682" w:rsidRPr="00834B27">
        <w:rPr>
          <w:rFonts w:ascii="Calibri" w:hAnsi="Calibri" w:cs="Calibri"/>
          <w:b/>
          <w:bCs/>
          <w:lang w:val="ro-RO"/>
        </w:rPr>
        <w:t xml:space="preserve"> pentru CAS, CASS. Scenarii</w:t>
      </w:r>
      <w:r w:rsidR="00966C1C" w:rsidRPr="00834B27">
        <w:rPr>
          <w:rFonts w:ascii="Calibri" w:hAnsi="Calibri" w:cs="Calibri"/>
          <w:b/>
          <w:bCs/>
          <w:lang w:val="ro-RO"/>
        </w:rPr>
        <w:t>. Impact consolidat</w:t>
      </w:r>
    </w:p>
    <w:p w14:paraId="4D1DBA20" w14:textId="77777777" w:rsidR="005752DC" w:rsidRPr="00834B27" w:rsidRDefault="005752DC" w:rsidP="005752DC">
      <w:pPr>
        <w:pStyle w:val="Listparagraf"/>
        <w:keepNext/>
        <w:tabs>
          <w:tab w:val="left" w:pos="720"/>
        </w:tabs>
        <w:spacing w:line="276" w:lineRule="auto"/>
        <w:jc w:val="both"/>
        <w:rPr>
          <w:rFonts w:ascii="Calibri" w:hAnsi="Calibri" w:cs="Calibri"/>
          <w:b/>
          <w:bCs/>
          <w:lang w:val="ro-RO"/>
        </w:rPr>
      </w:pPr>
    </w:p>
    <w:p w14:paraId="213AD6A3" w14:textId="2F2E54FA" w:rsidR="008033B1" w:rsidRPr="00834B27" w:rsidRDefault="008033B1" w:rsidP="005752DC">
      <w:pPr>
        <w:pStyle w:val="Listparagraf"/>
        <w:keepNext/>
        <w:numPr>
          <w:ilvl w:val="0"/>
          <w:numId w:val="54"/>
        </w:numPr>
        <w:tabs>
          <w:tab w:val="left" w:pos="720"/>
        </w:tabs>
        <w:spacing w:line="276" w:lineRule="auto"/>
        <w:ind w:hanging="720"/>
        <w:jc w:val="both"/>
        <w:rPr>
          <w:rFonts w:ascii="Calibri" w:hAnsi="Calibri" w:cs="Calibri"/>
          <w:b/>
          <w:bCs/>
          <w:lang w:val="ro-RO"/>
        </w:rPr>
      </w:pPr>
      <w:r w:rsidRPr="00834B27">
        <w:rPr>
          <w:rFonts w:ascii="Calibri" w:hAnsi="Calibri" w:cs="Calibri"/>
          <w:b/>
          <w:bCs/>
          <w:lang w:val="ro-RO"/>
        </w:rPr>
        <w:t>Considera</w:t>
      </w:r>
      <w:r w:rsidR="00D77C4B" w:rsidRPr="00834B27">
        <w:rPr>
          <w:rFonts w:ascii="Calibri" w:hAnsi="Calibri" w:cs="Calibri"/>
          <w:b/>
          <w:bCs/>
          <w:lang w:val="ro-RO"/>
        </w:rPr>
        <w:t>ț</w:t>
      </w:r>
      <w:r w:rsidRPr="00834B27">
        <w:rPr>
          <w:rFonts w:ascii="Calibri" w:hAnsi="Calibri" w:cs="Calibri"/>
          <w:b/>
          <w:bCs/>
          <w:lang w:val="ro-RO"/>
        </w:rPr>
        <w:t>ii preliminare</w:t>
      </w:r>
    </w:p>
    <w:p w14:paraId="6948FC0F" w14:textId="317D3F73" w:rsidR="008033B1" w:rsidRPr="00834B27" w:rsidRDefault="008033B1" w:rsidP="008033B1">
      <w:pPr>
        <w:tabs>
          <w:tab w:val="left" w:pos="720"/>
        </w:tabs>
        <w:spacing w:line="276" w:lineRule="auto"/>
        <w:jc w:val="both"/>
        <w:rPr>
          <w:rFonts w:ascii="Calibri" w:hAnsi="Calibri" w:cs="Calibri"/>
          <w:lang w:val="ro-RO"/>
        </w:rPr>
      </w:pPr>
      <w:r w:rsidRPr="00834B27">
        <w:rPr>
          <w:rFonts w:ascii="Calibri" w:hAnsi="Calibri" w:cs="Calibri"/>
          <w:lang w:val="ro-RO"/>
        </w:rPr>
        <w:t>După cum știm, începând din anul 2018</w:t>
      </w:r>
      <w:r w:rsidR="000D4C58" w:rsidRPr="00834B27">
        <w:rPr>
          <w:rFonts w:ascii="Calibri" w:hAnsi="Calibri" w:cs="Calibri"/>
          <w:lang w:val="ro-RO"/>
        </w:rPr>
        <w:t xml:space="preserve"> (</w:t>
      </w:r>
      <w:r w:rsidRPr="00834B27">
        <w:rPr>
          <w:rFonts w:ascii="Calibri" w:hAnsi="Calibri" w:cs="Calibri"/>
          <w:lang w:val="ro-RO"/>
        </w:rPr>
        <w:t>anul „Revolu</w:t>
      </w:r>
      <w:r w:rsidR="00D77C4B" w:rsidRPr="00834B27">
        <w:rPr>
          <w:rFonts w:ascii="Calibri" w:hAnsi="Calibri" w:cs="Calibri"/>
          <w:lang w:val="ro-RO"/>
        </w:rPr>
        <w:t>ț</w:t>
      </w:r>
      <w:r w:rsidRPr="00834B27">
        <w:rPr>
          <w:rFonts w:ascii="Calibri" w:hAnsi="Calibri" w:cs="Calibri"/>
          <w:lang w:val="ro-RO"/>
        </w:rPr>
        <w:t>iei fiscale”</w:t>
      </w:r>
      <w:r w:rsidR="000D4C58" w:rsidRPr="00834B27">
        <w:rPr>
          <w:rFonts w:ascii="Calibri" w:hAnsi="Calibri" w:cs="Calibri"/>
          <w:lang w:val="ro-RO"/>
        </w:rPr>
        <w:t>)</w:t>
      </w:r>
      <w:r w:rsidRPr="00834B27">
        <w:rPr>
          <w:rFonts w:ascii="Calibri" w:hAnsi="Calibri" w:cs="Calibri"/>
          <w:lang w:val="ro-RO"/>
        </w:rPr>
        <w:t xml:space="preserve"> și până în prezent avem următoarele cote de impunere aplicabile unei multitudini de baze de calcul, așa cum am explicat în Capitolul 1 - „Situa</w:t>
      </w:r>
      <w:r w:rsidR="00D77C4B" w:rsidRPr="00834B27">
        <w:rPr>
          <w:rFonts w:ascii="Calibri" w:hAnsi="Calibri" w:cs="Calibri"/>
          <w:lang w:val="ro-RO"/>
        </w:rPr>
        <w:t>ț</w:t>
      </w:r>
      <w:r w:rsidRPr="00834B27">
        <w:rPr>
          <w:rFonts w:ascii="Calibri" w:hAnsi="Calibri" w:cs="Calibri"/>
          <w:lang w:val="ro-RO"/>
        </w:rPr>
        <w:t>ia actuală”</w:t>
      </w:r>
    </w:p>
    <w:p w14:paraId="2FFACB47" w14:textId="77777777" w:rsidR="008033B1" w:rsidRPr="00834B27" w:rsidRDefault="008033B1" w:rsidP="008033B1">
      <w:pPr>
        <w:pStyle w:val="Listparagraf"/>
        <w:numPr>
          <w:ilvl w:val="0"/>
          <w:numId w:val="1"/>
        </w:numPr>
        <w:tabs>
          <w:tab w:val="left" w:pos="720"/>
        </w:tabs>
        <w:spacing w:line="276" w:lineRule="auto"/>
        <w:jc w:val="both"/>
        <w:rPr>
          <w:rFonts w:ascii="Calibri" w:hAnsi="Calibri" w:cs="Calibri"/>
          <w:lang w:val="ro-RO"/>
        </w:rPr>
      </w:pPr>
      <w:r w:rsidRPr="00834B27">
        <w:rPr>
          <w:rFonts w:ascii="Calibri" w:hAnsi="Calibri" w:cs="Calibri"/>
          <w:lang w:val="ro-RO"/>
        </w:rPr>
        <w:t>CAS – 25%;</w:t>
      </w:r>
    </w:p>
    <w:p w14:paraId="435537FD" w14:textId="77777777" w:rsidR="008033B1" w:rsidRPr="00834B27" w:rsidRDefault="008033B1" w:rsidP="008033B1">
      <w:pPr>
        <w:pStyle w:val="Listparagraf"/>
        <w:numPr>
          <w:ilvl w:val="0"/>
          <w:numId w:val="1"/>
        </w:numPr>
        <w:tabs>
          <w:tab w:val="left" w:pos="720"/>
        </w:tabs>
        <w:spacing w:line="276" w:lineRule="auto"/>
        <w:jc w:val="both"/>
        <w:rPr>
          <w:rFonts w:ascii="Calibri" w:hAnsi="Calibri" w:cs="Calibri"/>
          <w:lang w:val="ro-RO"/>
        </w:rPr>
      </w:pPr>
      <w:r w:rsidRPr="00834B27">
        <w:rPr>
          <w:rFonts w:ascii="Calibri" w:hAnsi="Calibri" w:cs="Calibri"/>
          <w:lang w:val="ro-RO"/>
        </w:rPr>
        <w:t>CASS – 10%;</w:t>
      </w:r>
    </w:p>
    <w:p w14:paraId="3751AC8B" w14:textId="77777777" w:rsidR="008033B1" w:rsidRPr="00834B27" w:rsidRDefault="008033B1" w:rsidP="008033B1">
      <w:pPr>
        <w:pStyle w:val="Listparagraf"/>
        <w:numPr>
          <w:ilvl w:val="0"/>
          <w:numId w:val="1"/>
        </w:numPr>
        <w:tabs>
          <w:tab w:val="left" w:pos="720"/>
        </w:tabs>
        <w:spacing w:line="276" w:lineRule="auto"/>
        <w:jc w:val="both"/>
        <w:rPr>
          <w:rFonts w:ascii="Calibri" w:hAnsi="Calibri" w:cs="Calibri"/>
          <w:lang w:val="ro-RO"/>
        </w:rPr>
      </w:pPr>
      <w:r w:rsidRPr="00834B27">
        <w:rPr>
          <w:rFonts w:ascii="Calibri" w:hAnsi="Calibri" w:cs="Calibri"/>
          <w:lang w:val="ro-RO"/>
        </w:rPr>
        <w:lastRenderedPageBreak/>
        <w:t>IV – 10%.</w:t>
      </w:r>
    </w:p>
    <w:p w14:paraId="53551CD9" w14:textId="77777777" w:rsidR="008033B1" w:rsidRPr="00834B27" w:rsidRDefault="008033B1" w:rsidP="008033B1">
      <w:pPr>
        <w:tabs>
          <w:tab w:val="left" w:pos="720"/>
        </w:tabs>
        <w:spacing w:line="276" w:lineRule="auto"/>
        <w:jc w:val="both"/>
        <w:rPr>
          <w:rFonts w:ascii="Calibri" w:hAnsi="Calibri" w:cs="Calibri"/>
          <w:lang w:val="ro-RO"/>
        </w:rPr>
      </w:pPr>
      <w:r w:rsidRPr="00834B27">
        <w:rPr>
          <w:rFonts w:ascii="Calibri" w:hAnsi="Calibri" w:cs="Calibri"/>
          <w:lang w:val="ro-RO"/>
        </w:rPr>
        <w:t>Anterior anului 2018 (până în anul 2017 inclusiv), am avut aplicabile următoarele cote:</w:t>
      </w:r>
    </w:p>
    <w:p w14:paraId="03408E32" w14:textId="77777777" w:rsidR="008033B1" w:rsidRPr="00834B27" w:rsidRDefault="008033B1" w:rsidP="008033B1">
      <w:pPr>
        <w:pStyle w:val="Listparagraf"/>
        <w:numPr>
          <w:ilvl w:val="0"/>
          <w:numId w:val="1"/>
        </w:numPr>
        <w:tabs>
          <w:tab w:val="left" w:pos="720"/>
        </w:tabs>
        <w:spacing w:line="276" w:lineRule="auto"/>
        <w:jc w:val="both"/>
        <w:rPr>
          <w:rFonts w:ascii="Calibri" w:hAnsi="Calibri" w:cs="Calibri"/>
          <w:lang w:val="ro-RO"/>
        </w:rPr>
      </w:pPr>
      <w:r w:rsidRPr="00834B27">
        <w:rPr>
          <w:rFonts w:ascii="Calibri" w:hAnsi="Calibri" w:cs="Calibri"/>
          <w:lang w:val="ro-RO"/>
        </w:rPr>
        <w:t>CAS individuală - 10,5% + CAS angajator – 15,8%;</w:t>
      </w:r>
    </w:p>
    <w:p w14:paraId="5E9BD414" w14:textId="77777777" w:rsidR="008033B1" w:rsidRPr="00834B27" w:rsidRDefault="008033B1" w:rsidP="008033B1">
      <w:pPr>
        <w:pStyle w:val="Listparagraf"/>
        <w:numPr>
          <w:ilvl w:val="0"/>
          <w:numId w:val="1"/>
        </w:numPr>
        <w:tabs>
          <w:tab w:val="left" w:pos="720"/>
        </w:tabs>
        <w:spacing w:line="276" w:lineRule="auto"/>
        <w:jc w:val="both"/>
        <w:rPr>
          <w:rFonts w:ascii="Calibri" w:hAnsi="Calibri" w:cs="Calibri"/>
          <w:lang w:val="ro-RO"/>
        </w:rPr>
      </w:pPr>
      <w:r w:rsidRPr="00834B27">
        <w:rPr>
          <w:rFonts w:ascii="Calibri" w:hAnsi="Calibri" w:cs="Calibri"/>
          <w:lang w:val="ro-RO"/>
        </w:rPr>
        <w:t>CASS individuală – 5,5% + CASS angajator – 5,2%;</w:t>
      </w:r>
    </w:p>
    <w:p w14:paraId="1B23DAC9" w14:textId="77777777" w:rsidR="008033B1" w:rsidRPr="00834B27" w:rsidRDefault="008033B1" w:rsidP="008033B1">
      <w:pPr>
        <w:pStyle w:val="Listparagraf"/>
        <w:numPr>
          <w:ilvl w:val="0"/>
          <w:numId w:val="1"/>
        </w:numPr>
        <w:tabs>
          <w:tab w:val="left" w:pos="720"/>
        </w:tabs>
        <w:spacing w:line="276" w:lineRule="auto"/>
        <w:jc w:val="both"/>
        <w:rPr>
          <w:rFonts w:ascii="Calibri" w:hAnsi="Calibri" w:cs="Calibri"/>
          <w:lang w:val="ro-RO"/>
        </w:rPr>
      </w:pPr>
      <w:r w:rsidRPr="00834B27">
        <w:rPr>
          <w:rFonts w:ascii="Calibri" w:hAnsi="Calibri" w:cs="Calibri"/>
          <w:lang w:val="ro-RO"/>
        </w:rPr>
        <w:t>Impozit pe venit – 16%.</w:t>
      </w:r>
    </w:p>
    <w:p w14:paraId="498D217E" w14:textId="16CB482F" w:rsidR="008033B1" w:rsidRPr="00834B27" w:rsidRDefault="008033B1" w:rsidP="008033B1">
      <w:pPr>
        <w:tabs>
          <w:tab w:val="left" w:pos="720"/>
        </w:tabs>
        <w:spacing w:line="276" w:lineRule="auto"/>
        <w:jc w:val="both"/>
        <w:rPr>
          <w:rFonts w:ascii="Calibri" w:hAnsi="Calibri" w:cs="Calibri"/>
          <w:lang w:val="ro-RO"/>
        </w:rPr>
      </w:pPr>
      <w:r w:rsidRPr="00834B27">
        <w:rPr>
          <w:rFonts w:ascii="Calibri" w:hAnsi="Calibri" w:cs="Calibri"/>
          <w:lang w:val="ro-RO"/>
        </w:rPr>
        <w:t>Propunerea cu privire la transferul contribu</w:t>
      </w:r>
      <w:r w:rsidR="00D77C4B" w:rsidRPr="00834B27">
        <w:rPr>
          <w:rFonts w:ascii="Calibri" w:hAnsi="Calibri" w:cs="Calibri"/>
          <w:lang w:val="ro-RO"/>
        </w:rPr>
        <w:t>ț</w:t>
      </w:r>
      <w:r w:rsidRPr="00834B27">
        <w:rPr>
          <w:rFonts w:ascii="Calibri" w:hAnsi="Calibri" w:cs="Calibri"/>
          <w:lang w:val="ro-RO"/>
        </w:rPr>
        <w:t>iilor de la angajator la angajat a apărut pentru prima dată într-un proiect de OUG în septembrie 2016, ca instrument de plafonare a bazei de calcul al CAS, CASS pe suma veniturilor, instrument fără de care nu era posibilă includerea în sumă a salariilor (pentru că baza de calcul al CAS, CASS nu includea contribu</w:t>
      </w:r>
      <w:r w:rsidR="00D77C4B" w:rsidRPr="00834B27">
        <w:rPr>
          <w:rFonts w:ascii="Calibri" w:hAnsi="Calibri" w:cs="Calibri"/>
          <w:lang w:val="ro-RO"/>
        </w:rPr>
        <w:t>ț</w:t>
      </w:r>
      <w:r w:rsidRPr="00834B27">
        <w:rPr>
          <w:rFonts w:ascii="Calibri" w:hAnsi="Calibri" w:cs="Calibri"/>
          <w:lang w:val="ro-RO"/>
        </w:rPr>
        <w:t>iile angajatorului, în sumă de 21%). Pentru a fi asigurată neutralitatea transferului contribu</w:t>
      </w:r>
      <w:r w:rsidR="00D77C4B" w:rsidRPr="00834B27">
        <w:rPr>
          <w:rFonts w:ascii="Calibri" w:hAnsi="Calibri" w:cs="Calibri"/>
          <w:lang w:val="ro-RO"/>
        </w:rPr>
        <w:t>ț</w:t>
      </w:r>
      <w:r w:rsidRPr="00834B27">
        <w:rPr>
          <w:rFonts w:ascii="Calibri" w:hAnsi="Calibri" w:cs="Calibri"/>
          <w:lang w:val="ro-RO"/>
        </w:rPr>
        <w:t>iilor de la angajator la angajat (pentru angajat, angajator, bugetul CNPP, bugetul CNASS, bugetul de stat), procentele de contribu</w:t>
      </w:r>
      <w:r w:rsidR="00D77C4B" w:rsidRPr="00834B27">
        <w:rPr>
          <w:rFonts w:ascii="Calibri" w:hAnsi="Calibri" w:cs="Calibri"/>
          <w:lang w:val="ro-RO"/>
        </w:rPr>
        <w:t>ț</w:t>
      </w:r>
      <w:r w:rsidRPr="00834B27">
        <w:rPr>
          <w:rFonts w:ascii="Calibri" w:hAnsi="Calibri" w:cs="Calibri"/>
          <w:lang w:val="ro-RO"/>
        </w:rPr>
        <w:t>ii calculate asupra salariului brut majorat cu 21% (contribu</w:t>
      </w:r>
      <w:r w:rsidR="00D77C4B" w:rsidRPr="00834B27">
        <w:rPr>
          <w:rFonts w:ascii="Calibri" w:hAnsi="Calibri" w:cs="Calibri"/>
          <w:lang w:val="ro-RO"/>
        </w:rPr>
        <w:t>ț</w:t>
      </w:r>
      <w:r w:rsidRPr="00834B27">
        <w:rPr>
          <w:rFonts w:ascii="Calibri" w:hAnsi="Calibri" w:cs="Calibri"/>
          <w:lang w:val="ro-RO"/>
        </w:rPr>
        <w:t>iile angajatorului), procentele de impunere ar fi trebuit să fie:</w:t>
      </w:r>
    </w:p>
    <w:p w14:paraId="464ABBC2" w14:textId="63AEEBA1" w:rsidR="008033B1" w:rsidRPr="00834B27" w:rsidRDefault="008033B1" w:rsidP="008033B1">
      <w:pPr>
        <w:pStyle w:val="Listparagraf"/>
        <w:numPr>
          <w:ilvl w:val="0"/>
          <w:numId w:val="1"/>
        </w:numPr>
        <w:tabs>
          <w:tab w:val="left" w:pos="720"/>
        </w:tabs>
        <w:spacing w:line="276" w:lineRule="auto"/>
        <w:jc w:val="both"/>
        <w:rPr>
          <w:rFonts w:ascii="Calibri" w:hAnsi="Calibri" w:cs="Calibri"/>
          <w:lang w:val="ro-RO"/>
        </w:rPr>
      </w:pPr>
      <w:r w:rsidRPr="00834B27">
        <w:rPr>
          <w:rFonts w:ascii="Calibri" w:hAnsi="Calibri" w:cs="Calibri"/>
          <w:lang w:val="ro-RO"/>
        </w:rPr>
        <w:t>CAS – 21,</w:t>
      </w:r>
      <w:r w:rsidR="00EF487E" w:rsidRPr="00834B27">
        <w:rPr>
          <w:rFonts w:ascii="Calibri" w:hAnsi="Calibri" w:cs="Calibri"/>
          <w:lang w:val="ro-RO"/>
        </w:rPr>
        <w:t>7</w:t>
      </w:r>
      <w:r w:rsidRPr="00834B27">
        <w:rPr>
          <w:rFonts w:ascii="Calibri" w:hAnsi="Calibri" w:cs="Calibri"/>
          <w:lang w:val="ro-RO"/>
        </w:rPr>
        <w:t>%;</w:t>
      </w:r>
    </w:p>
    <w:p w14:paraId="3C11EB47" w14:textId="77777777" w:rsidR="008033B1" w:rsidRPr="00834B27" w:rsidRDefault="008033B1" w:rsidP="008033B1">
      <w:pPr>
        <w:pStyle w:val="Listparagraf"/>
        <w:numPr>
          <w:ilvl w:val="0"/>
          <w:numId w:val="1"/>
        </w:numPr>
        <w:tabs>
          <w:tab w:val="left" w:pos="720"/>
        </w:tabs>
        <w:spacing w:line="276" w:lineRule="auto"/>
        <w:jc w:val="both"/>
        <w:rPr>
          <w:rFonts w:ascii="Calibri" w:hAnsi="Calibri" w:cs="Calibri"/>
          <w:lang w:val="ro-RO"/>
        </w:rPr>
      </w:pPr>
      <w:r w:rsidRPr="00834B27">
        <w:rPr>
          <w:rFonts w:ascii="Calibri" w:hAnsi="Calibri" w:cs="Calibri"/>
          <w:lang w:val="ro-RO"/>
        </w:rPr>
        <w:t>CASS – 8,8%;</w:t>
      </w:r>
    </w:p>
    <w:p w14:paraId="167BC88E" w14:textId="77777777" w:rsidR="008033B1" w:rsidRPr="00834B27" w:rsidRDefault="008033B1" w:rsidP="008033B1">
      <w:pPr>
        <w:pStyle w:val="Listparagraf"/>
        <w:numPr>
          <w:ilvl w:val="0"/>
          <w:numId w:val="1"/>
        </w:numPr>
        <w:tabs>
          <w:tab w:val="left" w:pos="720"/>
        </w:tabs>
        <w:spacing w:line="276" w:lineRule="auto"/>
        <w:jc w:val="both"/>
        <w:rPr>
          <w:rFonts w:ascii="Calibri" w:hAnsi="Calibri" w:cs="Calibri"/>
          <w:lang w:val="ro-RO"/>
        </w:rPr>
      </w:pPr>
      <w:r w:rsidRPr="00834B27">
        <w:rPr>
          <w:rFonts w:ascii="Calibri" w:hAnsi="Calibri" w:cs="Calibri"/>
          <w:lang w:val="ro-RO"/>
        </w:rPr>
        <w:t>IV – 16%.</w:t>
      </w:r>
    </w:p>
    <w:p w14:paraId="3DD564AF" w14:textId="77777777" w:rsidR="00D14AED" w:rsidRPr="00834B27" w:rsidRDefault="00D14AED" w:rsidP="008033B1">
      <w:pPr>
        <w:tabs>
          <w:tab w:val="left" w:pos="720"/>
        </w:tabs>
        <w:spacing w:line="276" w:lineRule="auto"/>
        <w:jc w:val="both"/>
        <w:rPr>
          <w:rFonts w:ascii="Calibri" w:hAnsi="Calibri" w:cs="Calibri"/>
          <w:lang w:val="ro-RO"/>
        </w:rPr>
      </w:pPr>
    </w:p>
    <w:p w14:paraId="77C3EBAB" w14:textId="77777777" w:rsidR="00D14AED" w:rsidRPr="00834B27" w:rsidRDefault="00D14AED" w:rsidP="00D14AED">
      <w:pPr>
        <w:tabs>
          <w:tab w:val="left" w:pos="720"/>
        </w:tabs>
        <w:spacing w:line="276" w:lineRule="auto"/>
        <w:ind w:left="720"/>
        <w:jc w:val="both"/>
        <w:rPr>
          <w:rFonts w:ascii="Calibri" w:hAnsi="Calibri" w:cs="Calibri"/>
          <w:i/>
          <w:iCs/>
          <w:lang w:val="ro-RO"/>
        </w:rPr>
      </w:pPr>
      <w:r w:rsidRPr="00834B27">
        <w:rPr>
          <w:rFonts w:ascii="Calibri" w:hAnsi="Calibri" w:cs="Calibri"/>
          <w:i/>
          <w:iCs/>
          <w:lang w:val="ro-RO"/>
        </w:rPr>
        <w:t xml:space="preserve">Verificare: </w:t>
      </w:r>
    </w:p>
    <w:p w14:paraId="326570AB" w14:textId="48927C65" w:rsidR="00D14AED" w:rsidRPr="00834B27" w:rsidRDefault="00D14AED" w:rsidP="00D14AED">
      <w:pPr>
        <w:tabs>
          <w:tab w:val="left" w:pos="720"/>
        </w:tabs>
        <w:spacing w:line="276" w:lineRule="auto"/>
        <w:ind w:left="720"/>
        <w:jc w:val="both"/>
        <w:rPr>
          <w:rFonts w:ascii="Calibri" w:hAnsi="Calibri" w:cs="Calibri"/>
          <w:i/>
          <w:iCs/>
          <w:lang w:val="ro-RO"/>
        </w:rPr>
      </w:pPr>
      <w:r w:rsidRPr="00834B27">
        <w:rPr>
          <w:rFonts w:ascii="Calibri" w:hAnsi="Calibri" w:cs="Calibri"/>
          <w:i/>
          <w:iCs/>
          <w:lang w:val="ro-RO"/>
        </w:rPr>
        <w:t>CAS total anterior = 26,3%; raportat la salariul brut nou (majorat cu coeficientul 1,21 pentru a absorbi contribuțiile angajatorului): 26,3%/1,21 ≈ 21,7%, ajustat la 21,</w:t>
      </w:r>
      <w:r w:rsidR="00EF487E" w:rsidRPr="00834B27">
        <w:rPr>
          <w:rFonts w:ascii="Calibri" w:hAnsi="Calibri" w:cs="Calibri"/>
          <w:i/>
          <w:iCs/>
          <w:lang w:val="ro-RO"/>
        </w:rPr>
        <w:t>7</w:t>
      </w:r>
      <w:r w:rsidRPr="00834B27">
        <w:rPr>
          <w:rFonts w:ascii="Calibri" w:hAnsi="Calibri" w:cs="Calibri"/>
          <w:i/>
          <w:iCs/>
          <w:lang w:val="ro-RO"/>
        </w:rPr>
        <w:t xml:space="preserve">%. </w:t>
      </w:r>
    </w:p>
    <w:p w14:paraId="3009DB7C" w14:textId="77777777" w:rsidR="00D14AED" w:rsidRPr="00834B27" w:rsidRDefault="00D14AED" w:rsidP="00D14AED">
      <w:pPr>
        <w:tabs>
          <w:tab w:val="left" w:pos="720"/>
        </w:tabs>
        <w:spacing w:line="276" w:lineRule="auto"/>
        <w:ind w:left="720"/>
        <w:jc w:val="both"/>
        <w:rPr>
          <w:rFonts w:ascii="Calibri" w:hAnsi="Calibri" w:cs="Calibri"/>
          <w:i/>
          <w:iCs/>
          <w:lang w:val="ro-RO"/>
        </w:rPr>
      </w:pPr>
      <w:r w:rsidRPr="00834B27">
        <w:rPr>
          <w:rFonts w:ascii="Calibri" w:hAnsi="Calibri" w:cs="Calibri"/>
          <w:i/>
          <w:iCs/>
          <w:lang w:val="ro-RO"/>
        </w:rPr>
        <w:t xml:space="preserve">CASS total anterior = 10,7%; 10,7%/1,21 ≈ 8,8%. </w:t>
      </w:r>
    </w:p>
    <w:p w14:paraId="01EF8F70" w14:textId="77777777" w:rsidR="00D14AED" w:rsidRPr="00834B27" w:rsidRDefault="00D14AED" w:rsidP="00D14AED">
      <w:pPr>
        <w:tabs>
          <w:tab w:val="left" w:pos="720"/>
        </w:tabs>
        <w:spacing w:line="276" w:lineRule="auto"/>
        <w:ind w:left="720"/>
        <w:jc w:val="both"/>
        <w:rPr>
          <w:rFonts w:ascii="Calibri" w:hAnsi="Calibri" w:cs="Calibri"/>
          <w:i/>
          <w:iCs/>
          <w:lang w:val="ro-RO"/>
        </w:rPr>
      </w:pPr>
      <w:r w:rsidRPr="00834B27">
        <w:rPr>
          <w:rFonts w:ascii="Calibri" w:hAnsi="Calibri" w:cs="Calibri"/>
          <w:i/>
          <w:iCs/>
          <w:lang w:val="ro-RO"/>
        </w:rPr>
        <w:t xml:space="preserve">IV rămâne la 16%, cota din care a fost redus în 2018. </w:t>
      </w:r>
    </w:p>
    <w:p w14:paraId="7A6E88EF" w14:textId="0535F473" w:rsidR="00D14AED" w:rsidRPr="00834B27" w:rsidRDefault="00D14AED" w:rsidP="00D14AED">
      <w:pPr>
        <w:tabs>
          <w:tab w:val="left" w:pos="720"/>
        </w:tabs>
        <w:spacing w:line="276" w:lineRule="auto"/>
        <w:ind w:left="720"/>
        <w:jc w:val="both"/>
        <w:rPr>
          <w:rFonts w:ascii="Calibri" w:hAnsi="Calibri" w:cs="Calibri"/>
          <w:i/>
          <w:iCs/>
          <w:lang w:val="ro-RO"/>
        </w:rPr>
      </w:pPr>
      <w:r w:rsidRPr="00834B27">
        <w:rPr>
          <w:rFonts w:ascii="Calibri" w:hAnsi="Calibri" w:cs="Calibri"/>
          <w:i/>
          <w:iCs/>
          <w:lang w:val="ro-RO"/>
        </w:rPr>
        <w:t>Aceste procente restabilesc neutralitatea față de situația anterioară anului 2018.</w:t>
      </w:r>
    </w:p>
    <w:p w14:paraId="7EF75C9F" w14:textId="3E84744D" w:rsidR="008033B1" w:rsidRPr="00834B27" w:rsidRDefault="008033B1" w:rsidP="008033B1">
      <w:pPr>
        <w:tabs>
          <w:tab w:val="left" w:pos="720"/>
        </w:tabs>
        <w:spacing w:line="276" w:lineRule="auto"/>
        <w:jc w:val="both"/>
        <w:rPr>
          <w:rFonts w:ascii="Calibri" w:hAnsi="Calibri" w:cs="Calibri"/>
          <w:lang w:val="ro-RO"/>
        </w:rPr>
      </w:pPr>
      <w:r w:rsidRPr="00834B27">
        <w:rPr>
          <w:rFonts w:ascii="Calibri" w:hAnsi="Calibri" w:cs="Calibri"/>
          <w:lang w:val="ro-RO"/>
        </w:rPr>
        <w:t>Din păcate, „Revolu</w:t>
      </w:r>
      <w:r w:rsidR="00D77C4B" w:rsidRPr="00834B27">
        <w:rPr>
          <w:rFonts w:ascii="Calibri" w:hAnsi="Calibri" w:cs="Calibri"/>
          <w:lang w:val="ro-RO"/>
        </w:rPr>
        <w:t>ț</w:t>
      </w:r>
      <w:r w:rsidRPr="00834B27">
        <w:rPr>
          <w:rFonts w:ascii="Calibri" w:hAnsi="Calibri" w:cs="Calibri"/>
          <w:lang w:val="ro-RO"/>
        </w:rPr>
        <w:t>ia fiscală” nu a fost concepută nici pentru a asigura echitate (SFT în func</w:t>
      </w:r>
      <w:r w:rsidR="00D77C4B" w:rsidRPr="00834B27">
        <w:rPr>
          <w:rFonts w:ascii="Calibri" w:hAnsi="Calibri" w:cs="Calibri"/>
          <w:lang w:val="ro-RO"/>
        </w:rPr>
        <w:t>ț</w:t>
      </w:r>
      <w:r w:rsidRPr="00834B27">
        <w:rPr>
          <w:rFonts w:ascii="Calibri" w:hAnsi="Calibri" w:cs="Calibri"/>
          <w:lang w:val="ro-RO"/>
        </w:rPr>
        <w:t>ie de mărimea și nu de tipul venitului) și nici neutralitate. Dimpotrivă, discrepan</w:t>
      </w:r>
      <w:r w:rsidR="00D77C4B" w:rsidRPr="00834B27">
        <w:rPr>
          <w:rFonts w:ascii="Calibri" w:hAnsi="Calibri" w:cs="Calibri"/>
          <w:lang w:val="ro-RO"/>
        </w:rPr>
        <w:t>ț</w:t>
      </w:r>
      <w:r w:rsidRPr="00834B27">
        <w:rPr>
          <w:rFonts w:ascii="Calibri" w:hAnsi="Calibri" w:cs="Calibri"/>
          <w:lang w:val="ro-RO"/>
        </w:rPr>
        <w:t>ele dintre SFT pentru diverse tipuri de venituri s-au accentuat prin plafonarea bazei de calcul al CASS la 12 SM/an (1 SM/lună) pentru suma veniturilor din activită</w:t>
      </w:r>
      <w:r w:rsidR="00D77C4B" w:rsidRPr="00834B27">
        <w:rPr>
          <w:rFonts w:ascii="Calibri" w:hAnsi="Calibri" w:cs="Calibri"/>
          <w:lang w:val="ro-RO"/>
        </w:rPr>
        <w:t>ț</w:t>
      </w:r>
      <w:r w:rsidRPr="00834B27">
        <w:rPr>
          <w:rFonts w:ascii="Calibri" w:hAnsi="Calibri" w:cs="Calibri"/>
          <w:lang w:val="ro-RO"/>
        </w:rPr>
        <w:t>i independente, chirii, câștiguri de capital, alte venituri.</w:t>
      </w:r>
    </w:p>
    <w:p w14:paraId="72A94AE7" w14:textId="0D6B0A27" w:rsidR="008033B1" w:rsidRPr="00834B27" w:rsidRDefault="008033B1" w:rsidP="008033B1">
      <w:pPr>
        <w:tabs>
          <w:tab w:val="left" w:pos="720"/>
        </w:tabs>
        <w:spacing w:line="276" w:lineRule="auto"/>
        <w:jc w:val="both"/>
        <w:rPr>
          <w:rFonts w:ascii="Calibri" w:hAnsi="Calibri" w:cs="Calibri"/>
          <w:lang w:val="ro-RO"/>
        </w:rPr>
      </w:pPr>
      <w:r w:rsidRPr="00834B27">
        <w:rPr>
          <w:rFonts w:ascii="Calibri" w:hAnsi="Calibri" w:cs="Calibri"/>
          <w:lang w:val="ro-RO"/>
        </w:rPr>
        <w:t>CAS  a fost majorată la 25%, CASS a fost de asemenea majorată  la 10%, iar pentru ca aceste creșteri să nu ducă la scăderea salariilor nete ale angaja</w:t>
      </w:r>
      <w:r w:rsidR="00D77C4B" w:rsidRPr="00834B27">
        <w:rPr>
          <w:rFonts w:ascii="Calibri" w:hAnsi="Calibri" w:cs="Calibri"/>
          <w:lang w:val="ro-RO"/>
        </w:rPr>
        <w:t>ț</w:t>
      </w:r>
      <w:r w:rsidRPr="00834B27">
        <w:rPr>
          <w:rFonts w:ascii="Calibri" w:hAnsi="Calibri" w:cs="Calibri"/>
          <w:lang w:val="ro-RO"/>
        </w:rPr>
        <w:t>ilor, cota unică de impozit pe venit a fost redusă de la 16% la 10%, cu consecin</w:t>
      </w:r>
      <w:r w:rsidR="00D77C4B" w:rsidRPr="00834B27">
        <w:rPr>
          <w:rFonts w:ascii="Calibri" w:hAnsi="Calibri" w:cs="Calibri"/>
          <w:lang w:val="ro-RO"/>
        </w:rPr>
        <w:t>ț</w:t>
      </w:r>
      <w:r w:rsidRPr="00834B27">
        <w:rPr>
          <w:rFonts w:ascii="Calibri" w:hAnsi="Calibri" w:cs="Calibri"/>
          <w:lang w:val="ro-RO"/>
        </w:rPr>
        <w:t xml:space="preserve">a transferului unei sume de aproximativ 12 miliarde de lei de la bugetul de stat la bugetul CNPP. Creșterea veniturilor CNPP nu a fost însă folosită pentru </w:t>
      </w:r>
      <w:r w:rsidRPr="00834B27">
        <w:rPr>
          <w:rFonts w:ascii="Calibri" w:hAnsi="Calibri" w:cs="Calibri"/>
          <w:lang w:val="ro-RO"/>
        </w:rPr>
        <w:lastRenderedPageBreak/>
        <w:t>echilibrarea acestui buget, ci a constituit un motiv pentru creșterile ulterioare de cheltuieli, prin creșterea accelerată a pensiilor.</w:t>
      </w:r>
    </w:p>
    <w:p w14:paraId="63AB6598" w14:textId="35F6CFDE" w:rsidR="008033B1" w:rsidRPr="00834B27" w:rsidRDefault="008033B1" w:rsidP="008033B1">
      <w:pPr>
        <w:tabs>
          <w:tab w:val="left" w:pos="720"/>
        </w:tabs>
        <w:spacing w:line="276" w:lineRule="auto"/>
        <w:jc w:val="both"/>
        <w:rPr>
          <w:rFonts w:ascii="Calibri" w:hAnsi="Calibri" w:cs="Calibri"/>
          <w:lang w:val="ro-RO"/>
        </w:rPr>
      </w:pPr>
      <w:r w:rsidRPr="00834B27">
        <w:rPr>
          <w:rFonts w:ascii="Calibri" w:hAnsi="Calibri" w:cs="Calibri"/>
          <w:lang w:val="ro-RO"/>
        </w:rPr>
        <w:t>Având în vedere cele de mai sus, vom analiza diferite scenarii de reformă, pentru a vedea care dintre ele asigură o implementare sustenabilă în ceea ce privește veniturile la bugetul consolidat. Men</w:t>
      </w:r>
      <w:r w:rsidR="00D77C4B" w:rsidRPr="00834B27">
        <w:rPr>
          <w:rFonts w:ascii="Calibri" w:hAnsi="Calibri" w:cs="Calibri"/>
          <w:lang w:val="ro-RO"/>
        </w:rPr>
        <w:t>ț</w:t>
      </w:r>
      <w:r w:rsidRPr="00834B27">
        <w:rPr>
          <w:rFonts w:ascii="Calibri" w:hAnsi="Calibri" w:cs="Calibri"/>
          <w:lang w:val="ro-RO"/>
        </w:rPr>
        <w:t>ionăm că, din punctul nostru de vedere, relevant este bugetul consolidat și nu bugetele individuale (bugetul de stat, bugetul CNPP, bugetul CNASS), motiv pentru care nu am analizat impactul propunerilor pe fiecare buget în parte.</w:t>
      </w:r>
    </w:p>
    <w:p w14:paraId="416564CA" w14:textId="437B29A2" w:rsidR="008033B1" w:rsidRPr="00834B27" w:rsidRDefault="008033B1" w:rsidP="008033B1">
      <w:pPr>
        <w:tabs>
          <w:tab w:val="left" w:pos="720"/>
        </w:tabs>
        <w:spacing w:line="276" w:lineRule="auto"/>
        <w:jc w:val="both"/>
        <w:rPr>
          <w:rFonts w:ascii="Calibri" w:hAnsi="Calibri" w:cs="Calibri"/>
          <w:lang w:val="ro-RO"/>
        </w:rPr>
      </w:pPr>
      <w:r w:rsidRPr="00834B27">
        <w:rPr>
          <w:rFonts w:ascii="Calibri" w:hAnsi="Calibri" w:cs="Calibri"/>
          <w:lang w:val="ro-RO"/>
        </w:rPr>
        <w:t>Men</w:t>
      </w:r>
      <w:r w:rsidR="00D77C4B" w:rsidRPr="00834B27">
        <w:rPr>
          <w:rFonts w:ascii="Calibri" w:hAnsi="Calibri" w:cs="Calibri"/>
          <w:lang w:val="ro-RO"/>
        </w:rPr>
        <w:t>ț</w:t>
      </w:r>
      <w:r w:rsidRPr="00834B27">
        <w:rPr>
          <w:rFonts w:ascii="Calibri" w:hAnsi="Calibri" w:cs="Calibri"/>
          <w:lang w:val="ro-RO"/>
        </w:rPr>
        <w:t>ionăm că scenariile de reformă se referă la condi</w:t>
      </w:r>
      <w:r w:rsidR="00D77C4B" w:rsidRPr="00834B27">
        <w:rPr>
          <w:rFonts w:ascii="Calibri" w:hAnsi="Calibri" w:cs="Calibri"/>
          <w:lang w:val="ro-RO"/>
        </w:rPr>
        <w:t>ț</w:t>
      </w:r>
      <w:r w:rsidRPr="00834B27">
        <w:rPr>
          <w:rFonts w:ascii="Calibri" w:hAnsi="Calibri" w:cs="Calibri"/>
          <w:lang w:val="ro-RO"/>
        </w:rPr>
        <w:t>ii normale de muncă, reglementările cu privire la CAS datorată de angajator pentru condi</w:t>
      </w:r>
      <w:r w:rsidR="00D77C4B" w:rsidRPr="00834B27">
        <w:rPr>
          <w:rFonts w:ascii="Calibri" w:hAnsi="Calibri" w:cs="Calibri"/>
          <w:lang w:val="ro-RO"/>
        </w:rPr>
        <w:t>ț</w:t>
      </w:r>
      <w:r w:rsidRPr="00834B27">
        <w:rPr>
          <w:rFonts w:ascii="Calibri" w:hAnsi="Calibri" w:cs="Calibri"/>
          <w:lang w:val="ro-RO"/>
        </w:rPr>
        <w:t xml:space="preserve">ii speciale sau deosebite de muncă fiind adecvate și putând fi păstrate așa cum sunt reglementate în prezent. </w:t>
      </w:r>
    </w:p>
    <w:p w14:paraId="69D87ACA" w14:textId="109D9B09" w:rsidR="008033B1" w:rsidRPr="00834B27" w:rsidRDefault="008033B1" w:rsidP="008033B1">
      <w:pPr>
        <w:tabs>
          <w:tab w:val="left" w:pos="720"/>
        </w:tabs>
        <w:spacing w:line="276" w:lineRule="auto"/>
        <w:jc w:val="both"/>
        <w:rPr>
          <w:rFonts w:ascii="Calibri" w:hAnsi="Calibri" w:cs="Calibri"/>
          <w:lang w:val="ro-RO"/>
        </w:rPr>
      </w:pPr>
      <w:r w:rsidRPr="00834B27">
        <w:rPr>
          <w:rFonts w:ascii="Calibri" w:hAnsi="Calibri" w:cs="Calibri"/>
          <w:lang w:val="ro-RO"/>
        </w:rPr>
        <w:t>Men</w:t>
      </w:r>
      <w:r w:rsidR="00D77C4B" w:rsidRPr="00834B27">
        <w:rPr>
          <w:rFonts w:ascii="Calibri" w:hAnsi="Calibri" w:cs="Calibri"/>
          <w:lang w:val="ro-RO"/>
        </w:rPr>
        <w:t>ț</w:t>
      </w:r>
      <w:r w:rsidRPr="00834B27">
        <w:rPr>
          <w:rFonts w:ascii="Calibri" w:hAnsi="Calibri" w:cs="Calibri"/>
          <w:lang w:val="ro-RO"/>
        </w:rPr>
        <w:t>ionăm, de asemenea, că, în lipsa unor informa</w:t>
      </w:r>
      <w:r w:rsidR="00D77C4B" w:rsidRPr="00834B27">
        <w:rPr>
          <w:rFonts w:ascii="Calibri" w:hAnsi="Calibri" w:cs="Calibri"/>
          <w:lang w:val="ro-RO"/>
        </w:rPr>
        <w:t>ț</w:t>
      </w:r>
      <w:r w:rsidRPr="00834B27">
        <w:rPr>
          <w:rFonts w:ascii="Calibri" w:hAnsi="Calibri" w:cs="Calibri"/>
          <w:lang w:val="ro-RO"/>
        </w:rPr>
        <w:t>ii detaliate cu privire la structura și distribu</w:t>
      </w:r>
      <w:r w:rsidR="00D77C4B" w:rsidRPr="00834B27">
        <w:rPr>
          <w:rFonts w:ascii="Calibri" w:hAnsi="Calibri" w:cs="Calibri"/>
          <w:lang w:val="ro-RO"/>
        </w:rPr>
        <w:t>ț</w:t>
      </w:r>
      <w:r w:rsidRPr="00834B27">
        <w:rPr>
          <w:rFonts w:ascii="Calibri" w:hAnsi="Calibri" w:cs="Calibri"/>
          <w:lang w:val="ro-RO"/>
        </w:rPr>
        <w:t xml:space="preserve">ia diverselor tipuri de venituri, pentru a calcula impactul diferitelor scenarii de reformă, a trebuit să facem unele aproximări, explicate în Anexa </w:t>
      </w:r>
      <w:r w:rsidR="00835222" w:rsidRPr="00834B27">
        <w:rPr>
          <w:rFonts w:ascii="Calibri" w:hAnsi="Calibri" w:cs="Calibri"/>
          <w:lang w:val="ro-RO"/>
        </w:rPr>
        <w:t>1</w:t>
      </w:r>
      <w:r w:rsidRPr="00834B27">
        <w:rPr>
          <w:rFonts w:ascii="Calibri" w:hAnsi="Calibri" w:cs="Calibri"/>
          <w:lang w:val="ro-RO"/>
        </w:rPr>
        <w:t xml:space="preserve"> – Notă metodologică.</w:t>
      </w:r>
    </w:p>
    <w:p w14:paraId="1455BC3D" w14:textId="5C35A9F2" w:rsidR="00835222" w:rsidRPr="00834B27" w:rsidRDefault="00835222">
      <w:pPr>
        <w:rPr>
          <w:rFonts w:ascii="Calibri" w:hAnsi="Calibri" w:cs="Calibri"/>
          <w:lang w:val="ro-RO"/>
        </w:rPr>
      </w:pPr>
    </w:p>
    <w:p w14:paraId="336CFC29" w14:textId="09517081" w:rsidR="008033B1" w:rsidRPr="00834B27" w:rsidRDefault="008033B1" w:rsidP="008033B1">
      <w:pPr>
        <w:tabs>
          <w:tab w:val="left" w:pos="720"/>
        </w:tabs>
        <w:spacing w:line="276" w:lineRule="auto"/>
        <w:jc w:val="both"/>
        <w:rPr>
          <w:rFonts w:ascii="Calibri" w:hAnsi="Calibri" w:cs="Calibri"/>
          <w:lang w:val="ro-RO"/>
        </w:rPr>
      </w:pPr>
      <w:r w:rsidRPr="00834B27">
        <w:rPr>
          <w:rFonts w:ascii="Calibri" w:hAnsi="Calibri" w:cs="Calibri"/>
          <w:lang w:val="ro-RO"/>
        </w:rPr>
        <w:t>Am luat în calcul următoarele scenarii:</w:t>
      </w:r>
    </w:p>
    <w:p w14:paraId="77129273" w14:textId="77777777" w:rsidR="008033B1" w:rsidRPr="00834B27" w:rsidRDefault="008033B1" w:rsidP="00792754">
      <w:pPr>
        <w:pStyle w:val="Listparagraf"/>
        <w:numPr>
          <w:ilvl w:val="0"/>
          <w:numId w:val="35"/>
        </w:numPr>
        <w:tabs>
          <w:tab w:val="left" w:pos="720"/>
        </w:tabs>
        <w:spacing w:line="276" w:lineRule="auto"/>
        <w:contextualSpacing w:val="0"/>
        <w:jc w:val="both"/>
        <w:rPr>
          <w:rFonts w:ascii="Calibri" w:hAnsi="Calibri" w:cs="Calibri"/>
          <w:lang w:val="ro-RO"/>
        </w:rPr>
      </w:pPr>
      <w:r w:rsidRPr="00834B27">
        <w:rPr>
          <w:rFonts w:ascii="Calibri" w:hAnsi="Calibri" w:cs="Calibri"/>
          <w:lang w:val="ro-RO"/>
        </w:rPr>
        <w:t>Păstrarea actualelor cote, plafonare baza de calcul al CAS, CASS la 72 SM/an (6 SM/lună);</w:t>
      </w:r>
    </w:p>
    <w:p w14:paraId="1E8932A7" w14:textId="77777777" w:rsidR="008033B1" w:rsidRPr="00834B27" w:rsidRDefault="008033B1" w:rsidP="00792754">
      <w:pPr>
        <w:pStyle w:val="Listparagraf"/>
        <w:numPr>
          <w:ilvl w:val="0"/>
          <w:numId w:val="35"/>
        </w:numPr>
        <w:tabs>
          <w:tab w:val="left" w:pos="720"/>
        </w:tabs>
        <w:spacing w:line="276" w:lineRule="auto"/>
        <w:contextualSpacing w:val="0"/>
        <w:jc w:val="both"/>
        <w:rPr>
          <w:rFonts w:ascii="Calibri" w:hAnsi="Calibri" w:cs="Calibri"/>
          <w:lang w:val="ro-RO"/>
        </w:rPr>
      </w:pPr>
      <w:r w:rsidRPr="00834B27">
        <w:rPr>
          <w:rFonts w:ascii="Calibri" w:hAnsi="Calibri" w:cs="Calibri"/>
          <w:lang w:val="ro-RO"/>
        </w:rPr>
        <w:t>Păstrarea actualelor cote, plafonare baza de calcul al CAS, CASS la 84 SM/an (7 SM/lună);</w:t>
      </w:r>
    </w:p>
    <w:p w14:paraId="1068E14D" w14:textId="77777777" w:rsidR="008033B1" w:rsidRPr="00834B27" w:rsidRDefault="008033B1" w:rsidP="00792754">
      <w:pPr>
        <w:pStyle w:val="Listparagraf"/>
        <w:numPr>
          <w:ilvl w:val="0"/>
          <w:numId w:val="35"/>
        </w:numPr>
        <w:tabs>
          <w:tab w:val="left" w:pos="720"/>
        </w:tabs>
        <w:spacing w:line="276" w:lineRule="auto"/>
        <w:contextualSpacing w:val="0"/>
        <w:jc w:val="both"/>
        <w:rPr>
          <w:rFonts w:ascii="Calibri" w:hAnsi="Calibri" w:cs="Calibri"/>
          <w:lang w:val="ro-RO"/>
        </w:rPr>
      </w:pPr>
      <w:r w:rsidRPr="00834B27">
        <w:rPr>
          <w:rFonts w:ascii="Calibri" w:hAnsi="Calibri" w:cs="Calibri"/>
          <w:lang w:val="ro-RO"/>
        </w:rPr>
        <w:t>Păstrarea actualelor cote, plafonare baza de calcul al CAS, CASS la 96 SM/an (8 SM/lună);</w:t>
      </w:r>
    </w:p>
    <w:p w14:paraId="2297F608" w14:textId="36BB00AA" w:rsidR="008033B1" w:rsidRPr="00834B27" w:rsidRDefault="008033B1" w:rsidP="00792754">
      <w:pPr>
        <w:pStyle w:val="Listparagraf"/>
        <w:numPr>
          <w:ilvl w:val="0"/>
          <w:numId w:val="35"/>
        </w:numPr>
        <w:tabs>
          <w:tab w:val="left" w:pos="720"/>
        </w:tabs>
        <w:spacing w:line="276" w:lineRule="auto"/>
        <w:contextualSpacing w:val="0"/>
        <w:jc w:val="both"/>
        <w:rPr>
          <w:rFonts w:ascii="Calibri" w:hAnsi="Calibri" w:cs="Calibri"/>
          <w:lang w:val="ro-RO"/>
        </w:rPr>
      </w:pPr>
      <w:r w:rsidRPr="00834B27">
        <w:rPr>
          <w:rFonts w:ascii="Calibri" w:hAnsi="Calibri" w:cs="Calibri"/>
          <w:lang w:val="ro-RO"/>
        </w:rPr>
        <w:t>Revenirea la cota unică de impozit pe venit de 16%, coroborată cu scăderea CAS la 21,</w:t>
      </w:r>
      <w:r w:rsidR="00EF487E" w:rsidRPr="00834B27">
        <w:rPr>
          <w:rFonts w:ascii="Calibri" w:hAnsi="Calibri" w:cs="Calibri"/>
          <w:lang w:val="ro-RO"/>
        </w:rPr>
        <w:t>7</w:t>
      </w:r>
      <w:r w:rsidRPr="00834B27">
        <w:rPr>
          <w:rFonts w:ascii="Calibri" w:hAnsi="Calibri" w:cs="Calibri"/>
          <w:lang w:val="ro-RO"/>
        </w:rPr>
        <w:t>% și a CASS la 8,8%, plafonare a bazei de calcul al CAS și CASS la 72 SM/an (6 SM/lună);</w:t>
      </w:r>
    </w:p>
    <w:p w14:paraId="3AC64714" w14:textId="3F1548A8" w:rsidR="008033B1" w:rsidRPr="00834B27" w:rsidRDefault="008033B1" w:rsidP="00792754">
      <w:pPr>
        <w:pStyle w:val="Listparagraf"/>
        <w:numPr>
          <w:ilvl w:val="0"/>
          <w:numId w:val="35"/>
        </w:numPr>
        <w:tabs>
          <w:tab w:val="left" w:pos="720"/>
        </w:tabs>
        <w:spacing w:line="276" w:lineRule="auto"/>
        <w:contextualSpacing w:val="0"/>
        <w:jc w:val="both"/>
        <w:rPr>
          <w:rFonts w:ascii="Calibri" w:hAnsi="Calibri" w:cs="Calibri"/>
          <w:lang w:val="ro-RO"/>
        </w:rPr>
      </w:pPr>
      <w:r w:rsidRPr="00834B27">
        <w:rPr>
          <w:rFonts w:ascii="Calibri" w:hAnsi="Calibri" w:cs="Calibri"/>
          <w:lang w:val="ro-RO"/>
        </w:rPr>
        <w:t>Revenirea la cota unică de impozit pe venit de 16%, coroborată cu scăderea CAS la 21,</w:t>
      </w:r>
      <w:r w:rsidR="00EF487E" w:rsidRPr="00834B27">
        <w:rPr>
          <w:rFonts w:ascii="Calibri" w:hAnsi="Calibri" w:cs="Calibri"/>
          <w:lang w:val="ro-RO"/>
        </w:rPr>
        <w:t>7</w:t>
      </w:r>
      <w:r w:rsidRPr="00834B27">
        <w:rPr>
          <w:rFonts w:ascii="Calibri" w:hAnsi="Calibri" w:cs="Calibri"/>
          <w:lang w:val="ro-RO"/>
        </w:rPr>
        <w:t>% și a CASS la 8,8%, plafonare a bazei de calcul al CAS și CASS la 84 SM/an (7 SM/lună).</w:t>
      </w:r>
    </w:p>
    <w:p w14:paraId="63A1B09E" w14:textId="2E913923" w:rsidR="008033B1" w:rsidRPr="00834B27" w:rsidRDefault="008033B1" w:rsidP="00792754">
      <w:pPr>
        <w:pStyle w:val="Listparagraf"/>
        <w:numPr>
          <w:ilvl w:val="0"/>
          <w:numId w:val="35"/>
        </w:numPr>
        <w:tabs>
          <w:tab w:val="left" w:pos="720"/>
        </w:tabs>
        <w:spacing w:line="276" w:lineRule="auto"/>
        <w:contextualSpacing w:val="0"/>
        <w:jc w:val="both"/>
        <w:rPr>
          <w:rFonts w:ascii="Calibri" w:hAnsi="Calibri" w:cs="Calibri"/>
          <w:lang w:val="ro-RO"/>
        </w:rPr>
      </w:pPr>
      <w:r w:rsidRPr="00834B27">
        <w:rPr>
          <w:rFonts w:ascii="Calibri" w:hAnsi="Calibri" w:cs="Calibri"/>
          <w:lang w:val="ro-RO"/>
        </w:rPr>
        <w:t>Revenirea la cota unică de impozit pe venit de 16%, coroborată cu scăderea CAS la 21,</w:t>
      </w:r>
      <w:r w:rsidR="00EF487E" w:rsidRPr="00834B27">
        <w:rPr>
          <w:rFonts w:ascii="Calibri" w:hAnsi="Calibri" w:cs="Calibri"/>
          <w:lang w:val="ro-RO"/>
        </w:rPr>
        <w:t>7</w:t>
      </w:r>
      <w:r w:rsidRPr="00834B27">
        <w:rPr>
          <w:rFonts w:ascii="Calibri" w:hAnsi="Calibri" w:cs="Calibri"/>
          <w:lang w:val="ro-RO"/>
        </w:rPr>
        <w:t>% și a CASS la 8,8%, plafonare a bazei de calcul al CAS si CASS la 96 SM/an (8 SM/lună)</w:t>
      </w:r>
    </w:p>
    <w:p w14:paraId="51A9656F" w14:textId="631317D7" w:rsidR="00835222" w:rsidRPr="00834B27" w:rsidRDefault="008033B1" w:rsidP="00722916">
      <w:pPr>
        <w:tabs>
          <w:tab w:val="left" w:pos="720"/>
        </w:tabs>
        <w:spacing w:line="276" w:lineRule="auto"/>
        <w:jc w:val="both"/>
        <w:rPr>
          <w:rFonts w:ascii="Calibri" w:hAnsi="Calibri" w:cs="Calibri"/>
          <w:lang w:val="ro-RO"/>
        </w:rPr>
      </w:pPr>
      <w:r w:rsidRPr="00834B27">
        <w:rPr>
          <w:rFonts w:ascii="Calibri" w:hAnsi="Calibri" w:cs="Calibri"/>
          <w:lang w:val="ro-RO"/>
        </w:rPr>
        <w:t>Având în vedere că deja există decizia politică de a majora, începând cu 1 iulie 2026, salariul minim de la 4.050 lei la 4.325 lei/lună, la calculul impactului plafonării în diversele scenarii am folosit valoarea de 4.325 lei/lună.</w:t>
      </w:r>
    </w:p>
    <w:p w14:paraId="6E868DE9" w14:textId="77777777" w:rsidR="00835222" w:rsidRPr="00834B27" w:rsidRDefault="00835222">
      <w:pPr>
        <w:rPr>
          <w:rFonts w:ascii="Calibri" w:hAnsi="Calibri" w:cs="Calibri"/>
          <w:lang w:val="ro-RO"/>
        </w:rPr>
      </w:pPr>
      <w:r w:rsidRPr="00834B27">
        <w:rPr>
          <w:rFonts w:ascii="Calibri" w:hAnsi="Calibri" w:cs="Calibri"/>
          <w:lang w:val="ro-RO"/>
        </w:rPr>
        <w:br w:type="page"/>
      </w:r>
    </w:p>
    <w:p w14:paraId="5BF28C4E" w14:textId="50CB478C" w:rsidR="0094354E" w:rsidRPr="00834B27" w:rsidRDefault="0094354E" w:rsidP="005752DC">
      <w:pPr>
        <w:pStyle w:val="Listparagraf"/>
        <w:keepNext/>
        <w:numPr>
          <w:ilvl w:val="0"/>
          <w:numId w:val="54"/>
        </w:numPr>
        <w:tabs>
          <w:tab w:val="left" w:pos="720"/>
        </w:tabs>
        <w:spacing w:line="276" w:lineRule="auto"/>
        <w:ind w:hanging="720"/>
        <w:jc w:val="both"/>
        <w:rPr>
          <w:rFonts w:ascii="Calibri" w:hAnsi="Calibri" w:cs="Calibri"/>
          <w:b/>
          <w:bCs/>
          <w:lang w:val="ro-RO"/>
        </w:rPr>
      </w:pPr>
      <w:r w:rsidRPr="00834B27">
        <w:rPr>
          <w:rFonts w:ascii="Calibri" w:hAnsi="Calibri" w:cs="Calibri"/>
          <w:b/>
          <w:bCs/>
          <w:lang w:val="ro-RO"/>
        </w:rPr>
        <w:lastRenderedPageBreak/>
        <w:t>Calcul impact</w:t>
      </w:r>
      <w:r w:rsidR="00DF79DB" w:rsidRPr="00834B27">
        <w:rPr>
          <w:rFonts w:ascii="Calibri" w:hAnsi="Calibri" w:cs="Calibri"/>
          <w:b/>
          <w:bCs/>
          <w:lang w:val="ro-RO"/>
        </w:rPr>
        <w:t xml:space="preserve"> </w:t>
      </w:r>
    </w:p>
    <w:tbl>
      <w:tblPr>
        <w:tblW w:w="10160" w:type="dxa"/>
        <w:tblLook w:val="04A0" w:firstRow="1" w:lastRow="0" w:firstColumn="1" w:lastColumn="0" w:noHBand="0" w:noVBand="1"/>
      </w:tblPr>
      <w:tblGrid>
        <w:gridCol w:w="4514"/>
        <w:gridCol w:w="1882"/>
        <w:gridCol w:w="1882"/>
        <w:gridCol w:w="1882"/>
      </w:tblGrid>
      <w:tr w:rsidR="00A55427" w:rsidRPr="00834B27" w14:paraId="011BF1DE" w14:textId="77777777" w:rsidTr="00A55427">
        <w:trPr>
          <w:trHeight w:val="285"/>
        </w:trPr>
        <w:tc>
          <w:tcPr>
            <w:tcW w:w="10160" w:type="dxa"/>
            <w:gridSpan w:val="4"/>
            <w:tcBorders>
              <w:top w:val="single" w:sz="4" w:space="0" w:color="auto"/>
              <w:left w:val="single" w:sz="4" w:space="0" w:color="auto"/>
              <w:bottom w:val="single" w:sz="4" w:space="0" w:color="auto"/>
              <w:right w:val="single" w:sz="4" w:space="0" w:color="auto"/>
            </w:tcBorders>
            <w:noWrap/>
            <w:vAlign w:val="bottom"/>
            <w:hideMark/>
          </w:tcPr>
          <w:p w14:paraId="52EA49BE" w14:textId="77777777" w:rsidR="00A55427" w:rsidRPr="00834B27" w:rsidRDefault="00A55427" w:rsidP="00A55427">
            <w:pPr>
              <w:spacing w:after="0" w:line="240" w:lineRule="auto"/>
              <w:jc w:val="center"/>
              <w:rPr>
                <w:rFonts w:ascii="Aptos Narrow" w:eastAsia="Times New Roman" w:hAnsi="Aptos Narrow" w:cs="Times New Roman"/>
                <w:b/>
                <w:bCs/>
                <w:color w:val="000000"/>
                <w:kern w:val="0"/>
                <w:sz w:val="22"/>
                <w:szCs w:val="22"/>
                <w14:ligatures w14:val="none"/>
              </w:rPr>
            </w:pPr>
            <w:r w:rsidRPr="00834B27">
              <w:rPr>
                <w:rFonts w:ascii="Aptos Narrow" w:eastAsia="Times New Roman" w:hAnsi="Aptos Narrow" w:cs="Times New Roman"/>
                <w:b/>
                <w:bCs/>
                <w:color w:val="000000"/>
                <w:kern w:val="0"/>
                <w:sz w:val="22"/>
                <w:szCs w:val="22"/>
                <w14:ligatures w14:val="none"/>
              </w:rPr>
              <w:t>CENTRALIZATOR</w:t>
            </w:r>
          </w:p>
        </w:tc>
      </w:tr>
      <w:tr w:rsidR="00A55427" w:rsidRPr="00834B27" w14:paraId="60968DA2" w14:textId="77777777" w:rsidTr="00A55427">
        <w:trPr>
          <w:trHeight w:val="285"/>
        </w:trPr>
        <w:tc>
          <w:tcPr>
            <w:tcW w:w="4514" w:type="dxa"/>
            <w:tcBorders>
              <w:top w:val="nil"/>
              <w:left w:val="single" w:sz="4" w:space="0" w:color="auto"/>
              <w:bottom w:val="single" w:sz="4" w:space="0" w:color="auto"/>
              <w:right w:val="single" w:sz="4" w:space="0" w:color="auto"/>
            </w:tcBorders>
            <w:noWrap/>
            <w:vAlign w:val="bottom"/>
            <w:hideMark/>
          </w:tcPr>
          <w:p w14:paraId="281A9516" w14:textId="77777777" w:rsidR="00A55427" w:rsidRPr="00834B27" w:rsidRDefault="00A55427" w:rsidP="00A55427">
            <w:pPr>
              <w:spacing w:after="0" w:line="240" w:lineRule="auto"/>
              <w:rPr>
                <w:rFonts w:ascii="Aptos Narrow" w:eastAsia="Times New Roman" w:hAnsi="Aptos Narrow" w:cs="Times New Roman"/>
                <w:b/>
                <w:bCs/>
                <w:color w:val="000000"/>
                <w:kern w:val="0"/>
                <w:sz w:val="22"/>
                <w:szCs w:val="22"/>
                <w14:ligatures w14:val="none"/>
              </w:rPr>
            </w:pPr>
            <w:r w:rsidRPr="00834B27">
              <w:rPr>
                <w:rFonts w:ascii="Aptos Narrow" w:eastAsia="Times New Roman" w:hAnsi="Aptos Narrow" w:cs="Times New Roman"/>
                <w:b/>
                <w:bCs/>
                <w:color w:val="000000"/>
                <w:kern w:val="0"/>
                <w:sz w:val="22"/>
                <w:szCs w:val="22"/>
                <w14:ligatures w14:val="none"/>
              </w:rPr>
              <w:t> </w:t>
            </w:r>
          </w:p>
        </w:tc>
        <w:tc>
          <w:tcPr>
            <w:tcW w:w="1882" w:type="dxa"/>
            <w:tcBorders>
              <w:top w:val="nil"/>
              <w:left w:val="nil"/>
              <w:bottom w:val="single" w:sz="4" w:space="0" w:color="auto"/>
              <w:right w:val="single" w:sz="4" w:space="0" w:color="auto"/>
            </w:tcBorders>
            <w:noWrap/>
            <w:vAlign w:val="bottom"/>
            <w:hideMark/>
          </w:tcPr>
          <w:p w14:paraId="1ED632C1" w14:textId="77777777" w:rsidR="00A55427" w:rsidRPr="00834B27" w:rsidRDefault="00A55427" w:rsidP="00A55427">
            <w:pPr>
              <w:spacing w:after="0" w:line="240" w:lineRule="auto"/>
              <w:rPr>
                <w:rFonts w:ascii="Aptos Narrow" w:eastAsia="Times New Roman" w:hAnsi="Aptos Narrow" w:cs="Times New Roman"/>
                <w:b/>
                <w:bCs/>
                <w:color w:val="000000"/>
                <w:kern w:val="0"/>
                <w:sz w:val="22"/>
                <w:szCs w:val="22"/>
                <w14:ligatures w14:val="none"/>
              </w:rPr>
            </w:pPr>
            <w:r w:rsidRPr="00834B27">
              <w:rPr>
                <w:rFonts w:ascii="Aptos Narrow" w:eastAsia="Times New Roman" w:hAnsi="Aptos Narrow" w:cs="Times New Roman"/>
                <w:b/>
                <w:bCs/>
                <w:color w:val="000000"/>
                <w:kern w:val="0"/>
                <w:sz w:val="22"/>
                <w:szCs w:val="22"/>
                <w14:ligatures w14:val="none"/>
              </w:rPr>
              <w:t> </w:t>
            </w:r>
          </w:p>
        </w:tc>
        <w:tc>
          <w:tcPr>
            <w:tcW w:w="1882" w:type="dxa"/>
            <w:tcBorders>
              <w:top w:val="nil"/>
              <w:left w:val="nil"/>
              <w:bottom w:val="single" w:sz="4" w:space="0" w:color="auto"/>
              <w:right w:val="single" w:sz="4" w:space="0" w:color="auto"/>
            </w:tcBorders>
            <w:noWrap/>
            <w:vAlign w:val="bottom"/>
            <w:hideMark/>
          </w:tcPr>
          <w:p w14:paraId="1A65D937" w14:textId="77777777" w:rsidR="00A55427" w:rsidRPr="00834B27" w:rsidRDefault="00A55427" w:rsidP="00A55427">
            <w:pPr>
              <w:spacing w:after="0" w:line="240" w:lineRule="auto"/>
              <w:rPr>
                <w:rFonts w:ascii="Aptos Narrow" w:eastAsia="Times New Roman" w:hAnsi="Aptos Narrow" w:cs="Times New Roman"/>
                <w:b/>
                <w:bCs/>
                <w:color w:val="000000"/>
                <w:kern w:val="0"/>
                <w:sz w:val="22"/>
                <w:szCs w:val="22"/>
                <w14:ligatures w14:val="none"/>
              </w:rPr>
            </w:pPr>
            <w:r w:rsidRPr="00834B27">
              <w:rPr>
                <w:rFonts w:ascii="Aptos Narrow" w:eastAsia="Times New Roman" w:hAnsi="Aptos Narrow" w:cs="Times New Roman"/>
                <w:b/>
                <w:bCs/>
                <w:color w:val="000000"/>
                <w:kern w:val="0"/>
                <w:sz w:val="22"/>
                <w:szCs w:val="22"/>
                <w14:ligatures w14:val="none"/>
              </w:rPr>
              <w:t> </w:t>
            </w:r>
          </w:p>
        </w:tc>
        <w:tc>
          <w:tcPr>
            <w:tcW w:w="1882" w:type="dxa"/>
            <w:tcBorders>
              <w:top w:val="nil"/>
              <w:left w:val="nil"/>
              <w:bottom w:val="single" w:sz="4" w:space="0" w:color="auto"/>
              <w:right w:val="single" w:sz="4" w:space="0" w:color="auto"/>
            </w:tcBorders>
            <w:noWrap/>
            <w:vAlign w:val="bottom"/>
            <w:hideMark/>
          </w:tcPr>
          <w:p w14:paraId="504ACC90" w14:textId="77777777" w:rsidR="00A55427" w:rsidRPr="00834B27" w:rsidRDefault="00A55427" w:rsidP="00A55427">
            <w:pPr>
              <w:spacing w:after="0" w:line="240" w:lineRule="auto"/>
              <w:rPr>
                <w:rFonts w:ascii="Aptos Narrow" w:eastAsia="Times New Roman" w:hAnsi="Aptos Narrow" w:cs="Times New Roman"/>
                <w:b/>
                <w:bCs/>
                <w:color w:val="000000"/>
                <w:kern w:val="0"/>
                <w:sz w:val="22"/>
                <w:szCs w:val="22"/>
                <w14:ligatures w14:val="none"/>
              </w:rPr>
            </w:pPr>
            <w:r w:rsidRPr="00834B27">
              <w:rPr>
                <w:rFonts w:ascii="Aptos Narrow" w:eastAsia="Times New Roman" w:hAnsi="Aptos Narrow" w:cs="Times New Roman"/>
                <w:b/>
                <w:bCs/>
                <w:color w:val="000000"/>
                <w:kern w:val="0"/>
                <w:sz w:val="22"/>
                <w:szCs w:val="22"/>
                <w14:ligatures w14:val="none"/>
              </w:rPr>
              <w:t> </w:t>
            </w:r>
          </w:p>
        </w:tc>
      </w:tr>
      <w:tr w:rsidR="00A55427" w:rsidRPr="00834B27" w14:paraId="46F33A93" w14:textId="77777777" w:rsidTr="00A55427">
        <w:trPr>
          <w:trHeight w:val="285"/>
        </w:trPr>
        <w:tc>
          <w:tcPr>
            <w:tcW w:w="4514" w:type="dxa"/>
            <w:tcBorders>
              <w:top w:val="nil"/>
              <w:left w:val="single" w:sz="4" w:space="0" w:color="auto"/>
              <w:bottom w:val="single" w:sz="4" w:space="0" w:color="auto"/>
              <w:right w:val="single" w:sz="4" w:space="0" w:color="auto"/>
            </w:tcBorders>
            <w:noWrap/>
            <w:vAlign w:val="bottom"/>
            <w:hideMark/>
          </w:tcPr>
          <w:p w14:paraId="0AC475CB" w14:textId="77777777" w:rsidR="00A55427" w:rsidRPr="00834B27" w:rsidRDefault="00A55427" w:rsidP="00A55427">
            <w:pPr>
              <w:spacing w:after="0" w:line="240" w:lineRule="auto"/>
              <w:rPr>
                <w:rFonts w:ascii="Aptos Narrow" w:eastAsia="Times New Roman" w:hAnsi="Aptos Narrow" w:cs="Times New Roman"/>
                <w:b/>
                <w:bCs/>
                <w:color w:val="000000"/>
                <w:kern w:val="0"/>
                <w:sz w:val="22"/>
                <w:szCs w:val="22"/>
                <w14:ligatures w14:val="none"/>
              </w:rPr>
            </w:pPr>
            <w:proofErr w:type="spellStart"/>
            <w:r w:rsidRPr="00834B27">
              <w:rPr>
                <w:rFonts w:ascii="Aptos Narrow" w:eastAsia="Times New Roman" w:hAnsi="Aptos Narrow" w:cs="Times New Roman"/>
                <w:b/>
                <w:bCs/>
                <w:color w:val="000000"/>
                <w:kern w:val="0"/>
                <w:sz w:val="22"/>
                <w:szCs w:val="22"/>
                <w14:ligatures w14:val="none"/>
              </w:rPr>
              <w:t>Pastrare</w:t>
            </w:r>
            <w:proofErr w:type="spellEnd"/>
            <w:r w:rsidRPr="00834B27">
              <w:rPr>
                <w:rFonts w:ascii="Aptos Narrow" w:eastAsia="Times New Roman" w:hAnsi="Aptos Narrow" w:cs="Times New Roman"/>
                <w:b/>
                <w:bCs/>
                <w:color w:val="000000"/>
                <w:kern w:val="0"/>
                <w:sz w:val="22"/>
                <w:szCs w:val="22"/>
                <w14:ligatures w14:val="none"/>
              </w:rPr>
              <w:t xml:space="preserve"> cote 10/10/25</w:t>
            </w:r>
          </w:p>
        </w:tc>
        <w:tc>
          <w:tcPr>
            <w:tcW w:w="1882" w:type="dxa"/>
            <w:tcBorders>
              <w:top w:val="nil"/>
              <w:left w:val="nil"/>
              <w:bottom w:val="single" w:sz="4" w:space="0" w:color="auto"/>
              <w:right w:val="single" w:sz="4" w:space="0" w:color="auto"/>
            </w:tcBorders>
            <w:noWrap/>
            <w:vAlign w:val="bottom"/>
            <w:hideMark/>
          </w:tcPr>
          <w:p w14:paraId="2DE79C7A" w14:textId="23614D79" w:rsidR="00A55427" w:rsidRPr="00834B27" w:rsidRDefault="00A55427" w:rsidP="00A55427">
            <w:pPr>
              <w:spacing w:after="0" w:line="240" w:lineRule="auto"/>
              <w:rPr>
                <w:rFonts w:ascii="Aptos Narrow" w:eastAsia="Times New Roman" w:hAnsi="Aptos Narrow" w:cs="Times New Roman"/>
                <w:b/>
                <w:bCs/>
                <w:color w:val="000000"/>
                <w:kern w:val="0"/>
                <w:sz w:val="22"/>
                <w:szCs w:val="22"/>
                <w14:ligatures w14:val="none"/>
              </w:rPr>
            </w:pPr>
            <w:proofErr w:type="spellStart"/>
            <w:r w:rsidRPr="00834B27">
              <w:rPr>
                <w:rFonts w:ascii="Aptos Narrow" w:eastAsia="Times New Roman" w:hAnsi="Aptos Narrow" w:cs="Times New Roman"/>
                <w:b/>
                <w:bCs/>
                <w:color w:val="000000"/>
                <w:kern w:val="0"/>
                <w:sz w:val="22"/>
                <w:szCs w:val="22"/>
                <w14:ligatures w14:val="none"/>
              </w:rPr>
              <w:t>Plafonare</w:t>
            </w:r>
            <w:proofErr w:type="spellEnd"/>
            <w:r w:rsidRPr="00834B27">
              <w:rPr>
                <w:rFonts w:ascii="Aptos Narrow" w:eastAsia="Times New Roman" w:hAnsi="Aptos Narrow" w:cs="Times New Roman"/>
                <w:b/>
                <w:bCs/>
                <w:color w:val="000000"/>
                <w:kern w:val="0"/>
                <w:sz w:val="22"/>
                <w:szCs w:val="22"/>
                <w14:ligatures w14:val="none"/>
              </w:rPr>
              <w:t xml:space="preserve"> 72 S</w:t>
            </w:r>
            <w:r w:rsidR="00CF5437" w:rsidRPr="00834B27">
              <w:rPr>
                <w:rFonts w:ascii="Aptos Narrow" w:eastAsia="Times New Roman" w:hAnsi="Aptos Narrow" w:cs="Times New Roman"/>
                <w:b/>
                <w:bCs/>
                <w:color w:val="000000"/>
                <w:kern w:val="0"/>
                <w:sz w:val="22"/>
                <w:szCs w:val="22"/>
                <w14:ligatures w14:val="none"/>
              </w:rPr>
              <w:t>M</w:t>
            </w:r>
          </w:p>
        </w:tc>
        <w:tc>
          <w:tcPr>
            <w:tcW w:w="1882" w:type="dxa"/>
            <w:tcBorders>
              <w:top w:val="nil"/>
              <w:left w:val="nil"/>
              <w:bottom w:val="single" w:sz="4" w:space="0" w:color="auto"/>
              <w:right w:val="single" w:sz="4" w:space="0" w:color="auto"/>
            </w:tcBorders>
            <w:noWrap/>
            <w:vAlign w:val="bottom"/>
            <w:hideMark/>
          </w:tcPr>
          <w:p w14:paraId="296AC2D9" w14:textId="66E5EC2D" w:rsidR="00A55427" w:rsidRPr="00834B27" w:rsidRDefault="00A55427" w:rsidP="00A55427">
            <w:pPr>
              <w:spacing w:after="0" w:line="240" w:lineRule="auto"/>
              <w:rPr>
                <w:rFonts w:ascii="Aptos Narrow" w:eastAsia="Times New Roman" w:hAnsi="Aptos Narrow" w:cs="Times New Roman"/>
                <w:b/>
                <w:bCs/>
                <w:color w:val="000000"/>
                <w:kern w:val="0"/>
                <w:sz w:val="22"/>
                <w:szCs w:val="22"/>
                <w14:ligatures w14:val="none"/>
              </w:rPr>
            </w:pPr>
            <w:proofErr w:type="spellStart"/>
            <w:r w:rsidRPr="00834B27">
              <w:rPr>
                <w:rFonts w:ascii="Aptos Narrow" w:eastAsia="Times New Roman" w:hAnsi="Aptos Narrow" w:cs="Times New Roman"/>
                <w:b/>
                <w:bCs/>
                <w:color w:val="000000"/>
                <w:kern w:val="0"/>
                <w:sz w:val="22"/>
                <w:szCs w:val="22"/>
                <w14:ligatures w14:val="none"/>
              </w:rPr>
              <w:t>Plafonare</w:t>
            </w:r>
            <w:proofErr w:type="spellEnd"/>
            <w:r w:rsidRPr="00834B27">
              <w:rPr>
                <w:rFonts w:ascii="Aptos Narrow" w:eastAsia="Times New Roman" w:hAnsi="Aptos Narrow" w:cs="Times New Roman"/>
                <w:b/>
                <w:bCs/>
                <w:color w:val="000000"/>
                <w:kern w:val="0"/>
                <w:sz w:val="22"/>
                <w:szCs w:val="22"/>
                <w14:ligatures w14:val="none"/>
              </w:rPr>
              <w:t xml:space="preserve"> 84 S</w:t>
            </w:r>
            <w:r w:rsidR="00424626" w:rsidRPr="00834B27">
              <w:rPr>
                <w:rFonts w:ascii="Aptos Narrow" w:eastAsia="Times New Roman" w:hAnsi="Aptos Narrow" w:cs="Times New Roman"/>
                <w:b/>
                <w:bCs/>
                <w:color w:val="000000"/>
                <w:kern w:val="0"/>
                <w:sz w:val="22"/>
                <w:szCs w:val="22"/>
                <w14:ligatures w14:val="none"/>
              </w:rPr>
              <w:t>M</w:t>
            </w:r>
          </w:p>
        </w:tc>
        <w:tc>
          <w:tcPr>
            <w:tcW w:w="1882" w:type="dxa"/>
            <w:tcBorders>
              <w:top w:val="nil"/>
              <w:left w:val="nil"/>
              <w:bottom w:val="single" w:sz="4" w:space="0" w:color="auto"/>
              <w:right w:val="single" w:sz="4" w:space="0" w:color="auto"/>
            </w:tcBorders>
            <w:noWrap/>
            <w:vAlign w:val="bottom"/>
            <w:hideMark/>
          </w:tcPr>
          <w:p w14:paraId="7FC1C017" w14:textId="1DA276A8" w:rsidR="00A55427" w:rsidRPr="00834B27" w:rsidRDefault="00A55427" w:rsidP="00A55427">
            <w:pPr>
              <w:spacing w:after="0" w:line="240" w:lineRule="auto"/>
              <w:rPr>
                <w:rFonts w:ascii="Aptos Narrow" w:eastAsia="Times New Roman" w:hAnsi="Aptos Narrow" w:cs="Times New Roman"/>
                <w:b/>
                <w:bCs/>
                <w:color w:val="000000"/>
                <w:kern w:val="0"/>
                <w:sz w:val="22"/>
                <w:szCs w:val="22"/>
                <w14:ligatures w14:val="none"/>
              </w:rPr>
            </w:pPr>
            <w:proofErr w:type="spellStart"/>
            <w:r w:rsidRPr="00834B27">
              <w:rPr>
                <w:rFonts w:ascii="Aptos Narrow" w:eastAsia="Times New Roman" w:hAnsi="Aptos Narrow" w:cs="Times New Roman"/>
                <w:b/>
                <w:bCs/>
                <w:color w:val="000000"/>
                <w:kern w:val="0"/>
                <w:sz w:val="22"/>
                <w:szCs w:val="22"/>
                <w14:ligatures w14:val="none"/>
              </w:rPr>
              <w:t>Plafonare</w:t>
            </w:r>
            <w:proofErr w:type="spellEnd"/>
            <w:r w:rsidRPr="00834B27">
              <w:rPr>
                <w:rFonts w:ascii="Aptos Narrow" w:eastAsia="Times New Roman" w:hAnsi="Aptos Narrow" w:cs="Times New Roman"/>
                <w:b/>
                <w:bCs/>
                <w:color w:val="000000"/>
                <w:kern w:val="0"/>
                <w:sz w:val="22"/>
                <w:szCs w:val="22"/>
                <w14:ligatures w14:val="none"/>
              </w:rPr>
              <w:t xml:space="preserve"> 96 S</w:t>
            </w:r>
            <w:r w:rsidR="00424626" w:rsidRPr="00834B27">
              <w:rPr>
                <w:rFonts w:ascii="Aptos Narrow" w:eastAsia="Times New Roman" w:hAnsi="Aptos Narrow" w:cs="Times New Roman"/>
                <w:b/>
                <w:bCs/>
                <w:color w:val="000000"/>
                <w:kern w:val="0"/>
                <w:sz w:val="22"/>
                <w:szCs w:val="22"/>
                <w14:ligatures w14:val="none"/>
              </w:rPr>
              <w:t>M</w:t>
            </w:r>
          </w:p>
        </w:tc>
      </w:tr>
      <w:tr w:rsidR="00A55427" w:rsidRPr="00834B27" w14:paraId="7E6140E5" w14:textId="77777777" w:rsidTr="00A55427">
        <w:trPr>
          <w:trHeight w:val="285"/>
        </w:trPr>
        <w:tc>
          <w:tcPr>
            <w:tcW w:w="4514" w:type="dxa"/>
            <w:tcBorders>
              <w:top w:val="nil"/>
              <w:left w:val="single" w:sz="4" w:space="0" w:color="auto"/>
              <w:bottom w:val="single" w:sz="4" w:space="0" w:color="auto"/>
              <w:right w:val="single" w:sz="4" w:space="0" w:color="auto"/>
            </w:tcBorders>
            <w:noWrap/>
            <w:vAlign w:val="bottom"/>
            <w:hideMark/>
          </w:tcPr>
          <w:p w14:paraId="7C1AFBEE" w14:textId="77777777" w:rsidR="00A55427" w:rsidRPr="00834B27" w:rsidRDefault="00A55427" w:rsidP="00A55427">
            <w:pPr>
              <w:spacing w:after="0" w:line="240" w:lineRule="auto"/>
              <w:rPr>
                <w:rFonts w:ascii="Aptos Narrow" w:eastAsia="Times New Roman" w:hAnsi="Aptos Narrow" w:cs="Times New Roman"/>
                <w:color w:val="000000"/>
                <w:kern w:val="0"/>
                <w:sz w:val="22"/>
                <w:szCs w:val="22"/>
                <w14:ligatures w14:val="none"/>
              </w:rPr>
            </w:pPr>
            <w:r w:rsidRPr="00834B27">
              <w:rPr>
                <w:rFonts w:ascii="Aptos Narrow" w:eastAsia="Times New Roman" w:hAnsi="Aptos Narrow" w:cs="Times New Roman"/>
                <w:color w:val="000000"/>
                <w:kern w:val="0"/>
                <w:sz w:val="22"/>
                <w:szCs w:val="22"/>
                <w14:ligatures w14:val="none"/>
              </w:rPr>
              <w:t> </w:t>
            </w:r>
          </w:p>
        </w:tc>
        <w:tc>
          <w:tcPr>
            <w:tcW w:w="1882" w:type="dxa"/>
            <w:tcBorders>
              <w:top w:val="nil"/>
              <w:left w:val="nil"/>
              <w:bottom w:val="single" w:sz="4" w:space="0" w:color="auto"/>
              <w:right w:val="single" w:sz="4" w:space="0" w:color="auto"/>
            </w:tcBorders>
            <w:noWrap/>
            <w:vAlign w:val="bottom"/>
            <w:hideMark/>
          </w:tcPr>
          <w:p w14:paraId="323FD432" w14:textId="77777777" w:rsidR="00A55427" w:rsidRPr="00834B27" w:rsidRDefault="00A55427" w:rsidP="00A55427">
            <w:pPr>
              <w:spacing w:after="0" w:line="240" w:lineRule="auto"/>
              <w:rPr>
                <w:rFonts w:ascii="Aptos Narrow" w:eastAsia="Times New Roman" w:hAnsi="Aptos Narrow" w:cs="Times New Roman"/>
                <w:color w:val="000000"/>
                <w:kern w:val="0"/>
                <w:sz w:val="22"/>
                <w:szCs w:val="22"/>
                <w14:ligatures w14:val="none"/>
              </w:rPr>
            </w:pPr>
            <w:r w:rsidRPr="00834B27">
              <w:rPr>
                <w:rFonts w:ascii="Aptos Narrow" w:eastAsia="Times New Roman" w:hAnsi="Aptos Narrow" w:cs="Times New Roman"/>
                <w:color w:val="000000"/>
                <w:kern w:val="0"/>
                <w:sz w:val="22"/>
                <w:szCs w:val="22"/>
                <w14:ligatures w14:val="none"/>
              </w:rPr>
              <w:t> </w:t>
            </w:r>
          </w:p>
        </w:tc>
        <w:tc>
          <w:tcPr>
            <w:tcW w:w="1882" w:type="dxa"/>
            <w:tcBorders>
              <w:top w:val="nil"/>
              <w:left w:val="nil"/>
              <w:bottom w:val="single" w:sz="4" w:space="0" w:color="auto"/>
              <w:right w:val="single" w:sz="4" w:space="0" w:color="auto"/>
            </w:tcBorders>
            <w:noWrap/>
            <w:vAlign w:val="bottom"/>
            <w:hideMark/>
          </w:tcPr>
          <w:p w14:paraId="55BC4A05" w14:textId="77777777" w:rsidR="00A55427" w:rsidRPr="00834B27" w:rsidRDefault="00A55427" w:rsidP="00A55427">
            <w:pPr>
              <w:spacing w:after="0" w:line="240" w:lineRule="auto"/>
              <w:rPr>
                <w:rFonts w:ascii="Aptos Narrow" w:eastAsia="Times New Roman" w:hAnsi="Aptos Narrow" w:cs="Times New Roman"/>
                <w:color w:val="000000"/>
                <w:kern w:val="0"/>
                <w:sz w:val="22"/>
                <w:szCs w:val="22"/>
                <w14:ligatures w14:val="none"/>
              </w:rPr>
            </w:pPr>
            <w:r w:rsidRPr="00834B27">
              <w:rPr>
                <w:rFonts w:ascii="Aptos Narrow" w:eastAsia="Times New Roman" w:hAnsi="Aptos Narrow" w:cs="Times New Roman"/>
                <w:color w:val="000000"/>
                <w:kern w:val="0"/>
                <w:sz w:val="22"/>
                <w:szCs w:val="22"/>
                <w14:ligatures w14:val="none"/>
              </w:rPr>
              <w:t> </w:t>
            </w:r>
          </w:p>
        </w:tc>
        <w:tc>
          <w:tcPr>
            <w:tcW w:w="1882" w:type="dxa"/>
            <w:tcBorders>
              <w:top w:val="nil"/>
              <w:left w:val="nil"/>
              <w:bottom w:val="single" w:sz="4" w:space="0" w:color="auto"/>
              <w:right w:val="single" w:sz="4" w:space="0" w:color="auto"/>
            </w:tcBorders>
            <w:noWrap/>
            <w:vAlign w:val="bottom"/>
            <w:hideMark/>
          </w:tcPr>
          <w:p w14:paraId="33708313" w14:textId="77777777" w:rsidR="00A55427" w:rsidRPr="00834B27" w:rsidRDefault="00A55427" w:rsidP="00A55427">
            <w:pPr>
              <w:spacing w:after="0" w:line="240" w:lineRule="auto"/>
              <w:rPr>
                <w:rFonts w:ascii="Aptos Narrow" w:eastAsia="Times New Roman" w:hAnsi="Aptos Narrow" w:cs="Times New Roman"/>
                <w:color w:val="000000"/>
                <w:kern w:val="0"/>
                <w:sz w:val="22"/>
                <w:szCs w:val="22"/>
                <w14:ligatures w14:val="none"/>
              </w:rPr>
            </w:pPr>
            <w:r w:rsidRPr="00834B27">
              <w:rPr>
                <w:rFonts w:ascii="Aptos Narrow" w:eastAsia="Times New Roman" w:hAnsi="Aptos Narrow" w:cs="Times New Roman"/>
                <w:color w:val="000000"/>
                <w:kern w:val="0"/>
                <w:sz w:val="22"/>
                <w:szCs w:val="22"/>
                <w14:ligatures w14:val="none"/>
              </w:rPr>
              <w:t> </w:t>
            </w:r>
          </w:p>
        </w:tc>
      </w:tr>
      <w:tr w:rsidR="00A55427" w:rsidRPr="00834B27" w14:paraId="3BDC54FC" w14:textId="77777777" w:rsidTr="00A55427">
        <w:trPr>
          <w:trHeight w:val="285"/>
        </w:trPr>
        <w:tc>
          <w:tcPr>
            <w:tcW w:w="4514" w:type="dxa"/>
            <w:tcBorders>
              <w:top w:val="nil"/>
              <w:left w:val="single" w:sz="4" w:space="0" w:color="auto"/>
              <w:bottom w:val="single" w:sz="4" w:space="0" w:color="auto"/>
              <w:right w:val="single" w:sz="4" w:space="0" w:color="auto"/>
            </w:tcBorders>
            <w:noWrap/>
            <w:vAlign w:val="bottom"/>
            <w:hideMark/>
          </w:tcPr>
          <w:p w14:paraId="74039EF4" w14:textId="77777777" w:rsidR="00A55427" w:rsidRPr="00834B27" w:rsidRDefault="00A55427" w:rsidP="00A55427">
            <w:pPr>
              <w:spacing w:after="0" w:line="240" w:lineRule="auto"/>
              <w:rPr>
                <w:rFonts w:ascii="Aptos Narrow" w:eastAsia="Times New Roman" w:hAnsi="Aptos Narrow" w:cs="Times New Roman"/>
                <w:color w:val="000000"/>
                <w:kern w:val="0"/>
                <w:sz w:val="22"/>
                <w:szCs w:val="22"/>
                <w14:ligatures w14:val="none"/>
              </w:rPr>
            </w:pPr>
            <w:proofErr w:type="spellStart"/>
            <w:r w:rsidRPr="00834B27">
              <w:rPr>
                <w:rFonts w:ascii="Aptos Narrow" w:eastAsia="Times New Roman" w:hAnsi="Aptos Narrow" w:cs="Times New Roman"/>
                <w:color w:val="000000"/>
                <w:kern w:val="0"/>
                <w:sz w:val="22"/>
                <w:szCs w:val="22"/>
                <w14:ligatures w14:val="none"/>
              </w:rPr>
              <w:t>Salarii</w:t>
            </w:r>
            <w:proofErr w:type="spellEnd"/>
          </w:p>
        </w:tc>
        <w:tc>
          <w:tcPr>
            <w:tcW w:w="1882" w:type="dxa"/>
            <w:tcBorders>
              <w:top w:val="nil"/>
              <w:left w:val="nil"/>
              <w:bottom w:val="single" w:sz="4" w:space="0" w:color="auto"/>
              <w:right w:val="single" w:sz="4" w:space="0" w:color="auto"/>
            </w:tcBorders>
            <w:noWrap/>
            <w:vAlign w:val="bottom"/>
            <w:hideMark/>
          </w:tcPr>
          <w:p w14:paraId="49F5E9F4" w14:textId="77777777" w:rsidR="00A55427" w:rsidRPr="00834B27" w:rsidRDefault="00A55427" w:rsidP="00A55427">
            <w:pPr>
              <w:spacing w:after="0" w:line="240" w:lineRule="auto"/>
              <w:jc w:val="right"/>
              <w:rPr>
                <w:rFonts w:ascii="Aptos Narrow" w:eastAsia="Times New Roman" w:hAnsi="Aptos Narrow" w:cs="Times New Roman"/>
                <w:color w:val="FF0000"/>
                <w:kern w:val="0"/>
                <w:sz w:val="22"/>
                <w:szCs w:val="22"/>
                <w14:ligatures w14:val="none"/>
              </w:rPr>
            </w:pPr>
            <w:r w:rsidRPr="00834B27">
              <w:rPr>
                <w:rFonts w:ascii="Aptos Narrow" w:eastAsia="Times New Roman" w:hAnsi="Aptos Narrow" w:cs="Times New Roman"/>
                <w:color w:val="FF0000"/>
                <w:kern w:val="0"/>
                <w:sz w:val="22"/>
                <w:szCs w:val="22"/>
                <w14:ligatures w14:val="none"/>
              </w:rPr>
              <w:t>9,915,325,936</w:t>
            </w:r>
          </w:p>
        </w:tc>
        <w:tc>
          <w:tcPr>
            <w:tcW w:w="1882" w:type="dxa"/>
            <w:tcBorders>
              <w:top w:val="nil"/>
              <w:left w:val="nil"/>
              <w:bottom w:val="single" w:sz="4" w:space="0" w:color="auto"/>
              <w:right w:val="single" w:sz="4" w:space="0" w:color="auto"/>
            </w:tcBorders>
            <w:noWrap/>
            <w:vAlign w:val="bottom"/>
            <w:hideMark/>
          </w:tcPr>
          <w:p w14:paraId="7A1D2475" w14:textId="77777777" w:rsidR="00A55427" w:rsidRPr="00834B27" w:rsidRDefault="00A55427" w:rsidP="00A55427">
            <w:pPr>
              <w:spacing w:after="0" w:line="240" w:lineRule="auto"/>
              <w:jc w:val="right"/>
              <w:rPr>
                <w:rFonts w:ascii="Aptos Narrow" w:eastAsia="Times New Roman" w:hAnsi="Aptos Narrow" w:cs="Times New Roman"/>
                <w:color w:val="FF0000"/>
                <w:kern w:val="0"/>
                <w:sz w:val="22"/>
                <w:szCs w:val="22"/>
                <w14:ligatures w14:val="none"/>
              </w:rPr>
            </w:pPr>
            <w:r w:rsidRPr="00834B27">
              <w:rPr>
                <w:rFonts w:ascii="Aptos Narrow" w:eastAsia="Times New Roman" w:hAnsi="Aptos Narrow" w:cs="Times New Roman"/>
                <w:color w:val="FF0000"/>
                <w:kern w:val="0"/>
                <w:sz w:val="22"/>
                <w:szCs w:val="22"/>
                <w14:ligatures w14:val="none"/>
              </w:rPr>
              <w:t>7,830,244,601</w:t>
            </w:r>
          </w:p>
        </w:tc>
        <w:tc>
          <w:tcPr>
            <w:tcW w:w="1882" w:type="dxa"/>
            <w:tcBorders>
              <w:top w:val="nil"/>
              <w:left w:val="nil"/>
              <w:bottom w:val="single" w:sz="4" w:space="0" w:color="auto"/>
              <w:right w:val="single" w:sz="4" w:space="0" w:color="auto"/>
            </w:tcBorders>
            <w:noWrap/>
            <w:vAlign w:val="bottom"/>
            <w:hideMark/>
          </w:tcPr>
          <w:p w14:paraId="4B0C8F25" w14:textId="77777777" w:rsidR="00A55427" w:rsidRPr="00834B27" w:rsidRDefault="00A55427" w:rsidP="00A55427">
            <w:pPr>
              <w:spacing w:after="0" w:line="240" w:lineRule="auto"/>
              <w:jc w:val="right"/>
              <w:rPr>
                <w:rFonts w:ascii="Aptos Narrow" w:eastAsia="Times New Roman" w:hAnsi="Aptos Narrow" w:cs="Times New Roman"/>
                <w:color w:val="FF0000"/>
                <w:kern w:val="0"/>
                <w:sz w:val="22"/>
                <w:szCs w:val="22"/>
                <w14:ligatures w14:val="none"/>
              </w:rPr>
            </w:pPr>
            <w:r w:rsidRPr="00834B27">
              <w:rPr>
                <w:rFonts w:ascii="Aptos Narrow" w:eastAsia="Times New Roman" w:hAnsi="Aptos Narrow" w:cs="Times New Roman"/>
                <w:color w:val="FF0000"/>
                <w:kern w:val="0"/>
                <w:sz w:val="22"/>
                <w:szCs w:val="22"/>
                <w14:ligatures w14:val="none"/>
              </w:rPr>
              <w:t>4,688,747,655</w:t>
            </w:r>
          </w:p>
        </w:tc>
      </w:tr>
      <w:tr w:rsidR="00A55427" w:rsidRPr="00834B27" w14:paraId="708B0FC6" w14:textId="77777777" w:rsidTr="00A55427">
        <w:trPr>
          <w:trHeight w:val="285"/>
        </w:trPr>
        <w:tc>
          <w:tcPr>
            <w:tcW w:w="4514" w:type="dxa"/>
            <w:tcBorders>
              <w:top w:val="nil"/>
              <w:left w:val="single" w:sz="4" w:space="0" w:color="auto"/>
              <w:bottom w:val="single" w:sz="4" w:space="0" w:color="auto"/>
              <w:right w:val="single" w:sz="4" w:space="0" w:color="auto"/>
            </w:tcBorders>
            <w:noWrap/>
            <w:vAlign w:val="bottom"/>
            <w:hideMark/>
          </w:tcPr>
          <w:p w14:paraId="0EB51986" w14:textId="77777777" w:rsidR="00A55427" w:rsidRPr="00834B27" w:rsidRDefault="00A55427" w:rsidP="00A55427">
            <w:pPr>
              <w:spacing w:after="0" w:line="240" w:lineRule="auto"/>
              <w:rPr>
                <w:rFonts w:ascii="Aptos Narrow" w:eastAsia="Times New Roman" w:hAnsi="Aptos Narrow" w:cs="Times New Roman"/>
                <w:color w:val="000000"/>
                <w:kern w:val="0"/>
                <w:sz w:val="22"/>
                <w:szCs w:val="22"/>
                <w14:ligatures w14:val="none"/>
              </w:rPr>
            </w:pPr>
            <w:proofErr w:type="spellStart"/>
            <w:r w:rsidRPr="00834B27">
              <w:rPr>
                <w:rFonts w:ascii="Aptos Narrow" w:eastAsia="Times New Roman" w:hAnsi="Aptos Narrow" w:cs="Times New Roman"/>
                <w:color w:val="000000"/>
                <w:kern w:val="0"/>
                <w:sz w:val="22"/>
                <w:szCs w:val="22"/>
                <w14:ligatures w14:val="none"/>
              </w:rPr>
              <w:t>Venituri</w:t>
            </w:r>
            <w:proofErr w:type="spellEnd"/>
            <w:r w:rsidRPr="00834B27">
              <w:rPr>
                <w:rFonts w:ascii="Aptos Narrow" w:eastAsia="Times New Roman" w:hAnsi="Aptos Narrow" w:cs="Times New Roman"/>
                <w:color w:val="000000"/>
                <w:kern w:val="0"/>
                <w:sz w:val="22"/>
                <w:szCs w:val="22"/>
                <w14:ligatures w14:val="none"/>
              </w:rPr>
              <w:t xml:space="preserve"> </w:t>
            </w:r>
            <w:proofErr w:type="gramStart"/>
            <w:r w:rsidRPr="00834B27">
              <w:rPr>
                <w:rFonts w:ascii="Aptos Narrow" w:eastAsia="Times New Roman" w:hAnsi="Aptos Narrow" w:cs="Times New Roman"/>
                <w:color w:val="000000"/>
                <w:kern w:val="0"/>
                <w:sz w:val="22"/>
                <w:szCs w:val="22"/>
                <w14:ligatures w14:val="none"/>
              </w:rPr>
              <w:t>din act</w:t>
            </w:r>
            <w:proofErr w:type="gramEnd"/>
            <w:r w:rsidRPr="00834B27">
              <w:rPr>
                <w:rFonts w:ascii="Aptos Narrow" w:eastAsia="Times New Roman" w:hAnsi="Aptos Narrow" w:cs="Times New Roman"/>
                <w:color w:val="000000"/>
                <w:kern w:val="0"/>
                <w:sz w:val="22"/>
                <w:szCs w:val="22"/>
                <w14:ligatures w14:val="none"/>
              </w:rPr>
              <w:t>. Ind</w:t>
            </w:r>
          </w:p>
        </w:tc>
        <w:tc>
          <w:tcPr>
            <w:tcW w:w="1882" w:type="dxa"/>
            <w:tcBorders>
              <w:top w:val="nil"/>
              <w:left w:val="nil"/>
              <w:bottom w:val="single" w:sz="4" w:space="0" w:color="auto"/>
              <w:right w:val="single" w:sz="4" w:space="0" w:color="auto"/>
            </w:tcBorders>
            <w:noWrap/>
            <w:vAlign w:val="bottom"/>
            <w:hideMark/>
          </w:tcPr>
          <w:p w14:paraId="54A0D237" w14:textId="77777777" w:rsidR="00A55427" w:rsidRPr="00834B27" w:rsidRDefault="00A55427" w:rsidP="00A55427">
            <w:pPr>
              <w:spacing w:after="0" w:line="240" w:lineRule="auto"/>
              <w:jc w:val="right"/>
              <w:rPr>
                <w:rFonts w:ascii="Aptos Narrow" w:eastAsia="Times New Roman" w:hAnsi="Aptos Narrow" w:cs="Times New Roman"/>
                <w:color w:val="00B050"/>
                <w:kern w:val="0"/>
                <w:sz w:val="22"/>
                <w:szCs w:val="22"/>
                <w14:ligatures w14:val="none"/>
              </w:rPr>
            </w:pPr>
            <w:r w:rsidRPr="00834B27">
              <w:rPr>
                <w:rFonts w:ascii="Aptos Narrow" w:eastAsia="Times New Roman" w:hAnsi="Aptos Narrow" w:cs="Times New Roman"/>
                <w:color w:val="00B050"/>
                <w:kern w:val="0"/>
                <w:sz w:val="22"/>
                <w:szCs w:val="22"/>
                <w14:ligatures w14:val="none"/>
              </w:rPr>
              <w:t>1,843,702,683</w:t>
            </w:r>
          </w:p>
        </w:tc>
        <w:tc>
          <w:tcPr>
            <w:tcW w:w="1882" w:type="dxa"/>
            <w:tcBorders>
              <w:top w:val="nil"/>
              <w:left w:val="nil"/>
              <w:bottom w:val="single" w:sz="4" w:space="0" w:color="auto"/>
              <w:right w:val="single" w:sz="4" w:space="0" w:color="auto"/>
            </w:tcBorders>
            <w:noWrap/>
            <w:vAlign w:val="bottom"/>
            <w:hideMark/>
          </w:tcPr>
          <w:p w14:paraId="38AD6C16" w14:textId="77777777" w:rsidR="00A55427" w:rsidRPr="00834B27" w:rsidRDefault="00A55427" w:rsidP="00A55427">
            <w:pPr>
              <w:spacing w:after="0" w:line="240" w:lineRule="auto"/>
              <w:jc w:val="right"/>
              <w:rPr>
                <w:rFonts w:ascii="Aptos Narrow" w:eastAsia="Times New Roman" w:hAnsi="Aptos Narrow" w:cs="Times New Roman"/>
                <w:color w:val="00B050"/>
                <w:kern w:val="0"/>
                <w:sz w:val="22"/>
                <w:szCs w:val="22"/>
                <w14:ligatures w14:val="none"/>
              </w:rPr>
            </w:pPr>
            <w:r w:rsidRPr="00834B27">
              <w:rPr>
                <w:rFonts w:ascii="Aptos Narrow" w:eastAsia="Times New Roman" w:hAnsi="Aptos Narrow" w:cs="Times New Roman"/>
                <w:color w:val="00B050"/>
                <w:kern w:val="0"/>
                <w:sz w:val="22"/>
                <w:szCs w:val="22"/>
                <w14:ligatures w14:val="none"/>
              </w:rPr>
              <w:t>2,250,135,524</w:t>
            </w:r>
          </w:p>
        </w:tc>
        <w:tc>
          <w:tcPr>
            <w:tcW w:w="1882" w:type="dxa"/>
            <w:tcBorders>
              <w:top w:val="nil"/>
              <w:left w:val="nil"/>
              <w:bottom w:val="single" w:sz="4" w:space="0" w:color="auto"/>
              <w:right w:val="single" w:sz="4" w:space="0" w:color="auto"/>
            </w:tcBorders>
            <w:noWrap/>
            <w:vAlign w:val="bottom"/>
            <w:hideMark/>
          </w:tcPr>
          <w:p w14:paraId="7018553E" w14:textId="77777777" w:rsidR="00A55427" w:rsidRPr="00834B27" w:rsidRDefault="00A55427" w:rsidP="00A55427">
            <w:pPr>
              <w:spacing w:after="0" w:line="240" w:lineRule="auto"/>
              <w:jc w:val="right"/>
              <w:rPr>
                <w:rFonts w:ascii="Aptos Narrow" w:eastAsia="Times New Roman" w:hAnsi="Aptos Narrow" w:cs="Times New Roman"/>
                <w:color w:val="00B050"/>
                <w:kern w:val="0"/>
                <w:sz w:val="22"/>
                <w:szCs w:val="22"/>
                <w14:ligatures w14:val="none"/>
              </w:rPr>
            </w:pPr>
            <w:r w:rsidRPr="00834B27">
              <w:rPr>
                <w:rFonts w:ascii="Aptos Narrow" w:eastAsia="Times New Roman" w:hAnsi="Aptos Narrow" w:cs="Times New Roman"/>
                <w:color w:val="00B050"/>
                <w:kern w:val="0"/>
                <w:sz w:val="22"/>
                <w:szCs w:val="22"/>
                <w14:ligatures w14:val="none"/>
              </w:rPr>
              <w:t>2,467,333,206</w:t>
            </w:r>
          </w:p>
        </w:tc>
      </w:tr>
      <w:tr w:rsidR="00A55427" w:rsidRPr="00834B27" w14:paraId="484A8B0A" w14:textId="77777777" w:rsidTr="00A55427">
        <w:trPr>
          <w:trHeight w:val="285"/>
        </w:trPr>
        <w:tc>
          <w:tcPr>
            <w:tcW w:w="4514" w:type="dxa"/>
            <w:tcBorders>
              <w:top w:val="nil"/>
              <w:left w:val="single" w:sz="4" w:space="0" w:color="auto"/>
              <w:bottom w:val="single" w:sz="4" w:space="0" w:color="auto"/>
              <w:right w:val="single" w:sz="4" w:space="0" w:color="auto"/>
            </w:tcBorders>
            <w:noWrap/>
            <w:vAlign w:val="bottom"/>
            <w:hideMark/>
          </w:tcPr>
          <w:p w14:paraId="21E920A2" w14:textId="77777777" w:rsidR="00A55427" w:rsidRPr="00834B27" w:rsidRDefault="00A55427" w:rsidP="00A55427">
            <w:pPr>
              <w:spacing w:after="0" w:line="240" w:lineRule="auto"/>
              <w:rPr>
                <w:rFonts w:ascii="Aptos Narrow" w:eastAsia="Times New Roman" w:hAnsi="Aptos Narrow" w:cs="Times New Roman"/>
                <w:color w:val="000000"/>
                <w:kern w:val="0"/>
                <w:sz w:val="22"/>
                <w:szCs w:val="22"/>
                <w:lang w:val="it-IT"/>
                <w14:ligatures w14:val="none"/>
              </w:rPr>
            </w:pPr>
            <w:r w:rsidRPr="00834B27">
              <w:rPr>
                <w:rFonts w:ascii="Aptos Narrow" w:eastAsia="Times New Roman" w:hAnsi="Aptos Narrow" w:cs="Times New Roman"/>
                <w:color w:val="000000"/>
                <w:kern w:val="0"/>
                <w:sz w:val="22"/>
                <w:szCs w:val="22"/>
                <w:lang w:val="it-IT"/>
                <w14:ligatures w14:val="none"/>
              </w:rPr>
              <w:t>Venituri din dr de autor</w:t>
            </w:r>
          </w:p>
        </w:tc>
        <w:tc>
          <w:tcPr>
            <w:tcW w:w="1882" w:type="dxa"/>
            <w:tcBorders>
              <w:top w:val="nil"/>
              <w:left w:val="nil"/>
              <w:bottom w:val="single" w:sz="4" w:space="0" w:color="auto"/>
              <w:right w:val="single" w:sz="4" w:space="0" w:color="auto"/>
            </w:tcBorders>
            <w:noWrap/>
            <w:vAlign w:val="bottom"/>
            <w:hideMark/>
          </w:tcPr>
          <w:p w14:paraId="0795AA84" w14:textId="77777777" w:rsidR="00A55427" w:rsidRPr="00834B27" w:rsidRDefault="00A55427" w:rsidP="00A55427">
            <w:pPr>
              <w:spacing w:after="0" w:line="240" w:lineRule="auto"/>
              <w:jc w:val="right"/>
              <w:rPr>
                <w:rFonts w:ascii="Aptos Narrow" w:eastAsia="Times New Roman" w:hAnsi="Aptos Narrow" w:cs="Times New Roman"/>
                <w:color w:val="00B050"/>
                <w:kern w:val="0"/>
                <w:sz w:val="22"/>
                <w:szCs w:val="22"/>
                <w14:ligatures w14:val="none"/>
              </w:rPr>
            </w:pPr>
            <w:r w:rsidRPr="00834B27">
              <w:rPr>
                <w:rFonts w:ascii="Aptos Narrow" w:eastAsia="Times New Roman" w:hAnsi="Aptos Narrow" w:cs="Times New Roman"/>
                <w:color w:val="00B050"/>
                <w:kern w:val="0"/>
                <w:sz w:val="22"/>
                <w:szCs w:val="22"/>
                <w14:ligatures w14:val="none"/>
              </w:rPr>
              <w:t>567,671,935</w:t>
            </w:r>
          </w:p>
        </w:tc>
        <w:tc>
          <w:tcPr>
            <w:tcW w:w="1882" w:type="dxa"/>
            <w:tcBorders>
              <w:top w:val="nil"/>
              <w:left w:val="nil"/>
              <w:bottom w:val="single" w:sz="4" w:space="0" w:color="auto"/>
              <w:right w:val="single" w:sz="4" w:space="0" w:color="auto"/>
            </w:tcBorders>
            <w:noWrap/>
            <w:vAlign w:val="bottom"/>
            <w:hideMark/>
          </w:tcPr>
          <w:p w14:paraId="13BB3E42" w14:textId="77777777" w:rsidR="00A55427" w:rsidRPr="00834B27" w:rsidRDefault="00A55427" w:rsidP="00A55427">
            <w:pPr>
              <w:spacing w:after="0" w:line="240" w:lineRule="auto"/>
              <w:jc w:val="right"/>
              <w:rPr>
                <w:rFonts w:ascii="Aptos Narrow" w:eastAsia="Times New Roman" w:hAnsi="Aptos Narrow" w:cs="Times New Roman"/>
                <w:color w:val="00B050"/>
                <w:kern w:val="0"/>
                <w:sz w:val="22"/>
                <w:szCs w:val="22"/>
                <w14:ligatures w14:val="none"/>
              </w:rPr>
            </w:pPr>
            <w:r w:rsidRPr="00834B27">
              <w:rPr>
                <w:rFonts w:ascii="Aptos Narrow" w:eastAsia="Times New Roman" w:hAnsi="Aptos Narrow" w:cs="Times New Roman"/>
                <w:color w:val="00B050"/>
                <w:kern w:val="0"/>
                <w:sz w:val="22"/>
                <w:szCs w:val="22"/>
                <w14:ligatures w14:val="none"/>
              </w:rPr>
              <w:t>618,313,756</w:t>
            </w:r>
          </w:p>
        </w:tc>
        <w:tc>
          <w:tcPr>
            <w:tcW w:w="1882" w:type="dxa"/>
            <w:tcBorders>
              <w:top w:val="nil"/>
              <w:left w:val="nil"/>
              <w:bottom w:val="single" w:sz="4" w:space="0" w:color="auto"/>
              <w:right w:val="single" w:sz="4" w:space="0" w:color="auto"/>
            </w:tcBorders>
            <w:noWrap/>
            <w:vAlign w:val="bottom"/>
            <w:hideMark/>
          </w:tcPr>
          <w:p w14:paraId="11501537" w14:textId="77777777" w:rsidR="00A55427" w:rsidRPr="00834B27" w:rsidRDefault="00A55427" w:rsidP="00A55427">
            <w:pPr>
              <w:spacing w:after="0" w:line="240" w:lineRule="auto"/>
              <w:jc w:val="right"/>
              <w:rPr>
                <w:rFonts w:ascii="Aptos Narrow" w:eastAsia="Times New Roman" w:hAnsi="Aptos Narrow" w:cs="Times New Roman"/>
                <w:color w:val="00B050"/>
                <w:kern w:val="0"/>
                <w:sz w:val="22"/>
                <w:szCs w:val="22"/>
                <w14:ligatures w14:val="none"/>
              </w:rPr>
            </w:pPr>
            <w:r w:rsidRPr="00834B27">
              <w:rPr>
                <w:rFonts w:ascii="Aptos Narrow" w:eastAsia="Times New Roman" w:hAnsi="Aptos Narrow" w:cs="Times New Roman"/>
                <w:color w:val="00B050"/>
                <w:kern w:val="0"/>
                <w:sz w:val="22"/>
                <w:szCs w:val="22"/>
                <w14:ligatures w14:val="none"/>
              </w:rPr>
              <w:t>625,705,966</w:t>
            </w:r>
          </w:p>
        </w:tc>
      </w:tr>
      <w:tr w:rsidR="00A55427" w:rsidRPr="00834B27" w14:paraId="2B7A6B84" w14:textId="77777777" w:rsidTr="00A55427">
        <w:trPr>
          <w:trHeight w:val="285"/>
        </w:trPr>
        <w:tc>
          <w:tcPr>
            <w:tcW w:w="4514" w:type="dxa"/>
            <w:tcBorders>
              <w:top w:val="nil"/>
              <w:left w:val="single" w:sz="4" w:space="0" w:color="auto"/>
              <w:bottom w:val="single" w:sz="4" w:space="0" w:color="auto"/>
              <w:right w:val="single" w:sz="4" w:space="0" w:color="auto"/>
            </w:tcBorders>
            <w:noWrap/>
            <w:vAlign w:val="bottom"/>
            <w:hideMark/>
          </w:tcPr>
          <w:p w14:paraId="6EC4D0FA" w14:textId="77777777" w:rsidR="00A55427" w:rsidRPr="00834B27" w:rsidRDefault="00A55427" w:rsidP="00A55427">
            <w:pPr>
              <w:spacing w:after="0" w:line="240" w:lineRule="auto"/>
              <w:rPr>
                <w:rFonts w:ascii="Aptos Narrow" w:eastAsia="Times New Roman" w:hAnsi="Aptos Narrow" w:cs="Times New Roman"/>
                <w:color w:val="000000"/>
                <w:kern w:val="0"/>
                <w:sz w:val="22"/>
                <w:szCs w:val="22"/>
                <w14:ligatures w14:val="none"/>
              </w:rPr>
            </w:pPr>
            <w:proofErr w:type="spellStart"/>
            <w:r w:rsidRPr="00834B27">
              <w:rPr>
                <w:rFonts w:ascii="Aptos Narrow" w:eastAsia="Times New Roman" w:hAnsi="Aptos Narrow" w:cs="Times New Roman"/>
                <w:color w:val="000000"/>
                <w:kern w:val="0"/>
                <w:sz w:val="22"/>
                <w:szCs w:val="22"/>
                <w14:ligatures w14:val="none"/>
              </w:rPr>
              <w:t>Venituri</w:t>
            </w:r>
            <w:proofErr w:type="spellEnd"/>
            <w:r w:rsidRPr="00834B27">
              <w:rPr>
                <w:rFonts w:ascii="Aptos Narrow" w:eastAsia="Times New Roman" w:hAnsi="Aptos Narrow" w:cs="Times New Roman"/>
                <w:color w:val="000000"/>
                <w:kern w:val="0"/>
                <w:sz w:val="22"/>
                <w:szCs w:val="22"/>
                <w14:ligatures w14:val="none"/>
              </w:rPr>
              <w:t xml:space="preserve"> contr. Sportive</w:t>
            </w:r>
          </w:p>
        </w:tc>
        <w:tc>
          <w:tcPr>
            <w:tcW w:w="1882" w:type="dxa"/>
            <w:tcBorders>
              <w:top w:val="nil"/>
              <w:left w:val="nil"/>
              <w:bottom w:val="single" w:sz="4" w:space="0" w:color="auto"/>
              <w:right w:val="single" w:sz="4" w:space="0" w:color="auto"/>
            </w:tcBorders>
            <w:noWrap/>
            <w:vAlign w:val="bottom"/>
            <w:hideMark/>
          </w:tcPr>
          <w:p w14:paraId="0F91F891" w14:textId="77777777" w:rsidR="00A55427" w:rsidRPr="00834B27" w:rsidRDefault="00A55427" w:rsidP="00A55427">
            <w:pPr>
              <w:spacing w:after="0" w:line="240" w:lineRule="auto"/>
              <w:jc w:val="right"/>
              <w:rPr>
                <w:rFonts w:ascii="Aptos Narrow" w:eastAsia="Times New Roman" w:hAnsi="Aptos Narrow" w:cs="Times New Roman"/>
                <w:color w:val="00B050"/>
                <w:kern w:val="0"/>
                <w:sz w:val="22"/>
                <w:szCs w:val="22"/>
                <w14:ligatures w14:val="none"/>
              </w:rPr>
            </w:pPr>
            <w:r w:rsidRPr="00834B27">
              <w:rPr>
                <w:rFonts w:ascii="Aptos Narrow" w:eastAsia="Times New Roman" w:hAnsi="Aptos Narrow" w:cs="Times New Roman"/>
                <w:color w:val="00B050"/>
                <w:kern w:val="0"/>
                <w:sz w:val="22"/>
                <w:szCs w:val="22"/>
                <w14:ligatures w14:val="none"/>
              </w:rPr>
              <w:t>126,336,649</w:t>
            </w:r>
          </w:p>
        </w:tc>
        <w:tc>
          <w:tcPr>
            <w:tcW w:w="1882" w:type="dxa"/>
            <w:tcBorders>
              <w:top w:val="nil"/>
              <w:left w:val="nil"/>
              <w:bottom w:val="single" w:sz="4" w:space="0" w:color="auto"/>
              <w:right w:val="single" w:sz="4" w:space="0" w:color="auto"/>
            </w:tcBorders>
            <w:noWrap/>
            <w:vAlign w:val="bottom"/>
            <w:hideMark/>
          </w:tcPr>
          <w:p w14:paraId="6DF97BF5" w14:textId="77777777" w:rsidR="00A55427" w:rsidRPr="00834B27" w:rsidRDefault="00A55427" w:rsidP="00A55427">
            <w:pPr>
              <w:spacing w:after="0" w:line="240" w:lineRule="auto"/>
              <w:jc w:val="right"/>
              <w:rPr>
                <w:rFonts w:ascii="Aptos Narrow" w:eastAsia="Times New Roman" w:hAnsi="Aptos Narrow" w:cs="Times New Roman"/>
                <w:color w:val="00B050"/>
                <w:kern w:val="0"/>
                <w:sz w:val="22"/>
                <w:szCs w:val="22"/>
                <w14:ligatures w14:val="none"/>
              </w:rPr>
            </w:pPr>
            <w:r w:rsidRPr="00834B27">
              <w:rPr>
                <w:rFonts w:ascii="Aptos Narrow" w:eastAsia="Times New Roman" w:hAnsi="Aptos Narrow" w:cs="Times New Roman"/>
                <w:color w:val="00B050"/>
                <w:kern w:val="0"/>
                <w:sz w:val="22"/>
                <w:szCs w:val="22"/>
                <w14:ligatures w14:val="none"/>
              </w:rPr>
              <w:t>136,771,250</w:t>
            </w:r>
          </w:p>
        </w:tc>
        <w:tc>
          <w:tcPr>
            <w:tcW w:w="1882" w:type="dxa"/>
            <w:tcBorders>
              <w:top w:val="nil"/>
              <w:left w:val="nil"/>
              <w:bottom w:val="single" w:sz="4" w:space="0" w:color="auto"/>
              <w:right w:val="single" w:sz="4" w:space="0" w:color="auto"/>
            </w:tcBorders>
            <w:noWrap/>
            <w:vAlign w:val="bottom"/>
            <w:hideMark/>
          </w:tcPr>
          <w:p w14:paraId="1715696E" w14:textId="77777777" w:rsidR="00A55427" w:rsidRPr="00834B27" w:rsidRDefault="00A55427" w:rsidP="00A55427">
            <w:pPr>
              <w:spacing w:after="0" w:line="240" w:lineRule="auto"/>
              <w:jc w:val="right"/>
              <w:rPr>
                <w:rFonts w:ascii="Aptos Narrow" w:eastAsia="Times New Roman" w:hAnsi="Aptos Narrow" w:cs="Times New Roman"/>
                <w:color w:val="00B050"/>
                <w:kern w:val="0"/>
                <w:sz w:val="22"/>
                <w:szCs w:val="22"/>
                <w14:ligatures w14:val="none"/>
              </w:rPr>
            </w:pPr>
            <w:r w:rsidRPr="00834B27">
              <w:rPr>
                <w:rFonts w:ascii="Aptos Narrow" w:eastAsia="Times New Roman" w:hAnsi="Aptos Narrow" w:cs="Times New Roman"/>
                <w:color w:val="00B050"/>
                <w:kern w:val="0"/>
                <w:sz w:val="22"/>
                <w:szCs w:val="22"/>
                <w14:ligatures w14:val="none"/>
              </w:rPr>
              <w:t>142,414,418</w:t>
            </w:r>
          </w:p>
        </w:tc>
      </w:tr>
      <w:tr w:rsidR="00A55427" w:rsidRPr="00834B27" w14:paraId="62C6DFE0" w14:textId="77777777" w:rsidTr="00A55427">
        <w:trPr>
          <w:trHeight w:val="285"/>
        </w:trPr>
        <w:tc>
          <w:tcPr>
            <w:tcW w:w="4514" w:type="dxa"/>
            <w:tcBorders>
              <w:top w:val="nil"/>
              <w:left w:val="single" w:sz="4" w:space="0" w:color="auto"/>
              <w:bottom w:val="single" w:sz="4" w:space="0" w:color="auto"/>
              <w:right w:val="single" w:sz="4" w:space="0" w:color="auto"/>
            </w:tcBorders>
            <w:noWrap/>
            <w:vAlign w:val="bottom"/>
            <w:hideMark/>
          </w:tcPr>
          <w:p w14:paraId="127B7688" w14:textId="77777777" w:rsidR="00A55427" w:rsidRPr="00834B27" w:rsidRDefault="00A55427" w:rsidP="00A55427">
            <w:pPr>
              <w:spacing w:after="0" w:line="240" w:lineRule="auto"/>
              <w:rPr>
                <w:rFonts w:ascii="Aptos Narrow" w:eastAsia="Times New Roman" w:hAnsi="Aptos Narrow" w:cs="Times New Roman"/>
                <w:color w:val="000000"/>
                <w:kern w:val="0"/>
                <w:sz w:val="22"/>
                <w:szCs w:val="22"/>
                <w14:ligatures w14:val="none"/>
              </w:rPr>
            </w:pPr>
            <w:proofErr w:type="spellStart"/>
            <w:r w:rsidRPr="00834B27">
              <w:rPr>
                <w:rFonts w:ascii="Aptos Narrow" w:eastAsia="Times New Roman" w:hAnsi="Aptos Narrow" w:cs="Times New Roman"/>
                <w:color w:val="000000"/>
                <w:kern w:val="0"/>
                <w:sz w:val="22"/>
                <w:szCs w:val="22"/>
                <w14:ligatures w14:val="none"/>
              </w:rPr>
              <w:t>Venituri</w:t>
            </w:r>
            <w:proofErr w:type="spellEnd"/>
            <w:r w:rsidRPr="00834B27">
              <w:rPr>
                <w:rFonts w:ascii="Aptos Narrow" w:eastAsia="Times New Roman" w:hAnsi="Aptos Narrow" w:cs="Times New Roman"/>
                <w:color w:val="000000"/>
                <w:kern w:val="0"/>
                <w:sz w:val="22"/>
                <w:szCs w:val="22"/>
                <w14:ligatures w14:val="none"/>
              </w:rPr>
              <w:t xml:space="preserve"> din </w:t>
            </w:r>
            <w:proofErr w:type="spellStart"/>
            <w:r w:rsidRPr="00834B27">
              <w:rPr>
                <w:rFonts w:ascii="Aptos Narrow" w:eastAsia="Times New Roman" w:hAnsi="Aptos Narrow" w:cs="Times New Roman"/>
                <w:color w:val="000000"/>
                <w:kern w:val="0"/>
                <w:sz w:val="22"/>
                <w:szCs w:val="22"/>
                <w14:ligatures w14:val="none"/>
              </w:rPr>
              <w:t>inchiriere</w:t>
            </w:r>
            <w:proofErr w:type="spellEnd"/>
          </w:p>
        </w:tc>
        <w:tc>
          <w:tcPr>
            <w:tcW w:w="1882" w:type="dxa"/>
            <w:tcBorders>
              <w:top w:val="nil"/>
              <w:left w:val="nil"/>
              <w:bottom w:val="single" w:sz="4" w:space="0" w:color="auto"/>
              <w:right w:val="single" w:sz="4" w:space="0" w:color="auto"/>
            </w:tcBorders>
            <w:noWrap/>
            <w:vAlign w:val="bottom"/>
            <w:hideMark/>
          </w:tcPr>
          <w:p w14:paraId="257EEF23" w14:textId="77777777" w:rsidR="00A55427" w:rsidRPr="00834B27" w:rsidRDefault="00A55427" w:rsidP="00A55427">
            <w:pPr>
              <w:spacing w:after="0" w:line="240" w:lineRule="auto"/>
              <w:jc w:val="right"/>
              <w:rPr>
                <w:rFonts w:ascii="Aptos Narrow" w:eastAsia="Times New Roman" w:hAnsi="Aptos Narrow" w:cs="Times New Roman"/>
                <w:color w:val="00B050"/>
                <w:kern w:val="0"/>
                <w:sz w:val="22"/>
                <w:szCs w:val="22"/>
                <w14:ligatures w14:val="none"/>
              </w:rPr>
            </w:pPr>
            <w:r w:rsidRPr="00834B27">
              <w:rPr>
                <w:rFonts w:ascii="Aptos Narrow" w:eastAsia="Times New Roman" w:hAnsi="Aptos Narrow" w:cs="Times New Roman"/>
                <w:color w:val="00B050"/>
                <w:kern w:val="0"/>
                <w:sz w:val="22"/>
                <w:szCs w:val="22"/>
                <w14:ligatures w14:val="none"/>
              </w:rPr>
              <w:t>298,953,629</w:t>
            </w:r>
          </w:p>
        </w:tc>
        <w:tc>
          <w:tcPr>
            <w:tcW w:w="1882" w:type="dxa"/>
            <w:tcBorders>
              <w:top w:val="nil"/>
              <w:left w:val="nil"/>
              <w:bottom w:val="single" w:sz="4" w:space="0" w:color="auto"/>
              <w:right w:val="single" w:sz="4" w:space="0" w:color="auto"/>
            </w:tcBorders>
            <w:noWrap/>
            <w:vAlign w:val="bottom"/>
            <w:hideMark/>
          </w:tcPr>
          <w:p w14:paraId="11A8E03E" w14:textId="77777777" w:rsidR="00A55427" w:rsidRPr="00834B27" w:rsidRDefault="00A55427" w:rsidP="00A55427">
            <w:pPr>
              <w:spacing w:after="0" w:line="240" w:lineRule="auto"/>
              <w:jc w:val="right"/>
              <w:rPr>
                <w:rFonts w:ascii="Aptos Narrow" w:eastAsia="Times New Roman" w:hAnsi="Aptos Narrow" w:cs="Times New Roman"/>
                <w:color w:val="00B050"/>
                <w:kern w:val="0"/>
                <w:sz w:val="22"/>
                <w:szCs w:val="22"/>
                <w14:ligatures w14:val="none"/>
              </w:rPr>
            </w:pPr>
            <w:r w:rsidRPr="00834B27">
              <w:rPr>
                <w:rFonts w:ascii="Aptos Narrow" w:eastAsia="Times New Roman" w:hAnsi="Aptos Narrow" w:cs="Times New Roman"/>
                <w:color w:val="00B050"/>
                <w:kern w:val="0"/>
                <w:sz w:val="22"/>
                <w:szCs w:val="22"/>
                <w14:ligatures w14:val="none"/>
              </w:rPr>
              <w:t>304,106,572</w:t>
            </w:r>
          </w:p>
        </w:tc>
        <w:tc>
          <w:tcPr>
            <w:tcW w:w="1882" w:type="dxa"/>
            <w:tcBorders>
              <w:top w:val="nil"/>
              <w:left w:val="nil"/>
              <w:bottom w:val="single" w:sz="4" w:space="0" w:color="auto"/>
              <w:right w:val="single" w:sz="4" w:space="0" w:color="auto"/>
            </w:tcBorders>
            <w:noWrap/>
            <w:vAlign w:val="bottom"/>
            <w:hideMark/>
          </w:tcPr>
          <w:p w14:paraId="16AF6BCA" w14:textId="77777777" w:rsidR="00A55427" w:rsidRPr="00834B27" w:rsidRDefault="00A55427" w:rsidP="00A55427">
            <w:pPr>
              <w:spacing w:after="0" w:line="240" w:lineRule="auto"/>
              <w:jc w:val="right"/>
              <w:rPr>
                <w:rFonts w:ascii="Aptos Narrow" w:eastAsia="Times New Roman" w:hAnsi="Aptos Narrow" w:cs="Times New Roman"/>
                <w:color w:val="00B050"/>
                <w:kern w:val="0"/>
                <w:sz w:val="22"/>
                <w:szCs w:val="22"/>
                <w14:ligatures w14:val="none"/>
              </w:rPr>
            </w:pPr>
            <w:r w:rsidRPr="00834B27">
              <w:rPr>
                <w:rFonts w:ascii="Aptos Narrow" w:eastAsia="Times New Roman" w:hAnsi="Aptos Narrow" w:cs="Times New Roman"/>
                <w:color w:val="00B050"/>
                <w:kern w:val="0"/>
                <w:sz w:val="22"/>
                <w:szCs w:val="22"/>
                <w14:ligatures w14:val="none"/>
              </w:rPr>
              <w:t>307,304,671</w:t>
            </w:r>
          </w:p>
        </w:tc>
      </w:tr>
      <w:tr w:rsidR="00A55427" w:rsidRPr="00834B27" w14:paraId="2FAFCAF7" w14:textId="77777777" w:rsidTr="00A55427">
        <w:trPr>
          <w:trHeight w:val="285"/>
        </w:trPr>
        <w:tc>
          <w:tcPr>
            <w:tcW w:w="4514" w:type="dxa"/>
            <w:tcBorders>
              <w:top w:val="nil"/>
              <w:left w:val="single" w:sz="4" w:space="0" w:color="auto"/>
              <w:bottom w:val="single" w:sz="4" w:space="0" w:color="auto"/>
              <w:right w:val="single" w:sz="4" w:space="0" w:color="auto"/>
            </w:tcBorders>
            <w:noWrap/>
            <w:vAlign w:val="bottom"/>
            <w:hideMark/>
          </w:tcPr>
          <w:p w14:paraId="028776C3" w14:textId="77777777" w:rsidR="00A55427" w:rsidRPr="00834B27" w:rsidRDefault="00A55427" w:rsidP="00A55427">
            <w:pPr>
              <w:spacing w:after="0" w:line="240" w:lineRule="auto"/>
              <w:rPr>
                <w:rFonts w:ascii="Aptos Narrow" w:eastAsia="Times New Roman" w:hAnsi="Aptos Narrow" w:cs="Times New Roman"/>
                <w:color w:val="000000"/>
                <w:kern w:val="0"/>
                <w:sz w:val="22"/>
                <w:szCs w:val="22"/>
                <w14:ligatures w14:val="none"/>
              </w:rPr>
            </w:pPr>
            <w:proofErr w:type="spellStart"/>
            <w:r w:rsidRPr="00834B27">
              <w:rPr>
                <w:rFonts w:ascii="Aptos Narrow" w:eastAsia="Times New Roman" w:hAnsi="Aptos Narrow" w:cs="Times New Roman"/>
                <w:color w:val="000000"/>
                <w:kern w:val="0"/>
                <w:sz w:val="22"/>
                <w:szCs w:val="22"/>
                <w14:ligatures w14:val="none"/>
              </w:rPr>
              <w:t>Venituri</w:t>
            </w:r>
            <w:proofErr w:type="spellEnd"/>
            <w:r w:rsidRPr="00834B27">
              <w:rPr>
                <w:rFonts w:ascii="Aptos Narrow" w:eastAsia="Times New Roman" w:hAnsi="Aptos Narrow" w:cs="Times New Roman"/>
                <w:color w:val="000000"/>
                <w:kern w:val="0"/>
                <w:sz w:val="22"/>
                <w:szCs w:val="22"/>
                <w14:ligatures w14:val="none"/>
              </w:rPr>
              <w:t xml:space="preserve"> din </w:t>
            </w:r>
            <w:proofErr w:type="spellStart"/>
            <w:r w:rsidRPr="00834B27">
              <w:rPr>
                <w:rFonts w:ascii="Aptos Narrow" w:eastAsia="Times New Roman" w:hAnsi="Aptos Narrow" w:cs="Times New Roman"/>
                <w:color w:val="000000"/>
                <w:kern w:val="0"/>
                <w:sz w:val="22"/>
                <w:szCs w:val="22"/>
                <w14:ligatures w14:val="none"/>
              </w:rPr>
              <w:t>dobanzi</w:t>
            </w:r>
            <w:proofErr w:type="spellEnd"/>
          </w:p>
        </w:tc>
        <w:tc>
          <w:tcPr>
            <w:tcW w:w="1882" w:type="dxa"/>
            <w:tcBorders>
              <w:top w:val="nil"/>
              <w:left w:val="nil"/>
              <w:bottom w:val="single" w:sz="4" w:space="0" w:color="auto"/>
              <w:right w:val="single" w:sz="4" w:space="0" w:color="auto"/>
            </w:tcBorders>
            <w:noWrap/>
            <w:vAlign w:val="bottom"/>
            <w:hideMark/>
          </w:tcPr>
          <w:p w14:paraId="21E3B6E9" w14:textId="77777777" w:rsidR="00A55427" w:rsidRPr="00834B27" w:rsidRDefault="00A55427" w:rsidP="00A55427">
            <w:pPr>
              <w:spacing w:after="0" w:line="240" w:lineRule="auto"/>
              <w:jc w:val="right"/>
              <w:rPr>
                <w:rFonts w:ascii="Aptos Narrow" w:eastAsia="Times New Roman" w:hAnsi="Aptos Narrow" w:cs="Times New Roman"/>
                <w:color w:val="00B050"/>
                <w:kern w:val="0"/>
                <w:sz w:val="22"/>
                <w:szCs w:val="22"/>
                <w14:ligatures w14:val="none"/>
              </w:rPr>
            </w:pPr>
            <w:r w:rsidRPr="00834B27">
              <w:rPr>
                <w:rFonts w:ascii="Aptos Narrow" w:eastAsia="Times New Roman" w:hAnsi="Aptos Narrow" w:cs="Times New Roman"/>
                <w:color w:val="00B050"/>
                <w:kern w:val="0"/>
                <w:sz w:val="22"/>
                <w:szCs w:val="22"/>
                <w14:ligatures w14:val="none"/>
              </w:rPr>
              <w:t>398,540,705</w:t>
            </w:r>
          </w:p>
        </w:tc>
        <w:tc>
          <w:tcPr>
            <w:tcW w:w="1882" w:type="dxa"/>
            <w:tcBorders>
              <w:top w:val="nil"/>
              <w:left w:val="nil"/>
              <w:bottom w:val="single" w:sz="4" w:space="0" w:color="auto"/>
              <w:right w:val="single" w:sz="4" w:space="0" w:color="auto"/>
            </w:tcBorders>
            <w:noWrap/>
            <w:vAlign w:val="bottom"/>
            <w:hideMark/>
          </w:tcPr>
          <w:p w14:paraId="37ECD899" w14:textId="77777777" w:rsidR="00A55427" w:rsidRPr="00834B27" w:rsidRDefault="00A55427" w:rsidP="00A55427">
            <w:pPr>
              <w:spacing w:after="0" w:line="240" w:lineRule="auto"/>
              <w:jc w:val="right"/>
              <w:rPr>
                <w:rFonts w:ascii="Aptos Narrow" w:eastAsia="Times New Roman" w:hAnsi="Aptos Narrow" w:cs="Times New Roman"/>
                <w:color w:val="00B050"/>
                <w:kern w:val="0"/>
                <w:sz w:val="22"/>
                <w:szCs w:val="22"/>
                <w14:ligatures w14:val="none"/>
              </w:rPr>
            </w:pPr>
            <w:r w:rsidRPr="00834B27">
              <w:rPr>
                <w:rFonts w:ascii="Aptos Narrow" w:eastAsia="Times New Roman" w:hAnsi="Aptos Narrow" w:cs="Times New Roman"/>
                <w:color w:val="00B050"/>
                <w:kern w:val="0"/>
                <w:sz w:val="22"/>
                <w:szCs w:val="22"/>
                <w14:ligatures w14:val="none"/>
              </w:rPr>
              <w:t>423,937,631</w:t>
            </w:r>
          </w:p>
        </w:tc>
        <w:tc>
          <w:tcPr>
            <w:tcW w:w="1882" w:type="dxa"/>
            <w:tcBorders>
              <w:top w:val="nil"/>
              <w:left w:val="nil"/>
              <w:bottom w:val="single" w:sz="4" w:space="0" w:color="auto"/>
              <w:right w:val="single" w:sz="4" w:space="0" w:color="auto"/>
            </w:tcBorders>
            <w:noWrap/>
            <w:vAlign w:val="bottom"/>
            <w:hideMark/>
          </w:tcPr>
          <w:p w14:paraId="143E28CC" w14:textId="77777777" w:rsidR="00A55427" w:rsidRPr="00834B27" w:rsidRDefault="00A55427" w:rsidP="00A55427">
            <w:pPr>
              <w:spacing w:after="0" w:line="240" w:lineRule="auto"/>
              <w:jc w:val="right"/>
              <w:rPr>
                <w:rFonts w:ascii="Aptos Narrow" w:eastAsia="Times New Roman" w:hAnsi="Aptos Narrow" w:cs="Times New Roman"/>
                <w:color w:val="00B050"/>
                <w:kern w:val="0"/>
                <w:sz w:val="22"/>
                <w:szCs w:val="22"/>
                <w14:ligatures w14:val="none"/>
              </w:rPr>
            </w:pPr>
            <w:r w:rsidRPr="00834B27">
              <w:rPr>
                <w:rFonts w:ascii="Aptos Narrow" w:eastAsia="Times New Roman" w:hAnsi="Aptos Narrow" w:cs="Times New Roman"/>
                <w:color w:val="00B050"/>
                <w:kern w:val="0"/>
                <w:sz w:val="22"/>
                <w:szCs w:val="22"/>
                <w14:ligatures w14:val="none"/>
              </w:rPr>
              <w:t>437,741,831</w:t>
            </w:r>
          </w:p>
        </w:tc>
      </w:tr>
      <w:tr w:rsidR="00A55427" w:rsidRPr="00834B27" w14:paraId="0A104B26" w14:textId="77777777" w:rsidTr="00A55427">
        <w:trPr>
          <w:trHeight w:val="285"/>
        </w:trPr>
        <w:tc>
          <w:tcPr>
            <w:tcW w:w="4514" w:type="dxa"/>
            <w:tcBorders>
              <w:top w:val="nil"/>
              <w:left w:val="single" w:sz="4" w:space="0" w:color="auto"/>
              <w:bottom w:val="single" w:sz="4" w:space="0" w:color="auto"/>
              <w:right w:val="single" w:sz="4" w:space="0" w:color="auto"/>
            </w:tcBorders>
            <w:noWrap/>
            <w:vAlign w:val="bottom"/>
            <w:hideMark/>
          </w:tcPr>
          <w:p w14:paraId="060A29B2" w14:textId="77777777" w:rsidR="00A55427" w:rsidRPr="00834B27" w:rsidRDefault="00A55427" w:rsidP="00A55427">
            <w:pPr>
              <w:spacing w:after="0" w:line="240" w:lineRule="auto"/>
              <w:rPr>
                <w:rFonts w:ascii="Aptos Narrow" w:eastAsia="Times New Roman" w:hAnsi="Aptos Narrow" w:cs="Times New Roman"/>
                <w:color w:val="000000"/>
                <w:kern w:val="0"/>
                <w:sz w:val="22"/>
                <w:szCs w:val="22"/>
                <w14:ligatures w14:val="none"/>
              </w:rPr>
            </w:pPr>
            <w:proofErr w:type="spellStart"/>
            <w:r w:rsidRPr="00834B27">
              <w:rPr>
                <w:rFonts w:ascii="Aptos Narrow" w:eastAsia="Times New Roman" w:hAnsi="Aptos Narrow" w:cs="Times New Roman"/>
                <w:color w:val="000000"/>
                <w:kern w:val="0"/>
                <w:sz w:val="22"/>
                <w:szCs w:val="22"/>
                <w14:ligatures w14:val="none"/>
              </w:rPr>
              <w:t>Venituri</w:t>
            </w:r>
            <w:proofErr w:type="spellEnd"/>
            <w:r w:rsidRPr="00834B27">
              <w:rPr>
                <w:rFonts w:ascii="Aptos Narrow" w:eastAsia="Times New Roman" w:hAnsi="Aptos Narrow" w:cs="Times New Roman"/>
                <w:color w:val="000000"/>
                <w:kern w:val="0"/>
                <w:sz w:val="22"/>
                <w:szCs w:val="22"/>
                <w14:ligatures w14:val="none"/>
              </w:rPr>
              <w:t xml:space="preserve"> din </w:t>
            </w:r>
            <w:proofErr w:type="spellStart"/>
            <w:r w:rsidRPr="00834B27">
              <w:rPr>
                <w:rFonts w:ascii="Aptos Narrow" w:eastAsia="Times New Roman" w:hAnsi="Aptos Narrow" w:cs="Times New Roman"/>
                <w:color w:val="000000"/>
                <w:kern w:val="0"/>
                <w:sz w:val="22"/>
                <w:szCs w:val="22"/>
                <w14:ligatures w14:val="none"/>
              </w:rPr>
              <w:t>dividende</w:t>
            </w:r>
            <w:proofErr w:type="spellEnd"/>
          </w:p>
        </w:tc>
        <w:tc>
          <w:tcPr>
            <w:tcW w:w="1882" w:type="dxa"/>
            <w:tcBorders>
              <w:top w:val="nil"/>
              <w:left w:val="nil"/>
              <w:bottom w:val="single" w:sz="4" w:space="0" w:color="auto"/>
              <w:right w:val="single" w:sz="4" w:space="0" w:color="auto"/>
            </w:tcBorders>
            <w:noWrap/>
            <w:vAlign w:val="bottom"/>
            <w:hideMark/>
          </w:tcPr>
          <w:p w14:paraId="4EEE3B79" w14:textId="77777777" w:rsidR="00A55427" w:rsidRPr="00834B27" w:rsidRDefault="00A55427" w:rsidP="00A55427">
            <w:pPr>
              <w:spacing w:after="0" w:line="240" w:lineRule="auto"/>
              <w:jc w:val="right"/>
              <w:rPr>
                <w:rFonts w:ascii="Aptos Narrow" w:eastAsia="Times New Roman" w:hAnsi="Aptos Narrow" w:cs="Times New Roman"/>
                <w:color w:val="00B050"/>
                <w:kern w:val="0"/>
                <w:sz w:val="22"/>
                <w:szCs w:val="22"/>
                <w14:ligatures w14:val="none"/>
              </w:rPr>
            </w:pPr>
            <w:r w:rsidRPr="00834B27">
              <w:rPr>
                <w:rFonts w:ascii="Aptos Narrow" w:eastAsia="Times New Roman" w:hAnsi="Aptos Narrow" w:cs="Times New Roman"/>
                <w:color w:val="00B050"/>
                <w:kern w:val="0"/>
                <w:sz w:val="22"/>
                <w:szCs w:val="22"/>
                <w14:ligatures w14:val="none"/>
              </w:rPr>
              <w:t>2,692,337,984</w:t>
            </w:r>
          </w:p>
        </w:tc>
        <w:tc>
          <w:tcPr>
            <w:tcW w:w="1882" w:type="dxa"/>
            <w:tcBorders>
              <w:top w:val="nil"/>
              <w:left w:val="nil"/>
              <w:bottom w:val="single" w:sz="4" w:space="0" w:color="auto"/>
              <w:right w:val="single" w:sz="4" w:space="0" w:color="auto"/>
            </w:tcBorders>
            <w:noWrap/>
            <w:vAlign w:val="bottom"/>
            <w:hideMark/>
          </w:tcPr>
          <w:p w14:paraId="246C786F" w14:textId="77777777" w:rsidR="00A55427" w:rsidRPr="00834B27" w:rsidRDefault="00A55427" w:rsidP="00A55427">
            <w:pPr>
              <w:spacing w:after="0" w:line="240" w:lineRule="auto"/>
              <w:jc w:val="right"/>
              <w:rPr>
                <w:rFonts w:ascii="Aptos Narrow" w:eastAsia="Times New Roman" w:hAnsi="Aptos Narrow" w:cs="Times New Roman"/>
                <w:color w:val="00B050"/>
                <w:kern w:val="0"/>
                <w:sz w:val="22"/>
                <w:szCs w:val="22"/>
                <w14:ligatures w14:val="none"/>
              </w:rPr>
            </w:pPr>
            <w:r w:rsidRPr="00834B27">
              <w:rPr>
                <w:rFonts w:ascii="Aptos Narrow" w:eastAsia="Times New Roman" w:hAnsi="Aptos Narrow" w:cs="Times New Roman"/>
                <w:color w:val="00B050"/>
                <w:kern w:val="0"/>
                <w:sz w:val="22"/>
                <w:szCs w:val="22"/>
                <w14:ligatures w14:val="none"/>
              </w:rPr>
              <w:t>2,921,848,821</w:t>
            </w:r>
          </w:p>
        </w:tc>
        <w:tc>
          <w:tcPr>
            <w:tcW w:w="1882" w:type="dxa"/>
            <w:tcBorders>
              <w:top w:val="nil"/>
              <w:left w:val="nil"/>
              <w:bottom w:val="single" w:sz="4" w:space="0" w:color="auto"/>
              <w:right w:val="single" w:sz="4" w:space="0" w:color="auto"/>
            </w:tcBorders>
            <w:noWrap/>
            <w:vAlign w:val="bottom"/>
            <w:hideMark/>
          </w:tcPr>
          <w:p w14:paraId="70550E3E" w14:textId="77777777" w:rsidR="00A55427" w:rsidRPr="00834B27" w:rsidRDefault="00A55427" w:rsidP="00A55427">
            <w:pPr>
              <w:spacing w:after="0" w:line="240" w:lineRule="auto"/>
              <w:jc w:val="right"/>
              <w:rPr>
                <w:rFonts w:ascii="Aptos Narrow" w:eastAsia="Times New Roman" w:hAnsi="Aptos Narrow" w:cs="Times New Roman"/>
                <w:color w:val="00B050"/>
                <w:kern w:val="0"/>
                <w:sz w:val="22"/>
                <w:szCs w:val="22"/>
                <w14:ligatures w14:val="none"/>
              </w:rPr>
            </w:pPr>
            <w:r w:rsidRPr="00834B27">
              <w:rPr>
                <w:rFonts w:ascii="Aptos Narrow" w:eastAsia="Times New Roman" w:hAnsi="Aptos Narrow" w:cs="Times New Roman"/>
                <w:color w:val="00B050"/>
                <w:kern w:val="0"/>
                <w:sz w:val="22"/>
                <w:szCs w:val="22"/>
                <w14:ligatures w14:val="none"/>
              </w:rPr>
              <w:t>3,047,750,274</w:t>
            </w:r>
          </w:p>
        </w:tc>
      </w:tr>
      <w:tr w:rsidR="00A55427" w:rsidRPr="00834B27" w14:paraId="418FAB84" w14:textId="77777777" w:rsidTr="00A55427">
        <w:trPr>
          <w:trHeight w:val="285"/>
        </w:trPr>
        <w:tc>
          <w:tcPr>
            <w:tcW w:w="4514" w:type="dxa"/>
            <w:tcBorders>
              <w:top w:val="nil"/>
              <w:left w:val="single" w:sz="4" w:space="0" w:color="auto"/>
              <w:bottom w:val="single" w:sz="4" w:space="0" w:color="auto"/>
              <w:right w:val="single" w:sz="4" w:space="0" w:color="auto"/>
            </w:tcBorders>
            <w:noWrap/>
            <w:vAlign w:val="bottom"/>
            <w:hideMark/>
          </w:tcPr>
          <w:p w14:paraId="2E1FB690" w14:textId="77777777" w:rsidR="00A55427" w:rsidRPr="00834B27" w:rsidRDefault="00A55427" w:rsidP="00A55427">
            <w:pPr>
              <w:spacing w:after="0" w:line="240" w:lineRule="auto"/>
              <w:rPr>
                <w:rFonts w:ascii="Aptos Narrow" w:eastAsia="Times New Roman" w:hAnsi="Aptos Narrow" w:cs="Times New Roman"/>
                <w:color w:val="000000"/>
                <w:kern w:val="0"/>
                <w:sz w:val="22"/>
                <w:szCs w:val="22"/>
                <w14:ligatures w14:val="none"/>
              </w:rPr>
            </w:pPr>
            <w:proofErr w:type="spellStart"/>
            <w:r w:rsidRPr="00834B27">
              <w:rPr>
                <w:rFonts w:ascii="Aptos Narrow" w:eastAsia="Times New Roman" w:hAnsi="Aptos Narrow" w:cs="Times New Roman"/>
                <w:color w:val="000000"/>
                <w:kern w:val="0"/>
                <w:sz w:val="22"/>
                <w:szCs w:val="22"/>
                <w14:ligatures w14:val="none"/>
              </w:rPr>
              <w:t>Venituri</w:t>
            </w:r>
            <w:proofErr w:type="spellEnd"/>
            <w:r w:rsidRPr="00834B27">
              <w:rPr>
                <w:rFonts w:ascii="Aptos Narrow" w:eastAsia="Times New Roman" w:hAnsi="Aptos Narrow" w:cs="Times New Roman"/>
                <w:color w:val="000000"/>
                <w:kern w:val="0"/>
                <w:sz w:val="22"/>
                <w:szCs w:val="22"/>
                <w14:ligatures w14:val="none"/>
              </w:rPr>
              <w:t xml:space="preserve"> din transf. TV</w:t>
            </w:r>
          </w:p>
        </w:tc>
        <w:tc>
          <w:tcPr>
            <w:tcW w:w="1882" w:type="dxa"/>
            <w:tcBorders>
              <w:top w:val="nil"/>
              <w:left w:val="nil"/>
              <w:bottom w:val="single" w:sz="4" w:space="0" w:color="auto"/>
              <w:right w:val="single" w:sz="4" w:space="0" w:color="auto"/>
            </w:tcBorders>
            <w:noWrap/>
            <w:vAlign w:val="bottom"/>
            <w:hideMark/>
          </w:tcPr>
          <w:p w14:paraId="11AB9047" w14:textId="77777777" w:rsidR="00A55427" w:rsidRPr="00834B27" w:rsidRDefault="00A55427" w:rsidP="00A55427">
            <w:pPr>
              <w:spacing w:after="0" w:line="240" w:lineRule="auto"/>
              <w:jc w:val="right"/>
              <w:rPr>
                <w:rFonts w:ascii="Aptos Narrow" w:eastAsia="Times New Roman" w:hAnsi="Aptos Narrow" w:cs="Times New Roman"/>
                <w:color w:val="00B050"/>
                <w:kern w:val="0"/>
                <w:sz w:val="22"/>
                <w:szCs w:val="22"/>
                <w14:ligatures w14:val="none"/>
              </w:rPr>
            </w:pPr>
            <w:r w:rsidRPr="00834B27">
              <w:rPr>
                <w:rFonts w:ascii="Aptos Narrow" w:eastAsia="Times New Roman" w:hAnsi="Aptos Narrow" w:cs="Times New Roman"/>
                <w:color w:val="00B050"/>
                <w:kern w:val="0"/>
                <w:sz w:val="22"/>
                <w:szCs w:val="22"/>
                <w14:ligatures w14:val="none"/>
              </w:rPr>
              <w:t>365,627,700</w:t>
            </w:r>
          </w:p>
        </w:tc>
        <w:tc>
          <w:tcPr>
            <w:tcW w:w="1882" w:type="dxa"/>
            <w:tcBorders>
              <w:top w:val="nil"/>
              <w:left w:val="nil"/>
              <w:bottom w:val="single" w:sz="4" w:space="0" w:color="auto"/>
              <w:right w:val="single" w:sz="4" w:space="0" w:color="auto"/>
            </w:tcBorders>
            <w:noWrap/>
            <w:vAlign w:val="bottom"/>
            <w:hideMark/>
          </w:tcPr>
          <w:p w14:paraId="7DCA9EB9" w14:textId="77777777" w:rsidR="00A55427" w:rsidRPr="00834B27" w:rsidRDefault="00A55427" w:rsidP="00A55427">
            <w:pPr>
              <w:spacing w:after="0" w:line="240" w:lineRule="auto"/>
              <w:jc w:val="right"/>
              <w:rPr>
                <w:rFonts w:ascii="Aptos Narrow" w:eastAsia="Times New Roman" w:hAnsi="Aptos Narrow" w:cs="Times New Roman"/>
                <w:color w:val="00B050"/>
                <w:kern w:val="0"/>
                <w:sz w:val="22"/>
                <w:szCs w:val="22"/>
                <w14:ligatures w14:val="none"/>
              </w:rPr>
            </w:pPr>
            <w:r w:rsidRPr="00834B27">
              <w:rPr>
                <w:rFonts w:ascii="Aptos Narrow" w:eastAsia="Times New Roman" w:hAnsi="Aptos Narrow" w:cs="Times New Roman"/>
                <w:color w:val="00B050"/>
                <w:kern w:val="0"/>
                <w:sz w:val="22"/>
                <w:szCs w:val="22"/>
                <w14:ligatures w14:val="none"/>
              </w:rPr>
              <w:t>418,188,505</w:t>
            </w:r>
          </w:p>
        </w:tc>
        <w:tc>
          <w:tcPr>
            <w:tcW w:w="1882" w:type="dxa"/>
            <w:tcBorders>
              <w:top w:val="nil"/>
              <w:left w:val="nil"/>
              <w:bottom w:val="single" w:sz="4" w:space="0" w:color="auto"/>
              <w:right w:val="single" w:sz="4" w:space="0" w:color="auto"/>
            </w:tcBorders>
            <w:noWrap/>
            <w:vAlign w:val="bottom"/>
            <w:hideMark/>
          </w:tcPr>
          <w:p w14:paraId="6138227B" w14:textId="77777777" w:rsidR="00A55427" w:rsidRPr="00834B27" w:rsidRDefault="00A55427" w:rsidP="00A55427">
            <w:pPr>
              <w:spacing w:after="0" w:line="240" w:lineRule="auto"/>
              <w:jc w:val="right"/>
              <w:rPr>
                <w:rFonts w:ascii="Aptos Narrow" w:eastAsia="Times New Roman" w:hAnsi="Aptos Narrow" w:cs="Times New Roman"/>
                <w:color w:val="00B050"/>
                <w:kern w:val="0"/>
                <w:sz w:val="22"/>
                <w:szCs w:val="22"/>
                <w14:ligatures w14:val="none"/>
              </w:rPr>
            </w:pPr>
            <w:r w:rsidRPr="00834B27">
              <w:rPr>
                <w:rFonts w:ascii="Aptos Narrow" w:eastAsia="Times New Roman" w:hAnsi="Aptos Narrow" w:cs="Times New Roman"/>
                <w:color w:val="00B050"/>
                <w:kern w:val="0"/>
                <w:sz w:val="22"/>
                <w:szCs w:val="22"/>
                <w14:ligatures w14:val="none"/>
              </w:rPr>
              <w:t>448,578,750</w:t>
            </w:r>
          </w:p>
        </w:tc>
      </w:tr>
      <w:tr w:rsidR="00A55427" w:rsidRPr="00834B27" w14:paraId="77B32FD4" w14:textId="77777777" w:rsidTr="00A55427">
        <w:trPr>
          <w:trHeight w:val="285"/>
        </w:trPr>
        <w:tc>
          <w:tcPr>
            <w:tcW w:w="4514" w:type="dxa"/>
            <w:tcBorders>
              <w:top w:val="nil"/>
              <w:left w:val="single" w:sz="4" w:space="0" w:color="auto"/>
              <w:bottom w:val="single" w:sz="4" w:space="0" w:color="auto"/>
              <w:right w:val="single" w:sz="4" w:space="0" w:color="auto"/>
            </w:tcBorders>
            <w:noWrap/>
            <w:vAlign w:val="bottom"/>
            <w:hideMark/>
          </w:tcPr>
          <w:p w14:paraId="3FB3B0D5" w14:textId="77777777" w:rsidR="00A55427" w:rsidRPr="00834B27" w:rsidRDefault="00A55427" w:rsidP="00A55427">
            <w:pPr>
              <w:spacing w:after="0" w:line="240" w:lineRule="auto"/>
              <w:rPr>
                <w:rFonts w:ascii="Aptos Narrow" w:eastAsia="Times New Roman" w:hAnsi="Aptos Narrow" w:cs="Times New Roman"/>
                <w:color w:val="000000"/>
                <w:kern w:val="0"/>
                <w:sz w:val="22"/>
                <w:szCs w:val="22"/>
                <w14:ligatures w14:val="none"/>
              </w:rPr>
            </w:pPr>
            <w:r w:rsidRPr="00834B27">
              <w:rPr>
                <w:rFonts w:ascii="Aptos Narrow" w:eastAsia="Times New Roman" w:hAnsi="Aptos Narrow" w:cs="Times New Roman"/>
                <w:color w:val="000000"/>
                <w:kern w:val="0"/>
                <w:sz w:val="22"/>
                <w:szCs w:val="22"/>
                <w14:ligatures w14:val="none"/>
              </w:rPr>
              <w:t> </w:t>
            </w:r>
          </w:p>
        </w:tc>
        <w:tc>
          <w:tcPr>
            <w:tcW w:w="1882" w:type="dxa"/>
            <w:tcBorders>
              <w:top w:val="nil"/>
              <w:left w:val="nil"/>
              <w:bottom w:val="single" w:sz="4" w:space="0" w:color="auto"/>
              <w:right w:val="single" w:sz="4" w:space="0" w:color="auto"/>
            </w:tcBorders>
            <w:noWrap/>
            <w:vAlign w:val="bottom"/>
            <w:hideMark/>
          </w:tcPr>
          <w:p w14:paraId="6B93B8F6" w14:textId="77777777" w:rsidR="00A55427" w:rsidRPr="00834B27" w:rsidRDefault="00A55427" w:rsidP="00A55427">
            <w:pPr>
              <w:spacing w:after="0" w:line="240" w:lineRule="auto"/>
              <w:jc w:val="right"/>
              <w:rPr>
                <w:rFonts w:ascii="Aptos Narrow" w:eastAsia="Times New Roman" w:hAnsi="Aptos Narrow" w:cs="Times New Roman"/>
                <w:b/>
                <w:bCs/>
                <w:color w:val="00B050"/>
                <w:kern w:val="0"/>
                <w:sz w:val="22"/>
                <w:szCs w:val="22"/>
                <w14:ligatures w14:val="none"/>
              </w:rPr>
            </w:pPr>
            <w:r w:rsidRPr="00834B27">
              <w:rPr>
                <w:rFonts w:ascii="Aptos Narrow" w:eastAsia="Times New Roman" w:hAnsi="Aptos Narrow" w:cs="Times New Roman"/>
                <w:b/>
                <w:bCs/>
                <w:color w:val="00B050"/>
                <w:kern w:val="0"/>
                <w:sz w:val="22"/>
                <w:szCs w:val="22"/>
                <w14:ligatures w14:val="none"/>
              </w:rPr>
              <w:t>6,293,171,287</w:t>
            </w:r>
          </w:p>
        </w:tc>
        <w:tc>
          <w:tcPr>
            <w:tcW w:w="1882" w:type="dxa"/>
            <w:tcBorders>
              <w:top w:val="nil"/>
              <w:left w:val="nil"/>
              <w:bottom w:val="single" w:sz="4" w:space="0" w:color="auto"/>
              <w:right w:val="single" w:sz="4" w:space="0" w:color="auto"/>
            </w:tcBorders>
            <w:noWrap/>
            <w:vAlign w:val="bottom"/>
            <w:hideMark/>
          </w:tcPr>
          <w:p w14:paraId="1D2BB08D" w14:textId="77777777" w:rsidR="00A55427" w:rsidRPr="00834B27" w:rsidRDefault="00A55427" w:rsidP="00A55427">
            <w:pPr>
              <w:spacing w:after="0" w:line="240" w:lineRule="auto"/>
              <w:jc w:val="right"/>
              <w:rPr>
                <w:rFonts w:ascii="Aptos Narrow" w:eastAsia="Times New Roman" w:hAnsi="Aptos Narrow" w:cs="Times New Roman"/>
                <w:b/>
                <w:bCs/>
                <w:color w:val="00B050"/>
                <w:kern w:val="0"/>
                <w:sz w:val="22"/>
                <w:szCs w:val="22"/>
                <w14:ligatures w14:val="none"/>
              </w:rPr>
            </w:pPr>
            <w:r w:rsidRPr="00834B27">
              <w:rPr>
                <w:rFonts w:ascii="Aptos Narrow" w:eastAsia="Times New Roman" w:hAnsi="Aptos Narrow" w:cs="Times New Roman"/>
                <w:b/>
                <w:bCs/>
                <w:color w:val="00B050"/>
                <w:kern w:val="0"/>
                <w:sz w:val="22"/>
                <w:szCs w:val="22"/>
                <w14:ligatures w14:val="none"/>
              </w:rPr>
              <w:t>7,073,302,059</w:t>
            </w:r>
          </w:p>
        </w:tc>
        <w:tc>
          <w:tcPr>
            <w:tcW w:w="1882" w:type="dxa"/>
            <w:tcBorders>
              <w:top w:val="nil"/>
              <w:left w:val="nil"/>
              <w:bottom w:val="single" w:sz="4" w:space="0" w:color="auto"/>
              <w:right w:val="single" w:sz="4" w:space="0" w:color="auto"/>
            </w:tcBorders>
            <w:noWrap/>
            <w:vAlign w:val="bottom"/>
            <w:hideMark/>
          </w:tcPr>
          <w:p w14:paraId="3020DC61" w14:textId="77777777" w:rsidR="00A55427" w:rsidRPr="00834B27" w:rsidRDefault="00A55427" w:rsidP="00A55427">
            <w:pPr>
              <w:spacing w:after="0" w:line="240" w:lineRule="auto"/>
              <w:jc w:val="right"/>
              <w:rPr>
                <w:rFonts w:ascii="Aptos Narrow" w:eastAsia="Times New Roman" w:hAnsi="Aptos Narrow" w:cs="Times New Roman"/>
                <w:b/>
                <w:bCs/>
                <w:color w:val="00B050"/>
                <w:kern w:val="0"/>
                <w:sz w:val="22"/>
                <w:szCs w:val="22"/>
                <w14:ligatures w14:val="none"/>
              </w:rPr>
            </w:pPr>
            <w:r w:rsidRPr="00834B27">
              <w:rPr>
                <w:rFonts w:ascii="Aptos Narrow" w:eastAsia="Times New Roman" w:hAnsi="Aptos Narrow" w:cs="Times New Roman"/>
                <w:b/>
                <w:bCs/>
                <w:color w:val="00B050"/>
                <w:kern w:val="0"/>
                <w:sz w:val="22"/>
                <w:szCs w:val="22"/>
                <w14:ligatures w14:val="none"/>
              </w:rPr>
              <w:t>7,476,829,117</w:t>
            </w:r>
          </w:p>
        </w:tc>
      </w:tr>
      <w:tr w:rsidR="00A55427" w:rsidRPr="00834B27" w14:paraId="44C02EBD" w14:textId="77777777" w:rsidTr="00A55427">
        <w:trPr>
          <w:trHeight w:val="285"/>
        </w:trPr>
        <w:tc>
          <w:tcPr>
            <w:tcW w:w="4514" w:type="dxa"/>
            <w:tcBorders>
              <w:top w:val="nil"/>
              <w:left w:val="single" w:sz="4" w:space="0" w:color="auto"/>
              <w:bottom w:val="single" w:sz="4" w:space="0" w:color="auto"/>
              <w:right w:val="single" w:sz="4" w:space="0" w:color="auto"/>
            </w:tcBorders>
            <w:noWrap/>
            <w:vAlign w:val="bottom"/>
            <w:hideMark/>
          </w:tcPr>
          <w:p w14:paraId="303ED9DE" w14:textId="77777777" w:rsidR="00A55427" w:rsidRPr="00834B27" w:rsidRDefault="00A55427" w:rsidP="00A55427">
            <w:pPr>
              <w:spacing w:after="0" w:line="240" w:lineRule="auto"/>
              <w:rPr>
                <w:rFonts w:ascii="Aptos Narrow" w:eastAsia="Times New Roman" w:hAnsi="Aptos Narrow" w:cs="Times New Roman"/>
                <w:b/>
                <w:bCs/>
                <w:color w:val="000000"/>
                <w:kern w:val="0"/>
                <w:sz w:val="22"/>
                <w:szCs w:val="22"/>
                <w14:ligatures w14:val="none"/>
              </w:rPr>
            </w:pPr>
            <w:r w:rsidRPr="00834B27">
              <w:rPr>
                <w:rFonts w:ascii="Aptos Narrow" w:eastAsia="Times New Roman" w:hAnsi="Aptos Narrow" w:cs="Times New Roman"/>
                <w:b/>
                <w:bCs/>
                <w:color w:val="000000"/>
                <w:kern w:val="0"/>
                <w:sz w:val="22"/>
                <w:szCs w:val="22"/>
                <w14:ligatures w14:val="none"/>
              </w:rPr>
              <w:t>Impact total (</w:t>
            </w:r>
            <w:proofErr w:type="spellStart"/>
            <w:r w:rsidRPr="00834B27">
              <w:rPr>
                <w:rFonts w:ascii="Aptos Narrow" w:eastAsia="Times New Roman" w:hAnsi="Aptos Narrow" w:cs="Times New Roman"/>
                <w:b/>
                <w:bCs/>
                <w:color w:val="000000"/>
                <w:kern w:val="0"/>
                <w:sz w:val="22"/>
                <w:szCs w:val="22"/>
                <w14:ligatures w14:val="none"/>
              </w:rPr>
              <w:t>fara</w:t>
            </w:r>
            <w:proofErr w:type="spellEnd"/>
            <w:r w:rsidRPr="00834B27">
              <w:rPr>
                <w:rFonts w:ascii="Aptos Narrow" w:eastAsia="Times New Roman" w:hAnsi="Aptos Narrow" w:cs="Times New Roman"/>
                <w:b/>
                <w:bCs/>
                <w:color w:val="000000"/>
                <w:kern w:val="0"/>
                <w:sz w:val="22"/>
                <w:szCs w:val="22"/>
                <w14:ligatures w14:val="none"/>
              </w:rPr>
              <w:t xml:space="preserve"> </w:t>
            </w:r>
            <w:proofErr w:type="spellStart"/>
            <w:r w:rsidRPr="00834B27">
              <w:rPr>
                <w:rFonts w:ascii="Aptos Narrow" w:eastAsia="Times New Roman" w:hAnsi="Aptos Narrow" w:cs="Times New Roman"/>
                <w:b/>
                <w:bCs/>
                <w:color w:val="000000"/>
                <w:kern w:val="0"/>
                <w:sz w:val="22"/>
                <w:szCs w:val="22"/>
                <w14:ligatures w14:val="none"/>
              </w:rPr>
              <w:t>pensii</w:t>
            </w:r>
            <w:proofErr w:type="spellEnd"/>
            <w:r w:rsidRPr="00834B27">
              <w:rPr>
                <w:rFonts w:ascii="Aptos Narrow" w:eastAsia="Times New Roman" w:hAnsi="Aptos Narrow" w:cs="Times New Roman"/>
                <w:b/>
                <w:bCs/>
                <w:color w:val="000000"/>
                <w:kern w:val="0"/>
                <w:sz w:val="22"/>
                <w:szCs w:val="22"/>
                <w14:ligatures w14:val="none"/>
              </w:rPr>
              <w:t>)</w:t>
            </w:r>
          </w:p>
        </w:tc>
        <w:tc>
          <w:tcPr>
            <w:tcW w:w="1882" w:type="dxa"/>
            <w:tcBorders>
              <w:top w:val="nil"/>
              <w:left w:val="nil"/>
              <w:bottom w:val="single" w:sz="4" w:space="0" w:color="auto"/>
              <w:right w:val="single" w:sz="4" w:space="0" w:color="auto"/>
            </w:tcBorders>
            <w:noWrap/>
            <w:vAlign w:val="bottom"/>
            <w:hideMark/>
          </w:tcPr>
          <w:p w14:paraId="7638EB3E" w14:textId="1BF27563" w:rsidR="00A55427" w:rsidRPr="00834B27" w:rsidRDefault="003F46F3" w:rsidP="00A55427">
            <w:pPr>
              <w:spacing w:after="0" w:line="240" w:lineRule="auto"/>
              <w:jc w:val="right"/>
              <w:rPr>
                <w:rFonts w:ascii="Aptos Narrow" w:eastAsia="Times New Roman" w:hAnsi="Aptos Narrow" w:cs="Times New Roman"/>
                <w:b/>
                <w:bCs/>
                <w:color w:val="FF0000"/>
                <w:kern w:val="0"/>
                <w:sz w:val="22"/>
                <w:szCs w:val="22"/>
                <w14:ligatures w14:val="none"/>
              </w:rPr>
            </w:pPr>
            <w:r w:rsidRPr="00834B27">
              <w:rPr>
                <w:rFonts w:ascii="Aptos Narrow" w:eastAsia="Times New Roman" w:hAnsi="Aptos Narrow" w:cs="Times New Roman"/>
                <w:b/>
                <w:bCs/>
                <w:color w:val="FF0000"/>
                <w:kern w:val="0"/>
                <w:sz w:val="22"/>
                <w:szCs w:val="22"/>
                <w14:ligatures w14:val="none"/>
              </w:rPr>
              <w:t>-</w:t>
            </w:r>
            <w:r w:rsidR="00A55427" w:rsidRPr="00834B27">
              <w:rPr>
                <w:rFonts w:ascii="Aptos Narrow" w:eastAsia="Times New Roman" w:hAnsi="Aptos Narrow" w:cs="Times New Roman"/>
                <w:b/>
                <w:bCs/>
                <w:color w:val="FF0000"/>
                <w:kern w:val="0"/>
                <w:sz w:val="22"/>
                <w:szCs w:val="22"/>
                <w14:ligatures w14:val="none"/>
              </w:rPr>
              <w:t>3,622,154,649</w:t>
            </w:r>
          </w:p>
        </w:tc>
        <w:tc>
          <w:tcPr>
            <w:tcW w:w="1882" w:type="dxa"/>
            <w:tcBorders>
              <w:top w:val="nil"/>
              <w:left w:val="nil"/>
              <w:bottom w:val="single" w:sz="4" w:space="0" w:color="auto"/>
              <w:right w:val="single" w:sz="4" w:space="0" w:color="auto"/>
            </w:tcBorders>
            <w:noWrap/>
            <w:vAlign w:val="bottom"/>
            <w:hideMark/>
          </w:tcPr>
          <w:p w14:paraId="00A5A250" w14:textId="4BF1A5D2" w:rsidR="00A55427" w:rsidRPr="00834B27" w:rsidRDefault="003F46F3" w:rsidP="00A55427">
            <w:pPr>
              <w:spacing w:after="0" w:line="240" w:lineRule="auto"/>
              <w:jc w:val="right"/>
              <w:rPr>
                <w:rFonts w:ascii="Aptos Narrow" w:eastAsia="Times New Roman" w:hAnsi="Aptos Narrow" w:cs="Times New Roman"/>
                <w:b/>
                <w:bCs/>
                <w:color w:val="FF0000"/>
                <w:kern w:val="0"/>
                <w:sz w:val="22"/>
                <w:szCs w:val="22"/>
                <w14:ligatures w14:val="none"/>
              </w:rPr>
            </w:pPr>
            <w:r w:rsidRPr="00834B27">
              <w:rPr>
                <w:rFonts w:ascii="Aptos Narrow" w:eastAsia="Times New Roman" w:hAnsi="Aptos Narrow" w:cs="Times New Roman"/>
                <w:b/>
                <w:bCs/>
                <w:color w:val="FF0000"/>
                <w:kern w:val="0"/>
                <w:sz w:val="22"/>
                <w:szCs w:val="22"/>
                <w14:ligatures w14:val="none"/>
              </w:rPr>
              <w:t>-</w:t>
            </w:r>
            <w:r w:rsidR="00A55427" w:rsidRPr="00834B27">
              <w:rPr>
                <w:rFonts w:ascii="Aptos Narrow" w:eastAsia="Times New Roman" w:hAnsi="Aptos Narrow" w:cs="Times New Roman"/>
                <w:b/>
                <w:bCs/>
                <w:color w:val="FF0000"/>
                <w:kern w:val="0"/>
                <w:sz w:val="22"/>
                <w:szCs w:val="22"/>
                <w14:ligatures w14:val="none"/>
              </w:rPr>
              <w:t>756,942,542</w:t>
            </w:r>
          </w:p>
        </w:tc>
        <w:tc>
          <w:tcPr>
            <w:tcW w:w="1882" w:type="dxa"/>
            <w:tcBorders>
              <w:top w:val="nil"/>
              <w:left w:val="nil"/>
              <w:bottom w:val="single" w:sz="4" w:space="0" w:color="auto"/>
              <w:right w:val="single" w:sz="4" w:space="0" w:color="auto"/>
            </w:tcBorders>
            <w:noWrap/>
            <w:vAlign w:val="bottom"/>
            <w:hideMark/>
          </w:tcPr>
          <w:p w14:paraId="6D50830B" w14:textId="3C0D4AE3" w:rsidR="00A55427" w:rsidRPr="00834B27" w:rsidRDefault="003F46F3" w:rsidP="00A55427">
            <w:pPr>
              <w:spacing w:after="0" w:line="240" w:lineRule="auto"/>
              <w:jc w:val="right"/>
              <w:rPr>
                <w:rFonts w:ascii="Aptos Narrow" w:eastAsia="Times New Roman" w:hAnsi="Aptos Narrow" w:cs="Times New Roman"/>
                <w:b/>
                <w:bCs/>
                <w:color w:val="00B050"/>
                <w:kern w:val="0"/>
                <w:sz w:val="22"/>
                <w:szCs w:val="22"/>
                <w14:ligatures w14:val="none"/>
              </w:rPr>
            </w:pPr>
            <w:r w:rsidRPr="00834B27">
              <w:rPr>
                <w:rFonts w:ascii="Aptos Narrow" w:eastAsia="Times New Roman" w:hAnsi="Aptos Narrow" w:cs="Times New Roman"/>
                <w:b/>
                <w:bCs/>
                <w:color w:val="00B050"/>
                <w:kern w:val="0"/>
                <w:sz w:val="22"/>
                <w:szCs w:val="22"/>
                <w14:ligatures w14:val="none"/>
              </w:rPr>
              <w:t>+</w:t>
            </w:r>
            <w:r w:rsidR="00A55427" w:rsidRPr="00834B27">
              <w:rPr>
                <w:rFonts w:ascii="Aptos Narrow" w:eastAsia="Times New Roman" w:hAnsi="Aptos Narrow" w:cs="Times New Roman"/>
                <w:b/>
                <w:bCs/>
                <w:color w:val="00B050"/>
                <w:kern w:val="0"/>
                <w:sz w:val="22"/>
                <w:szCs w:val="22"/>
                <w14:ligatures w14:val="none"/>
              </w:rPr>
              <w:t>2,788,081,462</w:t>
            </w:r>
          </w:p>
        </w:tc>
      </w:tr>
      <w:tr w:rsidR="00A55427" w:rsidRPr="00834B27" w14:paraId="23992F1B" w14:textId="77777777" w:rsidTr="00A55427">
        <w:trPr>
          <w:trHeight w:val="285"/>
        </w:trPr>
        <w:tc>
          <w:tcPr>
            <w:tcW w:w="4514" w:type="dxa"/>
            <w:tcBorders>
              <w:top w:val="nil"/>
              <w:left w:val="single" w:sz="4" w:space="0" w:color="auto"/>
              <w:bottom w:val="single" w:sz="4" w:space="0" w:color="auto"/>
              <w:right w:val="single" w:sz="4" w:space="0" w:color="auto"/>
            </w:tcBorders>
            <w:noWrap/>
            <w:vAlign w:val="bottom"/>
            <w:hideMark/>
          </w:tcPr>
          <w:p w14:paraId="1BCDE3B3" w14:textId="77777777" w:rsidR="00A55427" w:rsidRPr="00834B27" w:rsidRDefault="00A55427" w:rsidP="00A55427">
            <w:pPr>
              <w:spacing w:after="0" w:line="240" w:lineRule="auto"/>
              <w:rPr>
                <w:rFonts w:ascii="Aptos Narrow" w:eastAsia="Times New Roman" w:hAnsi="Aptos Narrow" w:cs="Times New Roman"/>
                <w:color w:val="000000"/>
                <w:kern w:val="0"/>
                <w:sz w:val="22"/>
                <w:szCs w:val="22"/>
                <w:lang w:val="fr-FR"/>
                <w14:ligatures w14:val="none"/>
              </w:rPr>
            </w:pPr>
            <w:r w:rsidRPr="00834B27">
              <w:rPr>
                <w:rFonts w:ascii="Aptos Narrow" w:eastAsia="Times New Roman" w:hAnsi="Aptos Narrow" w:cs="Times New Roman"/>
                <w:color w:val="000000"/>
                <w:kern w:val="0"/>
                <w:sz w:val="22"/>
                <w:szCs w:val="22"/>
                <w:lang w:val="fr-FR"/>
                <w14:ligatures w14:val="none"/>
              </w:rPr>
              <w:t xml:space="preserve">Impact DP la CASS </w:t>
            </w:r>
            <w:proofErr w:type="spellStart"/>
            <w:r w:rsidRPr="00834B27">
              <w:rPr>
                <w:rFonts w:ascii="Aptos Narrow" w:eastAsia="Times New Roman" w:hAnsi="Aptos Narrow" w:cs="Times New Roman"/>
                <w:color w:val="000000"/>
                <w:kern w:val="0"/>
                <w:sz w:val="22"/>
                <w:szCs w:val="22"/>
                <w:lang w:val="fr-FR"/>
                <w14:ligatures w14:val="none"/>
              </w:rPr>
              <w:t>salarii</w:t>
            </w:r>
            <w:proofErr w:type="spellEnd"/>
          </w:p>
        </w:tc>
        <w:tc>
          <w:tcPr>
            <w:tcW w:w="1882" w:type="dxa"/>
            <w:tcBorders>
              <w:top w:val="nil"/>
              <w:left w:val="nil"/>
              <w:bottom w:val="single" w:sz="4" w:space="0" w:color="auto"/>
              <w:right w:val="single" w:sz="4" w:space="0" w:color="auto"/>
            </w:tcBorders>
            <w:noWrap/>
            <w:vAlign w:val="bottom"/>
            <w:hideMark/>
          </w:tcPr>
          <w:p w14:paraId="44A5181A" w14:textId="3C130006" w:rsidR="00A55427" w:rsidRPr="00834B27" w:rsidRDefault="003F46F3" w:rsidP="00A55427">
            <w:pPr>
              <w:spacing w:after="0" w:line="240" w:lineRule="auto"/>
              <w:jc w:val="right"/>
              <w:rPr>
                <w:rFonts w:ascii="Aptos Narrow" w:eastAsia="Times New Roman" w:hAnsi="Aptos Narrow" w:cs="Times New Roman"/>
                <w:b/>
                <w:bCs/>
                <w:color w:val="FF0000"/>
                <w:kern w:val="0"/>
                <w:sz w:val="22"/>
                <w:szCs w:val="22"/>
                <w14:ligatures w14:val="none"/>
              </w:rPr>
            </w:pPr>
            <w:r w:rsidRPr="00834B27">
              <w:rPr>
                <w:rFonts w:ascii="Aptos Narrow" w:eastAsia="Times New Roman" w:hAnsi="Aptos Narrow" w:cs="Times New Roman"/>
                <w:b/>
                <w:bCs/>
                <w:color w:val="FF0000"/>
                <w:kern w:val="0"/>
                <w:sz w:val="22"/>
                <w:szCs w:val="22"/>
                <w14:ligatures w14:val="none"/>
              </w:rPr>
              <w:t>-</w:t>
            </w:r>
            <w:r w:rsidR="00A55427" w:rsidRPr="00834B27">
              <w:rPr>
                <w:rFonts w:ascii="Aptos Narrow" w:eastAsia="Times New Roman" w:hAnsi="Aptos Narrow" w:cs="Times New Roman"/>
                <w:b/>
                <w:bCs/>
                <w:color w:val="FF0000"/>
                <w:kern w:val="0"/>
                <w:sz w:val="22"/>
                <w:szCs w:val="22"/>
                <w14:ligatures w14:val="none"/>
              </w:rPr>
              <w:t>2,090,840,727</w:t>
            </w:r>
          </w:p>
        </w:tc>
        <w:tc>
          <w:tcPr>
            <w:tcW w:w="1882" w:type="dxa"/>
            <w:tcBorders>
              <w:top w:val="nil"/>
              <w:left w:val="nil"/>
              <w:bottom w:val="single" w:sz="4" w:space="0" w:color="auto"/>
              <w:right w:val="single" w:sz="4" w:space="0" w:color="auto"/>
            </w:tcBorders>
            <w:noWrap/>
            <w:vAlign w:val="bottom"/>
            <w:hideMark/>
          </w:tcPr>
          <w:p w14:paraId="0C9A81A1" w14:textId="7922D223" w:rsidR="00A55427" w:rsidRPr="00834B27" w:rsidRDefault="003F46F3" w:rsidP="00A55427">
            <w:pPr>
              <w:spacing w:after="0" w:line="240" w:lineRule="auto"/>
              <w:jc w:val="right"/>
              <w:rPr>
                <w:rFonts w:ascii="Aptos Narrow" w:eastAsia="Times New Roman" w:hAnsi="Aptos Narrow" w:cs="Times New Roman"/>
                <w:b/>
                <w:bCs/>
                <w:color w:val="FF0000"/>
                <w:kern w:val="0"/>
                <w:sz w:val="22"/>
                <w:szCs w:val="22"/>
                <w14:ligatures w14:val="none"/>
              </w:rPr>
            </w:pPr>
            <w:r w:rsidRPr="00834B27">
              <w:rPr>
                <w:rFonts w:ascii="Aptos Narrow" w:eastAsia="Times New Roman" w:hAnsi="Aptos Narrow" w:cs="Times New Roman"/>
                <w:b/>
                <w:bCs/>
                <w:color w:val="FF0000"/>
                <w:kern w:val="0"/>
                <w:sz w:val="22"/>
                <w:szCs w:val="22"/>
                <w14:ligatures w14:val="none"/>
              </w:rPr>
              <w:t>-</w:t>
            </w:r>
            <w:r w:rsidR="00A55427" w:rsidRPr="00834B27">
              <w:rPr>
                <w:rFonts w:ascii="Aptos Narrow" w:eastAsia="Times New Roman" w:hAnsi="Aptos Narrow" w:cs="Times New Roman"/>
                <w:b/>
                <w:bCs/>
                <w:color w:val="FF0000"/>
                <w:kern w:val="0"/>
                <w:sz w:val="22"/>
                <w:szCs w:val="22"/>
                <w14:ligatures w14:val="none"/>
              </w:rPr>
              <w:t>2,090,840,727</w:t>
            </w:r>
          </w:p>
        </w:tc>
        <w:tc>
          <w:tcPr>
            <w:tcW w:w="1882" w:type="dxa"/>
            <w:tcBorders>
              <w:top w:val="nil"/>
              <w:left w:val="nil"/>
              <w:bottom w:val="single" w:sz="4" w:space="0" w:color="auto"/>
              <w:right w:val="single" w:sz="4" w:space="0" w:color="auto"/>
            </w:tcBorders>
            <w:noWrap/>
            <w:vAlign w:val="bottom"/>
            <w:hideMark/>
          </w:tcPr>
          <w:p w14:paraId="1E6BAB59" w14:textId="37F41B20" w:rsidR="00A55427" w:rsidRPr="00834B27" w:rsidRDefault="003F46F3" w:rsidP="00A55427">
            <w:pPr>
              <w:spacing w:after="0" w:line="240" w:lineRule="auto"/>
              <w:jc w:val="right"/>
              <w:rPr>
                <w:rFonts w:ascii="Aptos Narrow" w:eastAsia="Times New Roman" w:hAnsi="Aptos Narrow" w:cs="Times New Roman"/>
                <w:b/>
                <w:bCs/>
                <w:color w:val="FF0000"/>
                <w:kern w:val="0"/>
                <w:sz w:val="22"/>
                <w:szCs w:val="22"/>
                <w14:ligatures w14:val="none"/>
              </w:rPr>
            </w:pPr>
            <w:r w:rsidRPr="00834B27">
              <w:rPr>
                <w:rFonts w:ascii="Aptos Narrow" w:eastAsia="Times New Roman" w:hAnsi="Aptos Narrow" w:cs="Times New Roman"/>
                <w:b/>
                <w:bCs/>
                <w:color w:val="FF0000"/>
                <w:kern w:val="0"/>
                <w:sz w:val="22"/>
                <w:szCs w:val="22"/>
                <w14:ligatures w14:val="none"/>
              </w:rPr>
              <w:t>+</w:t>
            </w:r>
            <w:r w:rsidR="00A55427" w:rsidRPr="00834B27">
              <w:rPr>
                <w:rFonts w:ascii="Aptos Narrow" w:eastAsia="Times New Roman" w:hAnsi="Aptos Narrow" w:cs="Times New Roman"/>
                <w:b/>
                <w:bCs/>
                <w:color w:val="FF0000"/>
                <w:kern w:val="0"/>
                <w:sz w:val="22"/>
                <w:szCs w:val="22"/>
                <w14:ligatures w14:val="none"/>
              </w:rPr>
              <w:t>2,090,840,727</w:t>
            </w:r>
          </w:p>
        </w:tc>
      </w:tr>
      <w:tr w:rsidR="00A55427" w:rsidRPr="00834B27" w14:paraId="595EB4C8" w14:textId="77777777" w:rsidTr="00A55427">
        <w:trPr>
          <w:trHeight w:val="285"/>
        </w:trPr>
        <w:tc>
          <w:tcPr>
            <w:tcW w:w="4514" w:type="dxa"/>
            <w:tcBorders>
              <w:top w:val="nil"/>
              <w:left w:val="single" w:sz="4" w:space="0" w:color="auto"/>
              <w:bottom w:val="single" w:sz="4" w:space="0" w:color="auto"/>
              <w:right w:val="single" w:sz="4" w:space="0" w:color="auto"/>
            </w:tcBorders>
            <w:noWrap/>
            <w:vAlign w:val="bottom"/>
            <w:hideMark/>
          </w:tcPr>
          <w:p w14:paraId="46B0D402" w14:textId="77777777" w:rsidR="00A55427" w:rsidRPr="00834B27" w:rsidRDefault="00A55427" w:rsidP="00A55427">
            <w:pPr>
              <w:spacing w:after="0" w:line="240" w:lineRule="auto"/>
              <w:rPr>
                <w:rFonts w:ascii="Aptos Narrow" w:eastAsia="Times New Roman" w:hAnsi="Aptos Narrow" w:cs="Times New Roman"/>
                <w:b/>
                <w:bCs/>
                <w:color w:val="000000"/>
                <w:kern w:val="0"/>
                <w:sz w:val="22"/>
                <w:szCs w:val="22"/>
                <w14:ligatures w14:val="none"/>
              </w:rPr>
            </w:pPr>
            <w:r w:rsidRPr="00834B27">
              <w:rPr>
                <w:rFonts w:ascii="Aptos Narrow" w:eastAsia="Times New Roman" w:hAnsi="Aptos Narrow" w:cs="Times New Roman"/>
                <w:b/>
                <w:bCs/>
                <w:color w:val="000000"/>
                <w:kern w:val="0"/>
                <w:sz w:val="22"/>
                <w:szCs w:val="22"/>
                <w14:ligatures w14:val="none"/>
              </w:rPr>
              <w:t xml:space="preserve">Impact </w:t>
            </w:r>
            <w:proofErr w:type="spellStart"/>
            <w:r w:rsidRPr="00834B27">
              <w:rPr>
                <w:rFonts w:ascii="Aptos Narrow" w:eastAsia="Times New Roman" w:hAnsi="Aptos Narrow" w:cs="Times New Roman"/>
                <w:b/>
                <w:bCs/>
                <w:color w:val="000000"/>
                <w:kern w:val="0"/>
                <w:sz w:val="22"/>
                <w:szCs w:val="22"/>
                <w14:ligatures w14:val="none"/>
              </w:rPr>
              <w:t>Pensii</w:t>
            </w:r>
            <w:proofErr w:type="spellEnd"/>
            <w:r w:rsidRPr="00834B27">
              <w:rPr>
                <w:rFonts w:ascii="Aptos Narrow" w:eastAsia="Times New Roman" w:hAnsi="Aptos Narrow" w:cs="Times New Roman"/>
                <w:b/>
                <w:bCs/>
                <w:color w:val="000000"/>
                <w:kern w:val="0"/>
                <w:sz w:val="22"/>
                <w:szCs w:val="22"/>
                <w14:ligatures w14:val="none"/>
              </w:rPr>
              <w:t xml:space="preserve"> DP Min</w:t>
            </w:r>
          </w:p>
        </w:tc>
        <w:tc>
          <w:tcPr>
            <w:tcW w:w="1882" w:type="dxa"/>
            <w:tcBorders>
              <w:top w:val="nil"/>
              <w:left w:val="nil"/>
              <w:bottom w:val="single" w:sz="4" w:space="0" w:color="auto"/>
              <w:right w:val="single" w:sz="4" w:space="0" w:color="auto"/>
            </w:tcBorders>
            <w:noWrap/>
            <w:vAlign w:val="bottom"/>
            <w:hideMark/>
          </w:tcPr>
          <w:p w14:paraId="08C22938" w14:textId="76C8BDB3" w:rsidR="00A55427" w:rsidRPr="00834B27" w:rsidRDefault="003F46F3" w:rsidP="00A55427">
            <w:pPr>
              <w:spacing w:after="0" w:line="240" w:lineRule="auto"/>
              <w:jc w:val="right"/>
              <w:rPr>
                <w:rFonts w:ascii="Aptos Narrow" w:eastAsia="Times New Roman" w:hAnsi="Aptos Narrow" w:cs="Times New Roman"/>
                <w:b/>
                <w:bCs/>
                <w:color w:val="00B050"/>
                <w:kern w:val="0"/>
                <w:sz w:val="22"/>
                <w:szCs w:val="22"/>
                <w14:ligatures w14:val="none"/>
              </w:rPr>
            </w:pPr>
            <w:r w:rsidRPr="00834B27">
              <w:rPr>
                <w:rFonts w:ascii="Aptos Narrow" w:eastAsia="Times New Roman" w:hAnsi="Aptos Narrow" w:cs="Times New Roman"/>
                <w:b/>
                <w:bCs/>
                <w:color w:val="00B050"/>
                <w:kern w:val="0"/>
                <w:sz w:val="22"/>
                <w:szCs w:val="22"/>
                <w14:ligatures w14:val="none"/>
              </w:rPr>
              <w:t>+</w:t>
            </w:r>
            <w:r w:rsidR="00A55427" w:rsidRPr="00834B27">
              <w:rPr>
                <w:rFonts w:ascii="Aptos Narrow" w:eastAsia="Times New Roman" w:hAnsi="Aptos Narrow" w:cs="Times New Roman"/>
                <w:b/>
                <w:bCs/>
                <w:color w:val="00B050"/>
                <w:kern w:val="0"/>
                <w:sz w:val="22"/>
                <w:szCs w:val="22"/>
                <w14:ligatures w14:val="none"/>
              </w:rPr>
              <w:t>11,936,531,854</w:t>
            </w:r>
          </w:p>
        </w:tc>
        <w:tc>
          <w:tcPr>
            <w:tcW w:w="1882" w:type="dxa"/>
            <w:tcBorders>
              <w:top w:val="nil"/>
              <w:left w:val="nil"/>
              <w:bottom w:val="single" w:sz="4" w:space="0" w:color="auto"/>
              <w:right w:val="single" w:sz="4" w:space="0" w:color="auto"/>
            </w:tcBorders>
            <w:noWrap/>
            <w:vAlign w:val="bottom"/>
            <w:hideMark/>
          </w:tcPr>
          <w:p w14:paraId="1BB410AE" w14:textId="735AD998" w:rsidR="00A55427" w:rsidRPr="00834B27" w:rsidRDefault="001E2AB0" w:rsidP="00A55427">
            <w:pPr>
              <w:spacing w:after="0" w:line="240" w:lineRule="auto"/>
              <w:jc w:val="right"/>
              <w:rPr>
                <w:rFonts w:ascii="Aptos Narrow" w:eastAsia="Times New Roman" w:hAnsi="Aptos Narrow" w:cs="Times New Roman"/>
                <w:b/>
                <w:bCs/>
                <w:color w:val="00B050"/>
                <w:kern w:val="0"/>
                <w:sz w:val="22"/>
                <w:szCs w:val="22"/>
                <w14:ligatures w14:val="none"/>
              </w:rPr>
            </w:pPr>
            <w:r w:rsidRPr="00834B27">
              <w:rPr>
                <w:rFonts w:ascii="Aptos Narrow" w:eastAsia="Times New Roman" w:hAnsi="Aptos Narrow" w:cs="Times New Roman"/>
                <w:b/>
                <w:bCs/>
                <w:color w:val="00B050"/>
                <w:kern w:val="0"/>
                <w:sz w:val="22"/>
                <w:szCs w:val="22"/>
                <w14:ligatures w14:val="none"/>
              </w:rPr>
              <w:t>+</w:t>
            </w:r>
            <w:r w:rsidR="00A55427" w:rsidRPr="00834B27">
              <w:rPr>
                <w:rFonts w:ascii="Aptos Narrow" w:eastAsia="Times New Roman" w:hAnsi="Aptos Narrow" w:cs="Times New Roman"/>
                <w:b/>
                <w:bCs/>
                <w:color w:val="00B050"/>
                <w:kern w:val="0"/>
                <w:sz w:val="22"/>
                <w:szCs w:val="22"/>
                <w14:ligatures w14:val="none"/>
              </w:rPr>
              <w:t>11,936,531,854</w:t>
            </w:r>
          </w:p>
        </w:tc>
        <w:tc>
          <w:tcPr>
            <w:tcW w:w="1882" w:type="dxa"/>
            <w:tcBorders>
              <w:top w:val="nil"/>
              <w:left w:val="nil"/>
              <w:bottom w:val="single" w:sz="4" w:space="0" w:color="auto"/>
              <w:right w:val="single" w:sz="4" w:space="0" w:color="auto"/>
            </w:tcBorders>
            <w:noWrap/>
            <w:vAlign w:val="bottom"/>
            <w:hideMark/>
          </w:tcPr>
          <w:p w14:paraId="65F093B0" w14:textId="3C088B12" w:rsidR="00A55427" w:rsidRPr="00834B27" w:rsidRDefault="002B2D6F" w:rsidP="00A55427">
            <w:pPr>
              <w:spacing w:after="0" w:line="240" w:lineRule="auto"/>
              <w:jc w:val="right"/>
              <w:rPr>
                <w:rFonts w:ascii="Aptos Narrow" w:eastAsia="Times New Roman" w:hAnsi="Aptos Narrow" w:cs="Times New Roman"/>
                <w:b/>
                <w:bCs/>
                <w:color w:val="00B050"/>
                <w:kern w:val="0"/>
                <w:sz w:val="22"/>
                <w:szCs w:val="22"/>
                <w14:ligatures w14:val="none"/>
              </w:rPr>
            </w:pPr>
            <w:r w:rsidRPr="00834B27">
              <w:rPr>
                <w:rFonts w:ascii="Aptos Narrow" w:eastAsia="Times New Roman" w:hAnsi="Aptos Narrow" w:cs="Times New Roman"/>
                <w:b/>
                <w:bCs/>
                <w:color w:val="00B050"/>
                <w:kern w:val="0"/>
                <w:sz w:val="22"/>
                <w:szCs w:val="22"/>
                <w14:ligatures w14:val="none"/>
              </w:rPr>
              <w:t>+</w:t>
            </w:r>
            <w:r w:rsidR="00A55427" w:rsidRPr="00834B27">
              <w:rPr>
                <w:rFonts w:ascii="Aptos Narrow" w:eastAsia="Times New Roman" w:hAnsi="Aptos Narrow" w:cs="Times New Roman"/>
                <w:b/>
                <w:bCs/>
                <w:color w:val="00B050"/>
                <w:kern w:val="0"/>
                <w:sz w:val="22"/>
                <w:szCs w:val="22"/>
                <w14:ligatures w14:val="none"/>
              </w:rPr>
              <w:t>11,936,531,854</w:t>
            </w:r>
          </w:p>
        </w:tc>
      </w:tr>
      <w:tr w:rsidR="00A55427" w:rsidRPr="00834B27" w14:paraId="68F2B941" w14:textId="77777777" w:rsidTr="00A55427">
        <w:trPr>
          <w:trHeight w:val="285"/>
        </w:trPr>
        <w:tc>
          <w:tcPr>
            <w:tcW w:w="4514" w:type="dxa"/>
            <w:tcBorders>
              <w:top w:val="nil"/>
              <w:left w:val="single" w:sz="4" w:space="0" w:color="auto"/>
              <w:bottom w:val="single" w:sz="4" w:space="0" w:color="auto"/>
              <w:right w:val="single" w:sz="4" w:space="0" w:color="auto"/>
            </w:tcBorders>
            <w:noWrap/>
            <w:vAlign w:val="bottom"/>
            <w:hideMark/>
          </w:tcPr>
          <w:p w14:paraId="214A4170" w14:textId="77777777" w:rsidR="00A55427" w:rsidRPr="00834B27" w:rsidRDefault="00A55427" w:rsidP="00A55427">
            <w:pPr>
              <w:spacing w:after="0" w:line="240" w:lineRule="auto"/>
              <w:rPr>
                <w:rFonts w:ascii="Aptos Narrow" w:eastAsia="Times New Roman" w:hAnsi="Aptos Narrow" w:cs="Times New Roman"/>
                <w:b/>
                <w:bCs/>
                <w:color w:val="000000"/>
                <w:kern w:val="0"/>
                <w:sz w:val="22"/>
                <w:szCs w:val="22"/>
                <w14:ligatures w14:val="none"/>
              </w:rPr>
            </w:pPr>
            <w:r w:rsidRPr="00834B27">
              <w:rPr>
                <w:rFonts w:ascii="Aptos Narrow" w:eastAsia="Times New Roman" w:hAnsi="Aptos Narrow" w:cs="Times New Roman"/>
                <w:b/>
                <w:bCs/>
                <w:color w:val="000000"/>
                <w:kern w:val="0"/>
                <w:sz w:val="22"/>
                <w:szCs w:val="22"/>
                <w14:ligatures w14:val="none"/>
              </w:rPr>
              <w:t xml:space="preserve">Impact </w:t>
            </w:r>
            <w:proofErr w:type="spellStart"/>
            <w:r w:rsidRPr="00834B27">
              <w:rPr>
                <w:rFonts w:ascii="Aptos Narrow" w:eastAsia="Times New Roman" w:hAnsi="Aptos Narrow" w:cs="Times New Roman"/>
                <w:b/>
                <w:bCs/>
                <w:color w:val="000000"/>
                <w:kern w:val="0"/>
                <w:sz w:val="22"/>
                <w:szCs w:val="22"/>
                <w14:ligatures w14:val="none"/>
              </w:rPr>
              <w:t>Pensii</w:t>
            </w:r>
            <w:proofErr w:type="spellEnd"/>
            <w:r w:rsidRPr="00834B27">
              <w:rPr>
                <w:rFonts w:ascii="Aptos Narrow" w:eastAsia="Times New Roman" w:hAnsi="Aptos Narrow" w:cs="Times New Roman"/>
                <w:b/>
                <w:bCs/>
                <w:color w:val="000000"/>
                <w:kern w:val="0"/>
                <w:sz w:val="22"/>
                <w:szCs w:val="22"/>
                <w14:ligatures w14:val="none"/>
              </w:rPr>
              <w:t xml:space="preserve"> DP Max</w:t>
            </w:r>
          </w:p>
        </w:tc>
        <w:tc>
          <w:tcPr>
            <w:tcW w:w="1882" w:type="dxa"/>
            <w:tcBorders>
              <w:top w:val="nil"/>
              <w:left w:val="nil"/>
              <w:bottom w:val="single" w:sz="4" w:space="0" w:color="auto"/>
              <w:right w:val="single" w:sz="4" w:space="0" w:color="auto"/>
            </w:tcBorders>
            <w:noWrap/>
            <w:vAlign w:val="bottom"/>
            <w:hideMark/>
          </w:tcPr>
          <w:p w14:paraId="38BD24EE" w14:textId="04D03A4B" w:rsidR="00A55427" w:rsidRPr="00834B27" w:rsidRDefault="001E2AB0" w:rsidP="00A55427">
            <w:pPr>
              <w:spacing w:after="0" w:line="240" w:lineRule="auto"/>
              <w:jc w:val="right"/>
              <w:rPr>
                <w:rFonts w:ascii="Aptos Narrow" w:eastAsia="Times New Roman" w:hAnsi="Aptos Narrow" w:cs="Times New Roman"/>
                <w:b/>
                <w:bCs/>
                <w:color w:val="00B050"/>
                <w:kern w:val="0"/>
                <w:sz w:val="22"/>
                <w:szCs w:val="22"/>
                <w14:ligatures w14:val="none"/>
              </w:rPr>
            </w:pPr>
            <w:r w:rsidRPr="00834B27">
              <w:rPr>
                <w:rFonts w:ascii="Aptos Narrow" w:eastAsia="Times New Roman" w:hAnsi="Aptos Narrow" w:cs="Times New Roman"/>
                <w:b/>
                <w:bCs/>
                <w:color w:val="00B050"/>
                <w:kern w:val="0"/>
                <w:sz w:val="22"/>
                <w:szCs w:val="22"/>
                <w14:ligatures w14:val="none"/>
              </w:rPr>
              <w:t>+</w:t>
            </w:r>
            <w:r w:rsidR="00A55427" w:rsidRPr="00834B27">
              <w:rPr>
                <w:rFonts w:ascii="Aptos Narrow" w:eastAsia="Times New Roman" w:hAnsi="Aptos Narrow" w:cs="Times New Roman"/>
                <w:b/>
                <w:bCs/>
                <w:color w:val="00B050"/>
                <w:kern w:val="0"/>
                <w:sz w:val="22"/>
                <w:szCs w:val="22"/>
                <w14:ligatures w14:val="none"/>
              </w:rPr>
              <w:t>5,217,503,663</w:t>
            </w:r>
          </w:p>
        </w:tc>
        <w:tc>
          <w:tcPr>
            <w:tcW w:w="1882" w:type="dxa"/>
            <w:tcBorders>
              <w:top w:val="nil"/>
              <w:left w:val="nil"/>
              <w:bottom w:val="single" w:sz="4" w:space="0" w:color="auto"/>
              <w:right w:val="single" w:sz="4" w:space="0" w:color="auto"/>
            </w:tcBorders>
            <w:noWrap/>
            <w:vAlign w:val="bottom"/>
            <w:hideMark/>
          </w:tcPr>
          <w:p w14:paraId="4B3E7DA0" w14:textId="1EA0A5DA" w:rsidR="00A55427" w:rsidRPr="00834B27" w:rsidRDefault="001E2AB0" w:rsidP="00A55427">
            <w:pPr>
              <w:spacing w:after="0" w:line="240" w:lineRule="auto"/>
              <w:jc w:val="right"/>
              <w:rPr>
                <w:rFonts w:ascii="Aptos Narrow" w:eastAsia="Times New Roman" w:hAnsi="Aptos Narrow" w:cs="Times New Roman"/>
                <w:b/>
                <w:bCs/>
                <w:color w:val="00B050"/>
                <w:kern w:val="0"/>
                <w:sz w:val="22"/>
                <w:szCs w:val="22"/>
                <w14:ligatures w14:val="none"/>
              </w:rPr>
            </w:pPr>
            <w:r w:rsidRPr="00834B27">
              <w:rPr>
                <w:rFonts w:ascii="Aptos Narrow" w:eastAsia="Times New Roman" w:hAnsi="Aptos Narrow" w:cs="Times New Roman"/>
                <w:b/>
                <w:bCs/>
                <w:color w:val="00B050"/>
                <w:kern w:val="0"/>
                <w:sz w:val="22"/>
                <w:szCs w:val="22"/>
                <w14:ligatures w14:val="none"/>
              </w:rPr>
              <w:t>+</w:t>
            </w:r>
            <w:r w:rsidR="00A55427" w:rsidRPr="00834B27">
              <w:rPr>
                <w:rFonts w:ascii="Aptos Narrow" w:eastAsia="Times New Roman" w:hAnsi="Aptos Narrow" w:cs="Times New Roman"/>
                <w:b/>
                <w:bCs/>
                <w:color w:val="00B050"/>
                <w:kern w:val="0"/>
                <w:sz w:val="22"/>
                <w:szCs w:val="22"/>
                <w14:ligatures w14:val="none"/>
              </w:rPr>
              <w:t>5,217,503,663</w:t>
            </w:r>
          </w:p>
        </w:tc>
        <w:tc>
          <w:tcPr>
            <w:tcW w:w="1882" w:type="dxa"/>
            <w:tcBorders>
              <w:top w:val="nil"/>
              <w:left w:val="nil"/>
              <w:bottom w:val="single" w:sz="4" w:space="0" w:color="auto"/>
              <w:right w:val="single" w:sz="4" w:space="0" w:color="auto"/>
            </w:tcBorders>
            <w:noWrap/>
            <w:vAlign w:val="bottom"/>
            <w:hideMark/>
          </w:tcPr>
          <w:p w14:paraId="376641AF" w14:textId="77163DAE" w:rsidR="00A55427" w:rsidRPr="00834B27" w:rsidRDefault="002B2D6F" w:rsidP="00A55427">
            <w:pPr>
              <w:spacing w:after="0" w:line="240" w:lineRule="auto"/>
              <w:jc w:val="right"/>
              <w:rPr>
                <w:rFonts w:ascii="Aptos Narrow" w:eastAsia="Times New Roman" w:hAnsi="Aptos Narrow" w:cs="Times New Roman"/>
                <w:b/>
                <w:bCs/>
                <w:color w:val="00B050"/>
                <w:kern w:val="0"/>
                <w:sz w:val="22"/>
                <w:szCs w:val="22"/>
                <w14:ligatures w14:val="none"/>
              </w:rPr>
            </w:pPr>
            <w:r w:rsidRPr="00834B27">
              <w:rPr>
                <w:rFonts w:ascii="Aptos Narrow" w:eastAsia="Times New Roman" w:hAnsi="Aptos Narrow" w:cs="Times New Roman"/>
                <w:b/>
                <w:bCs/>
                <w:color w:val="00B050"/>
                <w:kern w:val="0"/>
                <w:sz w:val="22"/>
                <w:szCs w:val="22"/>
                <w14:ligatures w14:val="none"/>
              </w:rPr>
              <w:t>+</w:t>
            </w:r>
            <w:r w:rsidR="00A55427" w:rsidRPr="00834B27">
              <w:rPr>
                <w:rFonts w:ascii="Aptos Narrow" w:eastAsia="Times New Roman" w:hAnsi="Aptos Narrow" w:cs="Times New Roman"/>
                <w:b/>
                <w:bCs/>
                <w:color w:val="00B050"/>
                <w:kern w:val="0"/>
                <w:sz w:val="22"/>
                <w:szCs w:val="22"/>
                <w14:ligatures w14:val="none"/>
              </w:rPr>
              <w:t>5,217,503,663</w:t>
            </w:r>
          </w:p>
        </w:tc>
      </w:tr>
      <w:tr w:rsidR="00A55427" w:rsidRPr="00834B27" w14:paraId="70CBB5D6" w14:textId="77777777" w:rsidTr="00A55427">
        <w:trPr>
          <w:trHeight w:val="285"/>
        </w:trPr>
        <w:tc>
          <w:tcPr>
            <w:tcW w:w="4514" w:type="dxa"/>
            <w:tcBorders>
              <w:top w:val="nil"/>
              <w:left w:val="single" w:sz="4" w:space="0" w:color="auto"/>
              <w:bottom w:val="single" w:sz="4" w:space="0" w:color="auto"/>
              <w:right w:val="single" w:sz="4" w:space="0" w:color="auto"/>
            </w:tcBorders>
            <w:noWrap/>
            <w:vAlign w:val="bottom"/>
            <w:hideMark/>
          </w:tcPr>
          <w:p w14:paraId="42B9D4EB" w14:textId="77777777" w:rsidR="00A55427" w:rsidRPr="00834B27" w:rsidRDefault="00A55427" w:rsidP="00A55427">
            <w:pPr>
              <w:spacing w:after="0" w:line="240" w:lineRule="auto"/>
              <w:rPr>
                <w:rFonts w:ascii="Aptos Narrow" w:eastAsia="Times New Roman" w:hAnsi="Aptos Narrow" w:cs="Times New Roman"/>
                <w:b/>
                <w:bCs/>
                <w:color w:val="000000"/>
                <w:kern w:val="0"/>
                <w:sz w:val="22"/>
                <w:szCs w:val="22"/>
                <w14:ligatures w14:val="none"/>
              </w:rPr>
            </w:pPr>
            <w:r w:rsidRPr="00834B27">
              <w:rPr>
                <w:rFonts w:ascii="Aptos Narrow" w:eastAsia="Times New Roman" w:hAnsi="Aptos Narrow" w:cs="Times New Roman"/>
                <w:b/>
                <w:bCs/>
                <w:color w:val="000000"/>
                <w:kern w:val="0"/>
                <w:sz w:val="22"/>
                <w:szCs w:val="22"/>
                <w14:ligatures w14:val="none"/>
              </w:rPr>
              <w:t xml:space="preserve">Impact total (DP CASS, cu </w:t>
            </w:r>
            <w:proofErr w:type="spellStart"/>
            <w:r w:rsidRPr="00834B27">
              <w:rPr>
                <w:rFonts w:ascii="Aptos Narrow" w:eastAsia="Times New Roman" w:hAnsi="Aptos Narrow" w:cs="Times New Roman"/>
                <w:b/>
                <w:bCs/>
                <w:color w:val="000000"/>
                <w:kern w:val="0"/>
                <w:sz w:val="22"/>
                <w:szCs w:val="22"/>
                <w14:ligatures w14:val="none"/>
              </w:rPr>
              <w:t>pensii</w:t>
            </w:r>
            <w:proofErr w:type="spellEnd"/>
            <w:r w:rsidRPr="00834B27">
              <w:rPr>
                <w:rFonts w:ascii="Aptos Narrow" w:eastAsia="Times New Roman" w:hAnsi="Aptos Narrow" w:cs="Times New Roman"/>
                <w:b/>
                <w:bCs/>
                <w:color w:val="000000"/>
                <w:kern w:val="0"/>
                <w:sz w:val="22"/>
                <w:szCs w:val="22"/>
                <w14:ligatures w14:val="none"/>
              </w:rPr>
              <w:t xml:space="preserve">, </w:t>
            </w:r>
            <w:proofErr w:type="spellStart"/>
            <w:r w:rsidRPr="00834B27">
              <w:rPr>
                <w:rFonts w:ascii="Aptos Narrow" w:eastAsia="Times New Roman" w:hAnsi="Aptos Narrow" w:cs="Times New Roman"/>
                <w:b/>
                <w:bCs/>
                <w:color w:val="000000"/>
                <w:kern w:val="0"/>
                <w:sz w:val="22"/>
                <w:szCs w:val="22"/>
                <w14:ligatures w14:val="none"/>
              </w:rPr>
              <w:t>DPMax</w:t>
            </w:r>
            <w:proofErr w:type="spellEnd"/>
            <w:r w:rsidRPr="00834B27">
              <w:rPr>
                <w:rFonts w:ascii="Aptos Narrow" w:eastAsia="Times New Roman" w:hAnsi="Aptos Narrow" w:cs="Times New Roman"/>
                <w:b/>
                <w:bCs/>
                <w:color w:val="000000"/>
                <w:kern w:val="0"/>
                <w:sz w:val="22"/>
                <w:szCs w:val="22"/>
                <w14:ligatures w14:val="none"/>
              </w:rPr>
              <w:t>)</w:t>
            </w:r>
          </w:p>
        </w:tc>
        <w:tc>
          <w:tcPr>
            <w:tcW w:w="1882" w:type="dxa"/>
            <w:tcBorders>
              <w:top w:val="nil"/>
              <w:left w:val="nil"/>
              <w:bottom w:val="single" w:sz="4" w:space="0" w:color="auto"/>
              <w:right w:val="single" w:sz="4" w:space="0" w:color="auto"/>
            </w:tcBorders>
            <w:noWrap/>
            <w:vAlign w:val="bottom"/>
            <w:hideMark/>
          </w:tcPr>
          <w:p w14:paraId="6E2A2132" w14:textId="5E6B2E54" w:rsidR="00A55427" w:rsidRPr="00834B27" w:rsidRDefault="001E2AB0" w:rsidP="00A55427">
            <w:pPr>
              <w:spacing w:after="0" w:line="240" w:lineRule="auto"/>
              <w:jc w:val="right"/>
              <w:rPr>
                <w:rFonts w:ascii="Aptos Narrow" w:eastAsia="Times New Roman" w:hAnsi="Aptos Narrow" w:cs="Times New Roman"/>
                <w:b/>
                <w:bCs/>
                <w:color w:val="FF0000"/>
                <w:kern w:val="0"/>
                <w:sz w:val="22"/>
                <w:szCs w:val="22"/>
                <w14:ligatures w14:val="none"/>
              </w:rPr>
            </w:pPr>
            <w:r w:rsidRPr="00834B27">
              <w:rPr>
                <w:rFonts w:ascii="Aptos Narrow" w:eastAsia="Times New Roman" w:hAnsi="Aptos Narrow" w:cs="Times New Roman"/>
                <w:b/>
                <w:bCs/>
                <w:color w:val="FF0000"/>
                <w:kern w:val="0"/>
                <w:sz w:val="22"/>
                <w:szCs w:val="22"/>
                <w14:ligatures w14:val="none"/>
              </w:rPr>
              <w:t>-</w:t>
            </w:r>
            <w:r w:rsidR="00A55427" w:rsidRPr="00834B27">
              <w:rPr>
                <w:rFonts w:ascii="Aptos Narrow" w:eastAsia="Times New Roman" w:hAnsi="Aptos Narrow" w:cs="Times New Roman"/>
                <w:b/>
                <w:bCs/>
                <w:color w:val="FF0000"/>
                <w:kern w:val="0"/>
                <w:sz w:val="22"/>
                <w:szCs w:val="22"/>
                <w14:ligatures w14:val="none"/>
              </w:rPr>
              <w:t>495,491,713</w:t>
            </w:r>
          </w:p>
        </w:tc>
        <w:tc>
          <w:tcPr>
            <w:tcW w:w="1882" w:type="dxa"/>
            <w:tcBorders>
              <w:top w:val="nil"/>
              <w:left w:val="nil"/>
              <w:bottom w:val="single" w:sz="4" w:space="0" w:color="auto"/>
              <w:right w:val="single" w:sz="4" w:space="0" w:color="auto"/>
            </w:tcBorders>
            <w:noWrap/>
            <w:vAlign w:val="bottom"/>
            <w:hideMark/>
          </w:tcPr>
          <w:p w14:paraId="61487598" w14:textId="6BAA3B7D" w:rsidR="00A55427" w:rsidRPr="00834B27" w:rsidRDefault="001E2AB0" w:rsidP="00A55427">
            <w:pPr>
              <w:spacing w:after="0" w:line="240" w:lineRule="auto"/>
              <w:jc w:val="right"/>
              <w:rPr>
                <w:rFonts w:ascii="Aptos Narrow" w:eastAsia="Times New Roman" w:hAnsi="Aptos Narrow" w:cs="Times New Roman"/>
                <w:b/>
                <w:bCs/>
                <w:color w:val="00B050"/>
                <w:kern w:val="0"/>
                <w:sz w:val="22"/>
                <w:szCs w:val="22"/>
                <w14:ligatures w14:val="none"/>
              </w:rPr>
            </w:pPr>
            <w:r w:rsidRPr="00834B27">
              <w:rPr>
                <w:rFonts w:ascii="Aptos Narrow" w:eastAsia="Times New Roman" w:hAnsi="Aptos Narrow" w:cs="Times New Roman"/>
                <w:b/>
                <w:bCs/>
                <w:color w:val="00B050"/>
                <w:kern w:val="0"/>
                <w:sz w:val="22"/>
                <w:szCs w:val="22"/>
                <w14:ligatures w14:val="none"/>
              </w:rPr>
              <w:t>+</w:t>
            </w:r>
            <w:r w:rsidR="00A55427" w:rsidRPr="00834B27">
              <w:rPr>
                <w:rFonts w:ascii="Aptos Narrow" w:eastAsia="Times New Roman" w:hAnsi="Aptos Narrow" w:cs="Times New Roman"/>
                <w:b/>
                <w:bCs/>
                <w:color w:val="00B050"/>
                <w:kern w:val="0"/>
                <w:sz w:val="22"/>
                <w:szCs w:val="22"/>
                <w14:ligatures w14:val="none"/>
              </w:rPr>
              <w:t>2,369,720,394</w:t>
            </w:r>
          </w:p>
        </w:tc>
        <w:tc>
          <w:tcPr>
            <w:tcW w:w="1882" w:type="dxa"/>
            <w:tcBorders>
              <w:top w:val="nil"/>
              <w:left w:val="nil"/>
              <w:bottom w:val="single" w:sz="4" w:space="0" w:color="auto"/>
              <w:right w:val="single" w:sz="4" w:space="0" w:color="auto"/>
            </w:tcBorders>
            <w:noWrap/>
            <w:vAlign w:val="bottom"/>
            <w:hideMark/>
          </w:tcPr>
          <w:p w14:paraId="33D440EE" w14:textId="299EA1C8" w:rsidR="00A55427" w:rsidRPr="00834B27" w:rsidRDefault="002B2D6F" w:rsidP="00A55427">
            <w:pPr>
              <w:spacing w:after="0" w:line="240" w:lineRule="auto"/>
              <w:jc w:val="right"/>
              <w:rPr>
                <w:rFonts w:ascii="Aptos Narrow" w:eastAsia="Times New Roman" w:hAnsi="Aptos Narrow" w:cs="Times New Roman"/>
                <w:b/>
                <w:bCs/>
                <w:color w:val="00B050"/>
                <w:kern w:val="0"/>
                <w:sz w:val="22"/>
                <w:szCs w:val="22"/>
                <w14:ligatures w14:val="none"/>
              </w:rPr>
            </w:pPr>
            <w:r w:rsidRPr="00834B27">
              <w:rPr>
                <w:rFonts w:ascii="Aptos Narrow" w:eastAsia="Times New Roman" w:hAnsi="Aptos Narrow" w:cs="Times New Roman"/>
                <w:b/>
                <w:bCs/>
                <w:color w:val="00B050"/>
                <w:kern w:val="0"/>
                <w:sz w:val="22"/>
                <w:szCs w:val="22"/>
                <w14:ligatures w14:val="none"/>
              </w:rPr>
              <w:t>+</w:t>
            </w:r>
            <w:r w:rsidR="00A55427" w:rsidRPr="00834B27">
              <w:rPr>
                <w:rFonts w:ascii="Aptos Narrow" w:eastAsia="Times New Roman" w:hAnsi="Aptos Narrow" w:cs="Times New Roman"/>
                <w:b/>
                <w:bCs/>
                <w:color w:val="00B050"/>
                <w:kern w:val="0"/>
                <w:sz w:val="22"/>
                <w:szCs w:val="22"/>
                <w14:ligatures w14:val="none"/>
              </w:rPr>
              <w:t>5,914,744,398</w:t>
            </w:r>
          </w:p>
        </w:tc>
      </w:tr>
      <w:tr w:rsidR="00A55427" w:rsidRPr="00834B27" w14:paraId="55B31B8C" w14:textId="77777777" w:rsidTr="00A55427">
        <w:trPr>
          <w:trHeight w:val="285"/>
        </w:trPr>
        <w:tc>
          <w:tcPr>
            <w:tcW w:w="4514" w:type="dxa"/>
            <w:tcBorders>
              <w:top w:val="nil"/>
              <w:left w:val="single" w:sz="4" w:space="0" w:color="auto"/>
              <w:bottom w:val="single" w:sz="4" w:space="0" w:color="auto"/>
              <w:right w:val="single" w:sz="4" w:space="0" w:color="auto"/>
            </w:tcBorders>
            <w:noWrap/>
            <w:vAlign w:val="bottom"/>
            <w:hideMark/>
          </w:tcPr>
          <w:p w14:paraId="520BC89B" w14:textId="77777777" w:rsidR="00A55427" w:rsidRPr="00834B27" w:rsidRDefault="00A55427" w:rsidP="00A55427">
            <w:pPr>
              <w:spacing w:after="0" w:line="240" w:lineRule="auto"/>
              <w:rPr>
                <w:rFonts w:ascii="Aptos Narrow" w:eastAsia="Times New Roman" w:hAnsi="Aptos Narrow" w:cs="Times New Roman"/>
                <w:b/>
                <w:bCs/>
                <w:color w:val="000000"/>
                <w:kern w:val="0"/>
                <w:sz w:val="22"/>
                <w:szCs w:val="22"/>
                <w:lang w:val="it-IT"/>
                <w14:ligatures w14:val="none"/>
              </w:rPr>
            </w:pPr>
            <w:r w:rsidRPr="00834B27">
              <w:rPr>
                <w:rFonts w:ascii="Aptos Narrow" w:eastAsia="Times New Roman" w:hAnsi="Aptos Narrow" w:cs="Times New Roman"/>
                <w:b/>
                <w:bCs/>
                <w:color w:val="000000"/>
                <w:kern w:val="0"/>
                <w:sz w:val="22"/>
                <w:szCs w:val="22"/>
                <w:lang w:val="it-IT"/>
                <w14:ligatures w14:val="none"/>
              </w:rPr>
              <w:t>Impact Pensii (DP 3000 si degresiva)</w:t>
            </w:r>
          </w:p>
        </w:tc>
        <w:tc>
          <w:tcPr>
            <w:tcW w:w="1882" w:type="dxa"/>
            <w:tcBorders>
              <w:top w:val="nil"/>
              <w:left w:val="nil"/>
              <w:bottom w:val="single" w:sz="4" w:space="0" w:color="auto"/>
              <w:right w:val="single" w:sz="4" w:space="0" w:color="auto"/>
            </w:tcBorders>
            <w:noWrap/>
            <w:vAlign w:val="bottom"/>
            <w:hideMark/>
          </w:tcPr>
          <w:p w14:paraId="291BB182" w14:textId="5DF7729E" w:rsidR="00A55427" w:rsidRPr="00834B27" w:rsidRDefault="001E2AB0" w:rsidP="00A55427">
            <w:pPr>
              <w:spacing w:after="0" w:line="240" w:lineRule="auto"/>
              <w:jc w:val="right"/>
              <w:rPr>
                <w:rFonts w:ascii="Aptos Narrow" w:eastAsia="Times New Roman" w:hAnsi="Aptos Narrow" w:cs="Times New Roman"/>
                <w:b/>
                <w:bCs/>
                <w:color w:val="00B050"/>
                <w:kern w:val="0"/>
                <w:sz w:val="22"/>
                <w:szCs w:val="22"/>
                <w14:ligatures w14:val="none"/>
              </w:rPr>
            </w:pPr>
            <w:r w:rsidRPr="00834B27">
              <w:rPr>
                <w:rFonts w:ascii="Aptos Narrow" w:eastAsia="Times New Roman" w:hAnsi="Aptos Narrow" w:cs="Times New Roman"/>
                <w:b/>
                <w:bCs/>
                <w:color w:val="00B050"/>
                <w:kern w:val="0"/>
                <w:sz w:val="22"/>
                <w:szCs w:val="22"/>
                <w14:ligatures w14:val="none"/>
              </w:rPr>
              <w:t>+</w:t>
            </w:r>
            <w:r w:rsidR="00A55427" w:rsidRPr="00834B27">
              <w:rPr>
                <w:rFonts w:ascii="Aptos Narrow" w:eastAsia="Times New Roman" w:hAnsi="Aptos Narrow" w:cs="Times New Roman"/>
                <w:b/>
                <w:bCs/>
                <w:color w:val="00B050"/>
                <w:kern w:val="0"/>
                <w:sz w:val="22"/>
                <w:szCs w:val="22"/>
                <w14:ligatures w14:val="none"/>
              </w:rPr>
              <w:t>6,729,788,610</w:t>
            </w:r>
          </w:p>
        </w:tc>
        <w:tc>
          <w:tcPr>
            <w:tcW w:w="1882" w:type="dxa"/>
            <w:tcBorders>
              <w:top w:val="nil"/>
              <w:left w:val="nil"/>
              <w:bottom w:val="single" w:sz="4" w:space="0" w:color="auto"/>
              <w:right w:val="single" w:sz="4" w:space="0" w:color="auto"/>
            </w:tcBorders>
            <w:noWrap/>
            <w:vAlign w:val="bottom"/>
            <w:hideMark/>
          </w:tcPr>
          <w:p w14:paraId="2675A1D8" w14:textId="35DFD135" w:rsidR="00A55427" w:rsidRPr="00834B27" w:rsidRDefault="002B2D6F" w:rsidP="00A55427">
            <w:pPr>
              <w:spacing w:after="0" w:line="240" w:lineRule="auto"/>
              <w:jc w:val="right"/>
              <w:rPr>
                <w:rFonts w:ascii="Aptos Narrow" w:eastAsia="Times New Roman" w:hAnsi="Aptos Narrow" w:cs="Times New Roman"/>
                <w:b/>
                <w:bCs/>
                <w:color w:val="00B050"/>
                <w:kern w:val="0"/>
                <w:sz w:val="22"/>
                <w:szCs w:val="22"/>
                <w14:ligatures w14:val="none"/>
              </w:rPr>
            </w:pPr>
            <w:r w:rsidRPr="00834B27">
              <w:rPr>
                <w:rFonts w:ascii="Aptos Narrow" w:eastAsia="Times New Roman" w:hAnsi="Aptos Narrow" w:cs="Times New Roman"/>
                <w:b/>
                <w:bCs/>
                <w:color w:val="00B050"/>
                <w:kern w:val="0"/>
                <w:sz w:val="22"/>
                <w:szCs w:val="22"/>
                <w14:ligatures w14:val="none"/>
              </w:rPr>
              <w:t>+</w:t>
            </w:r>
            <w:r w:rsidR="00A55427" w:rsidRPr="00834B27">
              <w:rPr>
                <w:rFonts w:ascii="Aptos Narrow" w:eastAsia="Times New Roman" w:hAnsi="Aptos Narrow" w:cs="Times New Roman"/>
                <w:b/>
                <w:bCs/>
                <w:color w:val="00B050"/>
                <w:kern w:val="0"/>
                <w:sz w:val="22"/>
                <w:szCs w:val="22"/>
                <w14:ligatures w14:val="none"/>
              </w:rPr>
              <w:t>6,729,788,610</w:t>
            </w:r>
          </w:p>
        </w:tc>
        <w:tc>
          <w:tcPr>
            <w:tcW w:w="1882" w:type="dxa"/>
            <w:tcBorders>
              <w:top w:val="nil"/>
              <w:left w:val="nil"/>
              <w:bottom w:val="single" w:sz="4" w:space="0" w:color="auto"/>
              <w:right w:val="single" w:sz="4" w:space="0" w:color="auto"/>
            </w:tcBorders>
            <w:noWrap/>
            <w:vAlign w:val="bottom"/>
            <w:hideMark/>
          </w:tcPr>
          <w:p w14:paraId="09CE983D" w14:textId="57B09421" w:rsidR="00A55427" w:rsidRPr="00834B27" w:rsidRDefault="002B2D6F" w:rsidP="00A55427">
            <w:pPr>
              <w:spacing w:after="0" w:line="240" w:lineRule="auto"/>
              <w:jc w:val="right"/>
              <w:rPr>
                <w:rFonts w:ascii="Aptos Narrow" w:eastAsia="Times New Roman" w:hAnsi="Aptos Narrow" w:cs="Times New Roman"/>
                <w:b/>
                <w:bCs/>
                <w:color w:val="00B050"/>
                <w:kern w:val="0"/>
                <w:sz w:val="22"/>
                <w:szCs w:val="22"/>
                <w14:ligatures w14:val="none"/>
              </w:rPr>
            </w:pPr>
            <w:r w:rsidRPr="00834B27">
              <w:rPr>
                <w:rFonts w:ascii="Aptos Narrow" w:eastAsia="Times New Roman" w:hAnsi="Aptos Narrow" w:cs="Times New Roman"/>
                <w:b/>
                <w:bCs/>
                <w:color w:val="00B050"/>
                <w:kern w:val="0"/>
                <w:sz w:val="22"/>
                <w:szCs w:val="22"/>
                <w14:ligatures w14:val="none"/>
              </w:rPr>
              <w:t>+</w:t>
            </w:r>
            <w:r w:rsidR="00A55427" w:rsidRPr="00834B27">
              <w:rPr>
                <w:rFonts w:ascii="Aptos Narrow" w:eastAsia="Times New Roman" w:hAnsi="Aptos Narrow" w:cs="Times New Roman"/>
                <w:b/>
                <w:bCs/>
                <w:color w:val="00B050"/>
                <w:kern w:val="0"/>
                <w:sz w:val="22"/>
                <w:szCs w:val="22"/>
                <w14:ligatures w14:val="none"/>
              </w:rPr>
              <w:t>6,729,788,610</w:t>
            </w:r>
          </w:p>
        </w:tc>
      </w:tr>
      <w:tr w:rsidR="00A55427" w:rsidRPr="00834B27" w14:paraId="2EEAB12F" w14:textId="77777777" w:rsidTr="00A55427">
        <w:trPr>
          <w:trHeight w:val="285"/>
        </w:trPr>
        <w:tc>
          <w:tcPr>
            <w:tcW w:w="4514" w:type="dxa"/>
            <w:tcBorders>
              <w:top w:val="nil"/>
              <w:left w:val="single" w:sz="4" w:space="0" w:color="auto"/>
              <w:bottom w:val="single" w:sz="4" w:space="0" w:color="auto"/>
              <w:right w:val="single" w:sz="4" w:space="0" w:color="auto"/>
            </w:tcBorders>
            <w:noWrap/>
            <w:vAlign w:val="bottom"/>
            <w:hideMark/>
          </w:tcPr>
          <w:p w14:paraId="5334BD53" w14:textId="77777777" w:rsidR="00A55427" w:rsidRPr="00834B27" w:rsidRDefault="00A55427" w:rsidP="00A55427">
            <w:pPr>
              <w:spacing w:after="0" w:line="240" w:lineRule="auto"/>
              <w:rPr>
                <w:rFonts w:ascii="Aptos Narrow" w:eastAsia="Times New Roman" w:hAnsi="Aptos Narrow" w:cs="Times New Roman"/>
                <w:b/>
                <w:bCs/>
                <w:color w:val="000000"/>
                <w:kern w:val="0"/>
                <w:sz w:val="22"/>
                <w:szCs w:val="22"/>
                <w:lang w:val="it-IT"/>
                <w14:ligatures w14:val="none"/>
              </w:rPr>
            </w:pPr>
            <w:r w:rsidRPr="00834B27">
              <w:rPr>
                <w:rFonts w:ascii="Aptos Narrow" w:eastAsia="Times New Roman" w:hAnsi="Aptos Narrow" w:cs="Times New Roman"/>
                <w:b/>
                <w:bCs/>
                <w:color w:val="000000"/>
                <w:kern w:val="0"/>
                <w:sz w:val="22"/>
                <w:szCs w:val="22"/>
                <w:lang w:val="it-IT"/>
                <w14:ligatures w14:val="none"/>
              </w:rPr>
              <w:t>Impact total (cu pensii DP 3000 si degresiva)</w:t>
            </w:r>
          </w:p>
        </w:tc>
        <w:tc>
          <w:tcPr>
            <w:tcW w:w="1882" w:type="dxa"/>
            <w:tcBorders>
              <w:top w:val="nil"/>
              <w:left w:val="nil"/>
              <w:bottom w:val="single" w:sz="4" w:space="0" w:color="auto"/>
              <w:right w:val="single" w:sz="4" w:space="0" w:color="auto"/>
            </w:tcBorders>
            <w:noWrap/>
            <w:vAlign w:val="bottom"/>
            <w:hideMark/>
          </w:tcPr>
          <w:p w14:paraId="294FEF79" w14:textId="3330CDA0" w:rsidR="00A55427" w:rsidRPr="00834B27" w:rsidRDefault="00424626" w:rsidP="00A55427">
            <w:pPr>
              <w:spacing w:after="0" w:line="240" w:lineRule="auto"/>
              <w:jc w:val="right"/>
              <w:rPr>
                <w:rFonts w:ascii="Aptos Narrow" w:eastAsia="Times New Roman" w:hAnsi="Aptos Narrow" w:cs="Times New Roman"/>
                <w:b/>
                <w:bCs/>
                <w:color w:val="00B050"/>
                <w:kern w:val="0"/>
                <w:sz w:val="22"/>
                <w:szCs w:val="22"/>
                <w14:ligatures w14:val="none"/>
              </w:rPr>
            </w:pPr>
            <w:r w:rsidRPr="00834B27">
              <w:rPr>
                <w:rFonts w:ascii="Aptos Narrow" w:eastAsia="Times New Roman" w:hAnsi="Aptos Narrow" w:cs="Times New Roman"/>
                <w:b/>
                <w:bCs/>
                <w:color w:val="00B050"/>
                <w:kern w:val="0"/>
                <w:sz w:val="22"/>
                <w:szCs w:val="22"/>
                <w14:ligatures w14:val="none"/>
              </w:rPr>
              <w:t>+</w:t>
            </w:r>
            <w:r w:rsidR="00A55427" w:rsidRPr="00834B27">
              <w:rPr>
                <w:rFonts w:ascii="Aptos Narrow" w:eastAsia="Times New Roman" w:hAnsi="Aptos Narrow" w:cs="Times New Roman"/>
                <w:b/>
                <w:bCs/>
                <w:color w:val="00B050"/>
                <w:kern w:val="0"/>
                <w:sz w:val="22"/>
                <w:szCs w:val="22"/>
                <w14:ligatures w14:val="none"/>
              </w:rPr>
              <w:t>1,016,793,234</w:t>
            </w:r>
          </w:p>
        </w:tc>
        <w:tc>
          <w:tcPr>
            <w:tcW w:w="1882" w:type="dxa"/>
            <w:tcBorders>
              <w:top w:val="nil"/>
              <w:left w:val="nil"/>
              <w:bottom w:val="single" w:sz="4" w:space="0" w:color="auto"/>
              <w:right w:val="single" w:sz="4" w:space="0" w:color="auto"/>
            </w:tcBorders>
            <w:noWrap/>
            <w:vAlign w:val="bottom"/>
            <w:hideMark/>
          </w:tcPr>
          <w:p w14:paraId="7AA2B205" w14:textId="5E8DCEB6" w:rsidR="00A55427" w:rsidRPr="00834B27" w:rsidRDefault="00424626" w:rsidP="00A55427">
            <w:pPr>
              <w:spacing w:after="0" w:line="240" w:lineRule="auto"/>
              <w:jc w:val="right"/>
              <w:rPr>
                <w:rFonts w:ascii="Aptos Narrow" w:eastAsia="Times New Roman" w:hAnsi="Aptos Narrow" w:cs="Times New Roman"/>
                <w:b/>
                <w:bCs/>
                <w:color w:val="00B050"/>
                <w:kern w:val="0"/>
                <w:sz w:val="22"/>
                <w:szCs w:val="22"/>
                <w14:ligatures w14:val="none"/>
              </w:rPr>
            </w:pPr>
            <w:r w:rsidRPr="00834B27">
              <w:rPr>
                <w:rFonts w:ascii="Aptos Narrow" w:eastAsia="Times New Roman" w:hAnsi="Aptos Narrow" w:cs="Times New Roman"/>
                <w:b/>
                <w:bCs/>
                <w:color w:val="00B050"/>
                <w:kern w:val="0"/>
                <w:sz w:val="22"/>
                <w:szCs w:val="22"/>
                <w14:ligatures w14:val="none"/>
              </w:rPr>
              <w:t>+</w:t>
            </w:r>
            <w:r w:rsidR="00A55427" w:rsidRPr="00834B27">
              <w:rPr>
                <w:rFonts w:ascii="Aptos Narrow" w:eastAsia="Times New Roman" w:hAnsi="Aptos Narrow" w:cs="Times New Roman"/>
                <w:b/>
                <w:bCs/>
                <w:color w:val="00B050"/>
                <w:kern w:val="0"/>
                <w:sz w:val="22"/>
                <w:szCs w:val="22"/>
                <w14:ligatures w14:val="none"/>
              </w:rPr>
              <w:t>3,882,005,340</w:t>
            </w:r>
          </w:p>
        </w:tc>
        <w:tc>
          <w:tcPr>
            <w:tcW w:w="1882" w:type="dxa"/>
            <w:tcBorders>
              <w:top w:val="nil"/>
              <w:left w:val="nil"/>
              <w:bottom w:val="single" w:sz="4" w:space="0" w:color="auto"/>
              <w:right w:val="single" w:sz="4" w:space="0" w:color="auto"/>
            </w:tcBorders>
            <w:noWrap/>
            <w:vAlign w:val="bottom"/>
            <w:hideMark/>
          </w:tcPr>
          <w:p w14:paraId="4E946B71" w14:textId="1C29CE18" w:rsidR="00A55427" w:rsidRPr="00834B27" w:rsidRDefault="00424626" w:rsidP="00A55427">
            <w:pPr>
              <w:spacing w:after="0" w:line="240" w:lineRule="auto"/>
              <w:jc w:val="right"/>
              <w:rPr>
                <w:rFonts w:ascii="Aptos Narrow" w:eastAsia="Times New Roman" w:hAnsi="Aptos Narrow" w:cs="Times New Roman"/>
                <w:b/>
                <w:bCs/>
                <w:color w:val="00B050"/>
                <w:kern w:val="0"/>
                <w:sz w:val="22"/>
                <w:szCs w:val="22"/>
                <w14:ligatures w14:val="none"/>
              </w:rPr>
            </w:pPr>
            <w:r w:rsidRPr="00834B27">
              <w:rPr>
                <w:rFonts w:ascii="Aptos Narrow" w:eastAsia="Times New Roman" w:hAnsi="Aptos Narrow" w:cs="Times New Roman"/>
                <w:b/>
                <w:bCs/>
                <w:color w:val="00B050"/>
                <w:kern w:val="0"/>
                <w:sz w:val="22"/>
                <w:szCs w:val="22"/>
                <w14:ligatures w14:val="none"/>
              </w:rPr>
              <w:t>+</w:t>
            </w:r>
            <w:r w:rsidR="00A55427" w:rsidRPr="00834B27">
              <w:rPr>
                <w:rFonts w:ascii="Aptos Narrow" w:eastAsia="Times New Roman" w:hAnsi="Aptos Narrow" w:cs="Times New Roman"/>
                <w:b/>
                <w:bCs/>
                <w:color w:val="00B050"/>
                <w:kern w:val="0"/>
                <w:sz w:val="22"/>
                <w:szCs w:val="22"/>
                <w14:ligatures w14:val="none"/>
              </w:rPr>
              <w:t>7,427,029,345</w:t>
            </w:r>
          </w:p>
        </w:tc>
      </w:tr>
      <w:tr w:rsidR="00A55427" w:rsidRPr="00834B27" w14:paraId="20ABA560" w14:textId="77777777" w:rsidTr="00A55427">
        <w:trPr>
          <w:trHeight w:val="293"/>
        </w:trPr>
        <w:tc>
          <w:tcPr>
            <w:tcW w:w="4514" w:type="dxa"/>
            <w:tcBorders>
              <w:top w:val="nil"/>
              <w:left w:val="single" w:sz="4" w:space="0" w:color="auto"/>
              <w:bottom w:val="nil"/>
              <w:right w:val="single" w:sz="4" w:space="0" w:color="auto"/>
            </w:tcBorders>
            <w:noWrap/>
            <w:vAlign w:val="bottom"/>
            <w:hideMark/>
          </w:tcPr>
          <w:p w14:paraId="7C9C1776" w14:textId="77777777" w:rsidR="00A55427" w:rsidRPr="00834B27" w:rsidRDefault="00A55427" w:rsidP="00A55427">
            <w:pPr>
              <w:spacing w:after="0" w:line="240" w:lineRule="auto"/>
              <w:rPr>
                <w:rFonts w:ascii="Aptos Narrow" w:eastAsia="Times New Roman" w:hAnsi="Aptos Narrow" w:cs="Times New Roman"/>
                <w:color w:val="000000"/>
                <w:kern w:val="0"/>
                <w:sz w:val="22"/>
                <w:szCs w:val="22"/>
                <w14:ligatures w14:val="none"/>
              </w:rPr>
            </w:pPr>
            <w:r w:rsidRPr="00834B27">
              <w:rPr>
                <w:rFonts w:ascii="Aptos Narrow" w:eastAsia="Times New Roman" w:hAnsi="Aptos Narrow" w:cs="Times New Roman"/>
                <w:color w:val="000000"/>
                <w:kern w:val="0"/>
                <w:sz w:val="22"/>
                <w:szCs w:val="22"/>
                <w14:ligatures w14:val="none"/>
              </w:rPr>
              <w:t> </w:t>
            </w:r>
          </w:p>
        </w:tc>
        <w:tc>
          <w:tcPr>
            <w:tcW w:w="1882" w:type="dxa"/>
            <w:tcBorders>
              <w:top w:val="nil"/>
              <w:left w:val="nil"/>
              <w:bottom w:val="nil"/>
              <w:right w:val="single" w:sz="4" w:space="0" w:color="auto"/>
            </w:tcBorders>
            <w:noWrap/>
            <w:vAlign w:val="bottom"/>
            <w:hideMark/>
          </w:tcPr>
          <w:p w14:paraId="0B3CFD56" w14:textId="77777777" w:rsidR="00A55427" w:rsidRPr="00834B27" w:rsidRDefault="00A55427" w:rsidP="00A55427">
            <w:pPr>
              <w:spacing w:after="0" w:line="240" w:lineRule="auto"/>
              <w:rPr>
                <w:rFonts w:ascii="Aptos Narrow" w:eastAsia="Times New Roman" w:hAnsi="Aptos Narrow" w:cs="Times New Roman"/>
                <w:color w:val="000000"/>
                <w:kern w:val="0"/>
                <w:sz w:val="22"/>
                <w:szCs w:val="22"/>
                <w14:ligatures w14:val="none"/>
              </w:rPr>
            </w:pPr>
            <w:r w:rsidRPr="00834B27">
              <w:rPr>
                <w:rFonts w:ascii="Aptos Narrow" w:eastAsia="Times New Roman" w:hAnsi="Aptos Narrow" w:cs="Times New Roman"/>
                <w:color w:val="000000"/>
                <w:kern w:val="0"/>
                <w:sz w:val="22"/>
                <w:szCs w:val="22"/>
                <w14:ligatures w14:val="none"/>
              </w:rPr>
              <w:t> </w:t>
            </w:r>
          </w:p>
        </w:tc>
        <w:tc>
          <w:tcPr>
            <w:tcW w:w="1882" w:type="dxa"/>
            <w:tcBorders>
              <w:top w:val="nil"/>
              <w:left w:val="nil"/>
              <w:bottom w:val="nil"/>
              <w:right w:val="single" w:sz="4" w:space="0" w:color="auto"/>
            </w:tcBorders>
            <w:noWrap/>
            <w:vAlign w:val="bottom"/>
            <w:hideMark/>
          </w:tcPr>
          <w:p w14:paraId="3DCF7C46" w14:textId="77777777" w:rsidR="00A55427" w:rsidRPr="00834B27" w:rsidRDefault="00A55427" w:rsidP="00A55427">
            <w:pPr>
              <w:spacing w:after="0" w:line="240" w:lineRule="auto"/>
              <w:rPr>
                <w:rFonts w:ascii="Aptos Narrow" w:eastAsia="Times New Roman" w:hAnsi="Aptos Narrow" w:cs="Times New Roman"/>
                <w:color w:val="000000"/>
                <w:kern w:val="0"/>
                <w:sz w:val="22"/>
                <w:szCs w:val="22"/>
                <w14:ligatures w14:val="none"/>
              </w:rPr>
            </w:pPr>
            <w:r w:rsidRPr="00834B27">
              <w:rPr>
                <w:rFonts w:ascii="Aptos Narrow" w:eastAsia="Times New Roman" w:hAnsi="Aptos Narrow" w:cs="Times New Roman"/>
                <w:color w:val="000000"/>
                <w:kern w:val="0"/>
                <w:sz w:val="22"/>
                <w:szCs w:val="22"/>
                <w14:ligatures w14:val="none"/>
              </w:rPr>
              <w:t> </w:t>
            </w:r>
          </w:p>
        </w:tc>
        <w:tc>
          <w:tcPr>
            <w:tcW w:w="1882" w:type="dxa"/>
            <w:tcBorders>
              <w:top w:val="nil"/>
              <w:left w:val="nil"/>
              <w:bottom w:val="nil"/>
              <w:right w:val="single" w:sz="4" w:space="0" w:color="auto"/>
            </w:tcBorders>
            <w:noWrap/>
            <w:vAlign w:val="bottom"/>
            <w:hideMark/>
          </w:tcPr>
          <w:p w14:paraId="5BDF4D77" w14:textId="77777777" w:rsidR="00A55427" w:rsidRPr="00834B27" w:rsidRDefault="00A55427" w:rsidP="00A55427">
            <w:pPr>
              <w:spacing w:after="0" w:line="240" w:lineRule="auto"/>
              <w:rPr>
                <w:rFonts w:ascii="Aptos Narrow" w:eastAsia="Times New Roman" w:hAnsi="Aptos Narrow" w:cs="Times New Roman"/>
                <w:color w:val="000000"/>
                <w:kern w:val="0"/>
                <w:sz w:val="22"/>
                <w:szCs w:val="22"/>
                <w14:ligatures w14:val="none"/>
              </w:rPr>
            </w:pPr>
            <w:r w:rsidRPr="00834B27">
              <w:rPr>
                <w:rFonts w:ascii="Aptos Narrow" w:eastAsia="Times New Roman" w:hAnsi="Aptos Narrow" w:cs="Times New Roman"/>
                <w:color w:val="000000"/>
                <w:kern w:val="0"/>
                <w:sz w:val="22"/>
                <w:szCs w:val="22"/>
                <w14:ligatures w14:val="none"/>
              </w:rPr>
              <w:t> </w:t>
            </w:r>
          </w:p>
        </w:tc>
      </w:tr>
      <w:tr w:rsidR="00A55427" w:rsidRPr="00834B27" w14:paraId="39D7A6E0" w14:textId="77777777" w:rsidTr="00A55427">
        <w:trPr>
          <w:trHeight w:val="293"/>
        </w:trPr>
        <w:tc>
          <w:tcPr>
            <w:tcW w:w="4514" w:type="dxa"/>
            <w:tcBorders>
              <w:top w:val="single" w:sz="12" w:space="0" w:color="auto"/>
              <w:left w:val="single" w:sz="4" w:space="0" w:color="auto"/>
              <w:bottom w:val="single" w:sz="4" w:space="0" w:color="auto"/>
              <w:right w:val="single" w:sz="4" w:space="0" w:color="auto"/>
            </w:tcBorders>
            <w:noWrap/>
            <w:vAlign w:val="bottom"/>
            <w:hideMark/>
          </w:tcPr>
          <w:p w14:paraId="73F410DD" w14:textId="77777777" w:rsidR="00A55427" w:rsidRPr="00834B27" w:rsidRDefault="00A55427" w:rsidP="00A55427">
            <w:pPr>
              <w:spacing w:after="0" w:line="240" w:lineRule="auto"/>
              <w:rPr>
                <w:rFonts w:ascii="Aptos Narrow" w:eastAsia="Times New Roman" w:hAnsi="Aptos Narrow" w:cs="Times New Roman"/>
                <w:b/>
                <w:bCs/>
                <w:color w:val="000000"/>
                <w:kern w:val="0"/>
                <w:sz w:val="22"/>
                <w:szCs w:val="22"/>
                <w14:ligatures w14:val="none"/>
              </w:rPr>
            </w:pPr>
            <w:proofErr w:type="spellStart"/>
            <w:r w:rsidRPr="00834B27">
              <w:rPr>
                <w:rFonts w:ascii="Aptos Narrow" w:eastAsia="Times New Roman" w:hAnsi="Aptos Narrow" w:cs="Times New Roman"/>
                <w:b/>
                <w:bCs/>
                <w:color w:val="000000"/>
                <w:kern w:val="0"/>
                <w:sz w:val="22"/>
                <w:szCs w:val="22"/>
                <w14:ligatures w14:val="none"/>
              </w:rPr>
              <w:t>Modificare</w:t>
            </w:r>
            <w:proofErr w:type="spellEnd"/>
            <w:r w:rsidRPr="00834B27">
              <w:rPr>
                <w:rFonts w:ascii="Aptos Narrow" w:eastAsia="Times New Roman" w:hAnsi="Aptos Narrow" w:cs="Times New Roman"/>
                <w:b/>
                <w:bCs/>
                <w:color w:val="000000"/>
                <w:kern w:val="0"/>
                <w:sz w:val="22"/>
                <w:szCs w:val="22"/>
                <w14:ligatures w14:val="none"/>
              </w:rPr>
              <w:t xml:space="preserve"> cote 16/8,8/21,7</w:t>
            </w:r>
          </w:p>
        </w:tc>
        <w:tc>
          <w:tcPr>
            <w:tcW w:w="1882" w:type="dxa"/>
            <w:tcBorders>
              <w:top w:val="single" w:sz="12" w:space="0" w:color="auto"/>
              <w:left w:val="nil"/>
              <w:bottom w:val="single" w:sz="4" w:space="0" w:color="auto"/>
              <w:right w:val="single" w:sz="4" w:space="0" w:color="auto"/>
            </w:tcBorders>
            <w:noWrap/>
            <w:vAlign w:val="bottom"/>
            <w:hideMark/>
          </w:tcPr>
          <w:p w14:paraId="7537E8F1" w14:textId="7CAECB9E" w:rsidR="00A55427" w:rsidRPr="00834B27" w:rsidRDefault="00A55427" w:rsidP="00A55427">
            <w:pPr>
              <w:spacing w:after="0" w:line="240" w:lineRule="auto"/>
              <w:rPr>
                <w:rFonts w:ascii="Aptos Narrow" w:eastAsia="Times New Roman" w:hAnsi="Aptos Narrow" w:cs="Times New Roman"/>
                <w:b/>
                <w:bCs/>
                <w:color w:val="000000"/>
                <w:kern w:val="0"/>
                <w:sz w:val="22"/>
                <w:szCs w:val="22"/>
                <w14:ligatures w14:val="none"/>
              </w:rPr>
            </w:pPr>
            <w:proofErr w:type="spellStart"/>
            <w:r w:rsidRPr="00834B27">
              <w:rPr>
                <w:rFonts w:ascii="Aptos Narrow" w:eastAsia="Times New Roman" w:hAnsi="Aptos Narrow" w:cs="Times New Roman"/>
                <w:b/>
                <w:bCs/>
                <w:color w:val="000000"/>
                <w:kern w:val="0"/>
                <w:sz w:val="22"/>
                <w:szCs w:val="22"/>
                <w14:ligatures w14:val="none"/>
              </w:rPr>
              <w:t>Plafonare</w:t>
            </w:r>
            <w:proofErr w:type="spellEnd"/>
            <w:r w:rsidRPr="00834B27">
              <w:rPr>
                <w:rFonts w:ascii="Aptos Narrow" w:eastAsia="Times New Roman" w:hAnsi="Aptos Narrow" w:cs="Times New Roman"/>
                <w:b/>
                <w:bCs/>
                <w:color w:val="000000"/>
                <w:kern w:val="0"/>
                <w:sz w:val="22"/>
                <w:szCs w:val="22"/>
                <w14:ligatures w14:val="none"/>
              </w:rPr>
              <w:t xml:space="preserve"> 72 S</w:t>
            </w:r>
            <w:r w:rsidR="00424626" w:rsidRPr="00834B27">
              <w:rPr>
                <w:rFonts w:ascii="Aptos Narrow" w:eastAsia="Times New Roman" w:hAnsi="Aptos Narrow" w:cs="Times New Roman"/>
                <w:b/>
                <w:bCs/>
                <w:color w:val="000000"/>
                <w:kern w:val="0"/>
                <w:sz w:val="22"/>
                <w:szCs w:val="22"/>
                <w14:ligatures w14:val="none"/>
              </w:rPr>
              <w:t>M</w:t>
            </w:r>
          </w:p>
        </w:tc>
        <w:tc>
          <w:tcPr>
            <w:tcW w:w="1882" w:type="dxa"/>
            <w:tcBorders>
              <w:top w:val="single" w:sz="12" w:space="0" w:color="auto"/>
              <w:left w:val="nil"/>
              <w:bottom w:val="single" w:sz="4" w:space="0" w:color="auto"/>
              <w:right w:val="single" w:sz="4" w:space="0" w:color="auto"/>
            </w:tcBorders>
            <w:noWrap/>
            <w:vAlign w:val="bottom"/>
            <w:hideMark/>
          </w:tcPr>
          <w:p w14:paraId="7CF04CB9" w14:textId="58C65C44" w:rsidR="00A55427" w:rsidRPr="00834B27" w:rsidRDefault="00A55427" w:rsidP="00A55427">
            <w:pPr>
              <w:spacing w:after="0" w:line="240" w:lineRule="auto"/>
              <w:rPr>
                <w:rFonts w:ascii="Aptos Narrow" w:eastAsia="Times New Roman" w:hAnsi="Aptos Narrow" w:cs="Times New Roman"/>
                <w:b/>
                <w:bCs/>
                <w:color w:val="000000"/>
                <w:kern w:val="0"/>
                <w:sz w:val="22"/>
                <w:szCs w:val="22"/>
                <w14:ligatures w14:val="none"/>
              </w:rPr>
            </w:pPr>
            <w:proofErr w:type="spellStart"/>
            <w:r w:rsidRPr="00834B27">
              <w:rPr>
                <w:rFonts w:ascii="Aptos Narrow" w:eastAsia="Times New Roman" w:hAnsi="Aptos Narrow" w:cs="Times New Roman"/>
                <w:b/>
                <w:bCs/>
                <w:color w:val="000000"/>
                <w:kern w:val="0"/>
                <w:sz w:val="22"/>
                <w:szCs w:val="22"/>
                <w14:ligatures w14:val="none"/>
              </w:rPr>
              <w:t>Plafonare</w:t>
            </w:r>
            <w:proofErr w:type="spellEnd"/>
            <w:r w:rsidRPr="00834B27">
              <w:rPr>
                <w:rFonts w:ascii="Aptos Narrow" w:eastAsia="Times New Roman" w:hAnsi="Aptos Narrow" w:cs="Times New Roman"/>
                <w:b/>
                <w:bCs/>
                <w:color w:val="000000"/>
                <w:kern w:val="0"/>
                <w:sz w:val="22"/>
                <w:szCs w:val="22"/>
                <w14:ligatures w14:val="none"/>
              </w:rPr>
              <w:t xml:space="preserve"> 84 S</w:t>
            </w:r>
            <w:r w:rsidR="00424626" w:rsidRPr="00834B27">
              <w:rPr>
                <w:rFonts w:ascii="Aptos Narrow" w:eastAsia="Times New Roman" w:hAnsi="Aptos Narrow" w:cs="Times New Roman"/>
                <w:b/>
                <w:bCs/>
                <w:color w:val="000000"/>
                <w:kern w:val="0"/>
                <w:sz w:val="22"/>
                <w:szCs w:val="22"/>
                <w14:ligatures w14:val="none"/>
              </w:rPr>
              <w:t>M</w:t>
            </w:r>
          </w:p>
        </w:tc>
        <w:tc>
          <w:tcPr>
            <w:tcW w:w="1882" w:type="dxa"/>
            <w:tcBorders>
              <w:top w:val="single" w:sz="12" w:space="0" w:color="auto"/>
              <w:left w:val="nil"/>
              <w:bottom w:val="single" w:sz="4" w:space="0" w:color="auto"/>
              <w:right w:val="single" w:sz="4" w:space="0" w:color="auto"/>
            </w:tcBorders>
            <w:noWrap/>
            <w:vAlign w:val="bottom"/>
            <w:hideMark/>
          </w:tcPr>
          <w:p w14:paraId="29BC5A0E" w14:textId="4CCE7DE2" w:rsidR="00A55427" w:rsidRPr="00834B27" w:rsidRDefault="00A55427" w:rsidP="00A55427">
            <w:pPr>
              <w:spacing w:after="0" w:line="240" w:lineRule="auto"/>
              <w:rPr>
                <w:rFonts w:ascii="Aptos Narrow" w:eastAsia="Times New Roman" w:hAnsi="Aptos Narrow" w:cs="Times New Roman"/>
                <w:b/>
                <w:bCs/>
                <w:color w:val="000000"/>
                <w:kern w:val="0"/>
                <w:sz w:val="22"/>
                <w:szCs w:val="22"/>
                <w14:ligatures w14:val="none"/>
              </w:rPr>
            </w:pPr>
            <w:proofErr w:type="spellStart"/>
            <w:r w:rsidRPr="00834B27">
              <w:rPr>
                <w:rFonts w:ascii="Aptos Narrow" w:eastAsia="Times New Roman" w:hAnsi="Aptos Narrow" w:cs="Times New Roman"/>
                <w:b/>
                <w:bCs/>
                <w:color w:val="000000"/>
                <w:kern w:val="0"/>
                <w:sz w:val="22"/>
                <w:szCs w:val="22"/>
                <w14:ligatures w14:val="none"/>
              </w:rPr>
              <w:t>Plafonare</w:t>
            </w:r>
            <w:proofErr w:type="spellEnd"/>
            <w:r w:rsidRPr="00834B27">
              <w:rPr>
                <w:rFonts w:ascii="Aptos Narrow" w:eastAsia="Times New Roman" w:hAnsi="Aptos Narrow" w:cs="Times New Roman"/>
                <w:b/>
                <w:bCs/>
                <w:color w:val="000000"/>
                <w:kern w:val="0"/>
                <w:sz w:val="22"/>
                <w:szCs w:val="22"/>
                <w14:ligatures w14:val="none"/>
              </w:rPr>
              <w:t xml:space="preserve"> 96 S</w:t>
            </w:r>
            <w:r w:rsidR="00424626" w:rsidRPr="00834B27">
              <w:rPr>
                <w:rFonts w:ascii="Aptos Narrow" w:eastAsia="Times New Roman" w:hAnsi="Aptos Narrow" w:cs="Times New Roman"/>
                <w:b/>
                <w:bCs/>
                <w:color w:val="000000"/>
                <w:kern w:val="0"/>
                <w:sz w:val="22"/>
                <w:szCs w:val="22"/>
                <w14:ligatures w14:val="none"/>
              </w:rPr>
              <w:t>M</w:t>
            </w:r>
          </w:p>
        </w:tc>
      </w:tr>
      <w:tr w:rsidR="00A55427" w:rsidRPr="00834B27" w14:paraId="67967BFB" w14:textId="77777777" w:rsidTr="00A55427">
        <w:trPr>
          <w:trHeight w:val="285"/>
        </w:trPr>
        <w:tc>
          <w:tcPr>
            <w:tcW w:w="4514" w:type="dxa"/>
            <w:tcBorders>
              <w:top w:val="nil"/>
              <w:left w:val="single" w:sz="4" w:space="0" w:color="auto"/>
              <w:bottom w:val="single" w:sz="4" w:space="0" w:color="auto"/>
              <w:right w:val="single" w:sz="4" w:space="0" w:color="auto"/>
            </w:tcBorders>
            <w:noWrap/>
            <w:vAlign w:val="bottom"/>
            <w:hideMark/>
          </w:tcPr>
          <w:p w14:paraId="2129A669" w14:textId="77777777" w:rsidR="00A55427" w:rsidRPr="00834B27" w:rsidRDefault="00A55427" w:rsidP="00A55427">
            <w:pPr>
              <w:spacing w:after="0" w:line="240" w:lineRule="auto"/>
              <w:rPr>
                <w:rFonts w:ascii="Aptos Narrow" w:eastAsia="Times New Roman" w:hAnsi="Aptos Narrow" w:cs="Times New Roman"/>
                <w:color w:val="000000"/>
                <w:kern w:val="0"/>
                <w:sz w:val="22"/>
                <w:szCs w:val="22"/>
                <w14:ligatures w14:val="none"/>
              </w:rPr>
            </w:pPr>
            <w:r w:rsidRPr="00834B27">
              <w:rPr>
                <w:rFonts w:ascii="Aptos Narrow" w:eastAsia="Times New Roman" w:hAnsi="Aptos Narrow" w:cs="Times New Roman"/>
                <w:color w:val="000000"/>
                <w:kern w:val="0"/>
                <w:sz w:val="22"/>
                <w:szCs w:val="22"/>
                <w14:ligatures w14:val="none"/>
              </w:rPr>
              <w:t> </w:t>
            </w:r>
          </w:p>
        </w:tc>
        <w:tc>
          <w:tcPr>
            <w:tcW w:w="1882" w:type="dxa"/>
            <w:tcBorders>
              <w:top w:val="nil"/>
              <w:left w:val="nil"/>
              <w:bottom w:val="single" w:sz="4" w:space="0" w:color="auto"/>
              <w:right w:val="single" w:sz="4" w:space="0" w:color="auto"/>
            </w:tcBorders>
            <w:noWrap/>
            <w:vAlign w:val="bottom"/>
            <w:hideMark/>
          </w:tcPr>
          <w:p w14:paraId="55E1C51D" w14:textId="77777777" w:rsidR="00A55427" w:rsidRPr="00834B27" w:rsidRDefault="00A55427" w:rsidP="00A55427">
            <w:pPr>
              <w:spacing w:after="0" w:line="240" w:lineRule="auto"/>
              <w:rPr>
                <w:rFonts w:ascii="Aptos Narrow" w:eastAsia="Times New Roman" w:hAnsi="Aptos Narrow" w:cs="Times New Roman"/>
                <w:color w:val="000000"/>
                <w:kern w:val="0"/>
                <w:sz w:val="22"/>
                <w:szCs w:val="22"/>
                <w14:ligatures w14:val="none"/>
              </w:rPr>
            </w:pPr>
            <w:r w:rsidRPr="00834B27">
              <w:rPr>
                <w:rFonts w:ascii="Aptos Narrow" w:eastAsia="Times New Roman" w:hAnsi="Aptos Narrow" w:cs="Times New Roman"/>
                <w:color w:val="000000"/>
                <w:kern w:val="0"/>
                <w:sz w:val="22"/>
                <w:szCs w:val="22"/>
                <w14:ligatures w14:val="none"/>
              </w:rPr>
              <w:t> </w:t>
            </w:r>
          </w:p>
        </w:tc>
        <w:tc>
          <w:tcPr>
            <w:tcW w:w="1882" w:type="dxa"/>
            <w:tcBorders>
              <w:top w:val="nil"/>
              <w:left w:val="nil"/>
              <w:bottom w:val="single" w:sz="4" w:space="0" w:color="auto"/>
              <w:right w:val="single" w:sz="4" w:space="0" w:color="auto"/>
            </w:tcBorders>
            <w:noWrap/>
            <w:vAlign w:val="bottom"/>
            <w:hideMark/>
          </w:tcPr>
          <w:p w14:paraId="5153C180" w14:textId="77777777" w:rsidR="00A55427" w:rsidRPr="00834B27" w:rsidRDefault="00A55427" w:rsidP="00A55427">
            <w:pPr>
              <w:spacing w:after="0" w:line="240" w:lineRule="auto"/>
              <w:rPr>
                <w:rFonts w:ascii="Aptos Narrow" w:eastAsia="Times New Roman" w:hAnsi="Aptos Narrow" w:cs="Times New Roman"/>
                <w:color w:val="000000"/>
                <w:kern w:val="0"/>
                <w:sz w:val="22"/>
                <w:szCs w:val="22"/>
                <w14:ligatures w14:val="none"/>
              </w:rPr>
            </w:pPr>
            <w:r w:rsidRPr="00834B27">
              <w:rPr>
                <w:rFonts w:ascii="Aptos Narrow" w:eastAsia="Times New Roman" w:hAnsi="Aptos Narrow" w:cs="Times New Roman"/>
                <w:color w:val="000000"/>
                <w:kern w:val="0"/>
                <w:sz w:val="22"/>
                <w:szCs w:val="22"/>
                <w14:ligatures w14:val="none"/>
              </w:rPr>
              <w:t> </w:t>
            </w:r>
          </w:p>
        </w:tc>
        <w:tc>
          <w:tcPr>
            <w:tcW w:w="1882" w:type="dxa"/>
            <w:tcBorders>
              <w:top w:val="nil"/>
              <w:left w:val="nil"/>
              <w:bottom w:val="single" w:sz="4" w:space="0" w:color="auto"/>
              <w:right w:val="single" w:sz="4" w:space="0" w:color="auto"/>
            </w:tcBorders>
            <w:noWrap/>
            <w:vAlign w:val="bottom"/>
            <w:hideMark/>
          </w:tcPr>
          <w:p w14:paraId="15332EC8" w14:textId="77777777" w:rsidR="00A55427" w:rsidRPr="00834B27" w:rsidRDefault="00A55427" w:rsidP="00A55427">
            <w:pPr>
              <w:spacing w:after="0" w:line="240" w:lineRule="auto"/>
              <w:rPr>
                <w:rFonts w:ascii="Aptos Narrow" w:eastAsia="Times New Roman" w:hAnsi="Aptos Narrow" w:cs="Times New Roman"/>
                <w:color w:val="000000"/>
                <w:kern w:val="0"/>
                <w:sz w:val="22"/>
                <w:szCs w:val="22"/>
                <w14:ligatures w14:val="none"/>
              </w:rPr>
            </w:pPr>
            <w:r w:rsidRPr="00834B27">
              <w:rPr>
                <w:rFonts w:ascii="Aptos Narrow" w:eastAsia="Times New Roman" w:hAnsi="Aptos Narrow" w:cs="Times New Roman"/>
                <w:color w:val="000000"/>
                <w:kern w:val="0"/>
                <w:sz w:val="22"/>
                <w:szCs w:val="22"/>
                <w14:ligatures w14:val="none"/>
              </w:rPr>
              <w:t> </w:t>
            </w:r>
          </w:p>
        </w:tc>
      </w:tr>
      <w:tr w:rsidR="00A55427" w:rsidRPr="00834B27" w14:paraId="1A91F135" w14:textId="77777777" w:rsidTr="00A55427">
        <w:trPr>
          <w:trHeight w:val="285"/>
        </w:trPr>
        <w:tc>
          <w:tcPr>
            <w:tcW w:w="4514" w:type="dxa"/>
            <w:tcBorders>
              <w:top w:val="nil"/>
              <w:left w:val="single" w:sz="4" w:space="0" w:color="auto"/>
              <w:bottom w:val="single" w:sz="4" w:space="0" w:color="auto"/>
              <w:right w:val="single" w:sz="4" w:space="0" w:color="auto"/>
            </w:tcBorders>
            <w:noWrap/>
            <w:vAlign w:val="bottom"/>
            <w:hideMark/>
          </w:tcPr>
          <w:p w14:paraId="131F3769" w14:textId="77777777" w:rsidR="00A55427" w:rsidRPr="00834B27" w:rsidRDefault="00A55427" w:rsidP="00A55427">
            <w:pPr>
              <w:spacing w:after="0" w:line="240" w:lineRule="auto"/>
              <w:rPr>
                <w:rFonts w:ascii="Aptos Narrow" w:eastAsia="Times New Roman" w:hAnsi="Aptos Narrow" w:cs="Times New Roman"/>
                <w:color w:val="000000"/>
                <w:kern w:val="0"/>
                <w:sz w:val="22"/>
                <w:szCs w:val="22"/>
                <w14:ligatures w14:val="none"/>
              </w:rPr>
            </w:pPr>
            <w:proofErr w:type="spellStart"/>
            <w:r w:rsidRPr="00834B27">
              <w:rPr>
                <w:rFonts w:ascii="Aptos Narrow" w:eastAsia="Times New Roman" w:hAnsi="Aptos Narrow" w:cs="Times New Roman"/>
                <w:color w:val="000000"/>
                <w:kern w:val="0"/>
                <w:sz w:val="22"/>
                <w:szCs w:val="22"/>
                <w14:ligatures w14:val="none"/>
              </w:rPr>
              <w:t>Salarii</w:t>
            </w:r>
            <w:proofErr w:type="spellEnd"/>
          </w:p>
        </w:tc>
        <w:tc>
          <w:tcPr>
            <w:tcW w:w="1882" w:type="dxa"/>
            <w:tcBorders>
              <w:top w:val="nil"/>
              <w:left w:val="nil"/>
              <w:bottom w:val="single" w:sz="4" w:space="0" w:color="auto"/>
              <w:right w:val="single" w:sz="4" w:space="0" w:color="auto"/>
            </w:tcBorders>
            <w:noWrap/>
            <w:vAlign w:val="bottom"/>
            <w:hideMark/>
          </w:tcPr>
          <w:p w14:paraId="2F9D67D9" w14:textId="77777777" w:rsidR="00A55427" w:rsidRPr="00834B27" w:rsidRDefault="00A55427" w:rsidP="00A55427">
            <w:pPr>
              <w:spacing w:after="0" w:line="240" w:lineRule="auto"/>
              <w:jc w:val="right"/>
              <w:rPr>
                <w:rFonts w:ascii="Aptos Narrow" w:eastAsia="Times New Roman" w:hAnsi="Aptos Narrow" w:cs="Times New Roman"/>
                <w:color w:val="FF0000"/>
                <w:kern w:val="0"/>
                <w:sz w:val="22"/>
                <w:szCs w:val="22"/>
                <w14:ligatures w14:val="none"/>
              </w:rPr>
            </w:pPr>
            <w:r w:rsidRPr="00834B27">
              <w:rPr>
                <w:rFonts w:ascii="Aptos Narrow" w:eastAsia="Times New Roman" w:hAnsi="Aptos Narrow" w:cs="Times New Roman"/>
                <w:color w:val="FF0000"/>
                <w:kern w:val="0"/>
                <w:sz w:val="22"/>
                <w:szCs w:val="22"/>
                <w14:ligatures w14:val="none"/>
              </w:rPr>
              <w:t>8,290,998,755</w:t>
            </w:r>
          </w:p>
        </w:tc>
        <w:tc>
          <w:tcPr>
            <w:tcW w:w="1882" w:type="dxa"/>
            <w:tcBorders>
              <w:top w:val="nil"/>
              <w:left w:val="nil"/>
              <w:bottom w:val="single" w:sz="4" w:space="0" w:color="auto"/>
              <w:right w:val="single" w:sz="4" w:space="0" w:color="auto"/>
            </w:tcBorders>
            <w:noWrap/>
            <w:vAlign w:val="bottom"/>
            <w:hideMark/>
          </w:tcPr>
          <w:p w14:paraId="44A5CC38" w14:textId="77777777" w:rsidR="00A55427" w:rsidRPr="00834B27" w:rsidRDefault="00A55427" w:rsidP="00A55427">
            <w:pPr>
              <w:spacing w:after="0" w:line="240" w:lineRule="auto"/>
              <w:jc w:val="right"/>
              <w:rPr>
                <w:rFonts w:ascii="Aptos Narrow" w:eastAsia="Times New Roman" w:hAnsi="Aptos Narrow" w:cs="Times New Roman"/>
                <w:color w:val="FF0000"/>
                <w:kern w:val="0"/>
                <w:sz w:val="22"/>
                <w:szCs w:val="22"/>
                <w14:ligatures w14:val="none"/>
              </w:rPr>
            </w:pPr>
            <w:r w:rsidRPr="00834B27">
              <w:rPr>
                <w:rFonts w:ascii="Aptos Narrow" w:eastAsia="Times New Roman" w:hAnsi="Aptos Narrow" w:cs="Times New Roman"/>
                <w:color w:val="FF0000"/>
                <w:kern w:val="0"/>
                <w:sz w:val="22"/>
                <w:szCs w:val="22"/>
                <w14:ligatures w14:val="none"/>
              </w:rPr>
              <w:t>6,548,909,452</w:t>
            </w:r>
          </w:p>
        </w:tc>
        <w:tc>
          <w:tcPr>
            <w:tcW w:w="1882" w:type="dxa"/>
            <w:tcBorders>
              <w:top w:val="nil"/>
              <w:left w:val="nil"/>
              <w:bottom w:val="single" w:sz="4" w:space="0" w:color="auto"/>
              <w:right w:val="single" w:sz="4" w:space="0" w:color="auto"/>
            </w:tcBorders>
            <w:noWrap/>
            <w:vAlign w:val="bottom"/>
            <w:hideMark/>
          </w:tcPr>
          <w:p w14:paraId="279858C3" w14:textId="77777777" w:rsidR="00A55427" w:rsidRPr="00834B27" w:rsidRDefault="00A55427" w:rsidP="00A55427">
            <w:pPr>
              <w:spacing w:after="0" w:line="240" w:lineRule="auto"/>
              <w:jc w:val="right"/>
              <w:rPr>
                <w:rFonts w:ascii="Aptos Narrow" w:eastAsia="Times New Roman" w:hAnsi="Aptos Narrow" w:cs="Times New Roman"/>
                <w:color w:val="FF0000"/>
                <w:kern w:val="0"/>
                <w:sz w:val="22"/>
                <w:szCs w:val="22"/>
                <w14:ligatures w14:val="none"/>
              </w:rPr>
            </w:pPr>
            <w:r w:rsidRPr="00834B27">
              <w:rPr>
                <w:rFonts w:ascii="Aptos Narrow" w:eastAsia="Times New Roman" w:hAnsi="Aptos Narrow" w:cs="Times New Roman"/>
                <w:color w:val="FF0000"/>
                <w:kern w:val="0"/>
                <w:sz w:val="22"/>
                <w:szCs w:val="22"/>
                <w14:ligatures w14:val="none"/>
              </w:rPr>
              <w:t>4,096,865,630</w:t>
            </w:r>
          </w:p>
        </w:tc>
      </w:tr>
      <w:tr w:rsidR="00A55427" w:rsidRPr="00834B27" w14:paraId="6D240DA9" w14:textId="77777777" w:rsidTr="00A55427">
        <w:trPr>
          <w:trHeight w:val="285"/>
        </w:trPr>
        <w:tc>
          <w:tcPr>
            <w:tcW w:w="4514" w:type="dxa"/>
            <w:tcBorders>
              <w:top w:val="nil"/>
              <w:left w:val="single" w:sz="4" w:space="0" w:color="auto"/>
              <w:bottom w:val="single" w:sz="4" w:space="0" w:color="auto"/>
              <w:right w:val="single" w:sz="4" w:space="0" w:color="auto"/>
            </w:tcBorders>
            <w:noWrap/>
            <w:vAlign w:val="bottom"/>
            <w:hideMark/>
          </w:tcPr>
          <w:p w14:paraId="6BDF32DA" w14:textId="77777777" w:rsidR="00A55427" w:rsidRPr="00834B27" w:rsidRDefault="00A55427" w:rsidP="00A55427">
            <w:pPr>
              <w:spacing w:after="0" w:line="240" w:lineRule="auto"/>
              <w:rPr>
                <w:rFonts w:ascii="Aptos Narrow" w:eastAsia="Times New Roman" w:hAnsi="Aptos Narrow" w:cs="Times New Roman"/>
                <w:color w:val="000000"/>
                <w:kern w:val="0"/>
                <w:sz w:val="22"/>
                <w:szCs w:val="22"/>
                <w14:ligatures w14:val="none"/>
              </w:rPr>
            </w:pPr>
            <w:proofErr w:type="spellStart"/>
            <w:r w:rsidRPr="00834B27">
              <w:rPr>
                <w:rFonts w:ascii="Aptos Narrow" w:eastAsia="Times New Roman" w:hAnsi="Aptos Narrow" w:cs="Times New Roman"/>
                <w:color w:val="000000"/>
                <w:kern w:val="0"/>
                <w:sz w:val="22"/>
                <w:szCs w:val="22"/>
                <w14:ligatures w14:val="none"/>
              </w:rPr>
              <w:t>Venituri</w:t>
            </w:r>
            <w:proofErr w:type="spellEnd"/>
            <w:r w:rsidRPr="00834B27">
              <w:rPr>
                <w:rFonts w:ascii="Aptos Narrow" w:eastAsia="Times New Roman" w:hAnsi="Aptos Narrow" w:cs="Times New Roman"/>
                <w:color w:val="000000"/>
                <w:kern w:val="0"/>
                <w:sz w:val="22"/>
                <w:szCs w:val="22"/>
                <w14:ligatures w14:val="none"/>
              </w:rPr>
              <w:t xml:space="preserve"> </w:t>
            </w:r>
            <w:proofErr w:type="gramStart"/>
            <w:r w:rsidRPr="00834B27">
              <w:rPr>
                <w:rFonts w:ascii="Aptos Narrow" w:eastAsia="Times New Roman" w:hAnsi="Aptos Narrow" w:cs="Times New Roman"/>
                <w:color w:val="000000"/>
                <w:kern w:val="0"/>
                <w:sz w:val="22"/>
                <w:szCs w:val="22"/>
                <w14:ligatures w14:val="none"/>
              </w:rPr>
              <w:t>din act</w:t>
            </w:r>
            <w:proofErr w:type="gramEnd"/>
            <w:r w:rsidRPr="00834B27">
              <w:rPr>
                <w:rFonts w:ascii="Aptos Narrow" w:eastAsia="Times New Roman" w:hAnsi="Aptos Narrow" w:cs="Times New Roman"/>
                <w:color w:val="000000"/>
                <w:kern w:val="0"/>
                <w:sz w:val="22"/>
                <w:szCs w:val="22"/>
                <w14:ligatures w14:val="none"/>
              </w:rPr>
              <w:t>. Ind</w:t>
            </w:r>
          </w:p>
        </w:tc>
        <w:tc>
          <w:tcPr>
            <w:tcW w:w="1882" w:type="dxa"/>
            <w:tcBorders>
              <w:top w:val="nil"/>
              <w:left w:val="nil"/>
              <w:bottom w:val="single" w:sz="4" w:space="0" w:color="auto"/>
              <w:right w:val="single" w:sz="4" w:space="0" w:color="auto"/>
            </w:tcBorders>
            <w:noWrap/>
            <w:vAlign w:val="bottom"/>
            <w:hideMark/>
          </w:tcPr>
          <w:p w14:paraId="6CAEC2AA" w14:textId="77777777" w:rsidR="00A55427" w:rsidRPr="00834B27" w:rsidRDefault="00A55427" w:rsidP="00A55427">
            <w:pPr>
              <w:spacing w:after="0" w:line="240" w:lineRule="auto"/>
              <w:jc w:val="right"/>
              <w:rPr>
                <w:rFonts w:ascii="Aptos Narrow" w:eastAsia="Times New Roman" w:hAnsi="Aptos Narrow" w:cs="Times New Roman"/>
                <w:color w:val="00B050"/>
                <w:kern w:val="0"/>
                <w:sz w:val="22"/>
                <w:szCs w:val="22"/>
                <w14:ligatures w14:val="none"/>
              </w:rPr>
            </w:pPr>
            <w:r w:rsidRPr="00834B27">
              <w:rPr>
                <w:rFonts w:ascii="Aptos Narrow" w:eastAsia="Times New Roman" w:hAnsi="Aptos Narrow" w:cs="Times New Roman"/>
                <w:color w:val="00B050"/>
                <w:kern w:val="0"/>
                <w:sz w:val="22"/>
                <w:szCs w:val="22"/>
                <w14:ligatures w14:val="none"/>
              </w:rPr>
              <w:t>2,085,584,616</w:t>
            </w:r>
          </w:p>
        </w:tc>
        <w:tc>
          <w:tcPr>
            <w:tcW w:w="1882" w:type="dxa"/>
            <w:tcBorders>
              <w:top w:val="nil"/>
              <w:left w:val="nil"/>
              <w:bottom w:val="single" w:sz="4" w:space="0" w:color="auto"/>
              <w:right w:val="single" w:sz="4" w:space="0" w:color="auto"/>
            </w:tcBorders>
            <w:noWrap/>
            <w:vAlign w:val="bottom"/>
            <w:hideMark/>
          </w:tcPr>
          <w:p w14:paraId="076EDC23" w14:textId="77777777" w:rsidR="00A55427" w:rsidRPr="00834B27" w:rsidRDefault="00A55427" w:rsidP="00A55427">
            <w:pPr>
              <w:spacing w:after="0" w:line="240" w:lineRule="auto"/>
              <w:jc w:val="right"/>
              <w:rPr>
                <w:rFonts w:ascii="Aptos Narrow" w:eastAsia="Times New Roman" w:hAnsi="Aptos Narrow" w:cs="Times New Roman"/>
                <w:color w:val="00B050"/>
                <w:kern w:val="0"/>
                <w:sz w:val="22"/>
                <w:szCs w:val="22"/>
                <w14:ligatures w14:val="none"/>
              </w:rPr>
            </w:pPr>
            <w:r w:rsidRPr="00834B27">
              <w:rPr>
                <w:rFonts w:ascii="Aptos Narrow" w:eastAsia="Times New Roman" w:hAnsi="Aptos Narrow" w:cs="Times New Roman"/>
                <w:color w:val="00B050"/>
                <w:kern w:val="0"/>
                <w:sz w:val="22"/>
                <w:szCs w:val="22"/>
                <w14:ligatures w14:val="none"/>
              </w:rPr>
              <w:t>2,416,149,993</w:t>
            </w:r>
          </w:p>
        </w:tc>
        <w:tc>
          <w:tcPr>
            <w:tcW w:w="1882" w:type="dxa"/>
            <w:tcBorders>
              <w:top w:val="nil"/>
              <w:left w:val="nil"/>
              <w:bottom w:val="single" w:sz="4" w:space="0" w:color="auto"/>
              <w:right w:val="single" w:sz="4" w:space="0" w:color="auto"/>
            </w:tcBorders>
            <w:noWrap/>
            <w:vAlign w:val="bottom"/>
            <w:hideMark/>
          </w:tcPr>
          <w:p w14:paraId="42FFDF3D" w14:textId="77777777" w:rsidR="00A55427" w:rsidRPr="00834B27" w:rsidRDefault="00A55427" w:rsidP="00A55427">
            <w:pPr>
              <w:spacing w:after="0" w:line="240" w:lineRule="auto"/>
              <w:jc w:val="right"/>
              <w:rPr>
                <w:rFonts w:ascii="Aptos Narrow" w:eastAsia="Times New Roman" w:hAnsi="Aptos Narrow" w:cs="Times New Roman"/>
                <w:color w:val="00B050"/>
                <w:kern w:val="0"/>
                <w:sz w:val="22"/>
                <w:szCs w:val="22"/>
                <w14:ligatures w14:val="none"/>
              </w:rPr>
            </w:pPr>
            <w:r w:rsidRPr="00834B27">
              <w:rPr>
                <w:rFonts w:ascii="Aptos Narrow" w:eastAsia="Times New Roman" w:hAnsi="Aptos Narrow" w:cs="Times New Roman"/>
                <w:color w:val="00B050"/>
                <w:kern w:val="0"/>
                <w:sz w:val="22"/>
                <w:szCs w:val="22"/>
                <w14:ligatures w14:val="none"/>
              </w:rPr>
              <w:t>2,592,804,108</w:t>
            </w:r>
          </w:p>
        </w:tc>
      </w:tr>
      <w:tr w:rsidR="00A55427" w:rsidRPr="00834B27" w14:paraId="553B5D65" w14:textId="77777777" w:rsidTr="00A55427">
        <w:trPr>
          <w:trHeight w:val="285"/>
        </w:trPr>
        <w:tc>
          <w:tcPr>
            <w:tcW w:w="4514" w:type="dxa"/>
            <w:tcBorders>
              <w:top w:val="nil"/>
              <w:left w:val="single" w:sz="4" w:space="0" w:color="auto"/>
              <w:bottom w:val="single" w:sz="4" w:space="0" w:color="auto"/>
              <w:right w:val="single" w:sz="4" w:space="0" w:color="auto"/>
            </w:tcBorders>
            <w:noWrap/>
            <w:vAlign w:val="bottom"/>
            <w:hideMark/>
          </w:tcPr>
          <w:p w14:paraId="1B2CF8D1" w14:textId="77777777" w:rsidR="00A55427" w:rsidRPr="00834B27" w:rsidRDefault="00A55427" w:rsidP="00A55427">
            <w:pPr>
              <w:spacing w:after="0" w:line="240" w:lineRule="auto"/>
              <w:rPr>
                <w:rFonts w:ascii="Aptos Narrow" w:eastAsia="Times New Roman" w:hAnsi="Aptos Narrow" w:cs="Times New Roman"/>
                <w:color w:val="000000"/>
                <w:kern w:val="0"/>
                <w:sz w:val="22"/>
                <w:szCs w:val="22"/>
                <w:lang w:val="it-IT"/>
                <w14:ligatures w14:val="none"/>
              </w:rPr>
            </w:pPr>
            <w:r w:rsidRPr="00834B27">
              <w:rPr>
                <w:rFonts w:ascii="Aptos Narrow" w:eastAsia="Times New Roman" w:hAnsi="Aptos Narrow" w:cs="Times New Roman"/>
                <w:color w:val="000000"/>
                <w:kern w:val="0"/>
                <w:sz w:val="22"/>
                <w:szCs w:val="22"/>
                <w:lang w:val="it-IT"/>
                <w14:ligatures w14:val="none"/>
              </w:rPr>
              <w:t>Venituri din dr de autor</w:t>
            </w:r>
          </w:p>
        </w:tc>
        <w:tc>
          <w:tcPr>
            <w:tcW w:w="1882" w:type="dxa"/>
            <w:tcBorders>
              <w:top w:val="nil"/>
              <w:left w:val="nil"/>
              <w:bottom w:val="single" w:sz="4" w:space="0" w:color="auto"/>
              <w:right w:val="single" w:sz="4" w:space="0" w:color="auto"/>
            </w:tcBorders>
            <w:noWrap/>
            <w:vAlign w:val="bottom"/>
            <w:hideMark/>
          </w:tcPr>
          <w:p w14:paraId="27523D79" w14:textId="77777777" w:rsidR="00A55427" w:rsidRPr="00834B27" w:rsidRDefault="00A55427" w:rsidP="00A55427">
            <w:pPr>
              <w:spacing w:after="0" w:line="240" w:lineRule="auto"/>
              <w:jc w:val="right"/>
              <w:rPr>
                <w:rFonts w:ascii="Aptos Narrow" w:eastAsia="Times New Roman" w:hAnsi="Aptos Narrow" w:cs="Times New Roman"/>
                <w:color w:val="00B050"/>
                <w:kern w:val="0"/>
                <w:sz w:val="22"/>
                <w:szCs w:val="22"/>
                <w14:ligatures w14:val="none"/>
              </w:rPr>
            </w:pPr>
            <w:r w:rsidRPr="00834B27">
              <w:rPr>
                <w:rFonts w:ascii="Aptos Narrow" w:eastAsia="Times New Roman" w:hAnsi="Aptos Narrow" w:cs="Times New Roman"/>
                <w:color w:val="00B050"/>
                <w:kern w:val="0"/>
                <w:sz w:val="22"/>
                <w:szCs w:val="22"/>
                <w14:ligatures w14:val="none"/>
              </w:rPr>
              <w:t>586,439,162</w:t>
            </w:r>
          </w:p>
        </w:tc>
        <w:tc>
          <w:tcPr>
            <w:tcW w:w="1882" w:type="dxa"/>
            <w:tcBorders>
              <w:top w:val="nil"/>
              <w:left w:val="nil"/>
              <w:bottom w:val="single" w:sz="4" w:space="0" w:color="auto"/>
              <w:right w:val="single" w:sz="4" w:space="0" w:color="auto"/>
            </w:tcBorders>
            <w:noWrap/>
            <w:vAlign w:val="bottom"/>
            <w:hideMark/>
          </w:tcPr>
          <w:p w14:paraId="190D12BE" w14:textId="77777777" w:rsidR="00A55427" w:rsidRPr="00834B27" w:rsidRDefault="00A55427" w:rsidP="00A55427">
            <w:pPr>
              <w:spacing w:after="0" w:line="240" w:lineRule="auto"/>
              <w:jc w:val="right"/>
              <w:rPr>
                <w:rFonts w:ascii="Aptos Narrow" w:eastAsia="Times New Roman" w:hAnsi="Aptos Narrow" w:cs="Times New Roman"/>
                <w:color w:val="00B050"/>
                <w:kern w:val="0"/>
                <w:sz w:val="22"/>
                <w:szCs w:val="22"/>
                <w14:ligatures w14:val="none"/>
              </w:rPr>
            </w:pPr>
            <w:r w:rsidRPr="00834B27">
              <w:rPr>
                <w:rFonts w:ascii="Aptos Narrow" w:eastAsia="Times New Roman" w:hAnsi="Aptos Narrow" w:cs="Times New Roman"/>
                <w:color w:val="00B050"/>
                <w:kern w:val="0"/>
                <w:sz w:val="22"/>
                <w:szCs w:val="22"/>
                <w14:ligatures w14:val="none"/>
              </w:rPr>
              <w:t>601,525,177</w:t>
            </w:r>
          </w:p>
        </w:tc>
        <w:tc>
          <w:tcPr>
            <w:tcW w:w="1882" w:type="dxa"/>
            <w:tcBorders>
              <w:top w:val="nil"/>
              <w:left w:val="nil"/>
              <w:bottom w:val="single" w:sz="4" w:space="0" w:color="auto"/>
              <w:right w:val="single" w:sz="4" w:space="0" w:color="auto"/>
            </w:tcBorders>
            <w:noWrap/>
            <w:vAlign w:val="bottom"/>
            <w:hideMark/>
          </w:tcPr>
          <w:p w14:paraId="2594B6F3" w14:textId="77777777" w:rsidR="00A55427" w:rsidRPr="00834B27" w:rsidRDefault="00A55427" w:rsidP="00A55427">
            <w:pPr>
              <w:spacing w:after="0" w:line="240" w:lineRule="auto"/>
              <w:jc w:val="right"/>
              <w:rPr>
                <w:rFonts w:ascii="Aptos Narrow" w:eastAsia="Times New Roman" w:hAnsi="Aptos Narrow" w:cs="Times New Roman"/>
                <w:color w:val="00B050"/>
                <w:kern w:val="0"/>
                <w:sz w:val="22"/>
                <w:szCs w:val="22"/>
                <w14:ligatures w14:val="none"/>
              </w:rPr>
            </w:pPr>
            <w:r w:rsidRPr="00834B27">
              <w:rPr>
                <w:rFonts w:ascii="Aptos Narrow" w:eastAsia="Times New Roman" w:hAnsi="Aptos Narrow" w:cs="Times New Roman"/>
                <w:color w:val="00B050"/>
                <w:kern w:val="0"/>
                <w:sz w:val="22"/>
                <w:szCs w:val="22"/>
                <w14:ligatures w14:val="none"/>
              </w:rPr>
              <w:t>607,537,508</w:t>
            </w:r>
          </w:p>
        </w:tc>
      </w:tr>
      <w:tr w:rsidR="00A55427" w:rsidRPr="00834B27" w14:paraId="5E9D5BAC" w14:textId="77777777" w:rsidTr="00A55427">
        <w:trPr>
          <w:trHeight w:val="285"/>
        </w:trPr>
        <w:tc>
          <w:tcPr>
            <w:tcW w:w="4514" w:type="dxa"/>
            <w:tcBorders>
              <w:top w:val="nil"/>
              <w:left w:val="single" w:sz="4" w:space="0" w:color="auto"/>
              <w:bottom w:val="single" w:sz="4" w:space="0" w:color="auto"/>
              <w:right w:val="single" w:sz="4" w:space="0" w:color="auto"/>
            </w:tcBorders>
            <w:noWrap/>
            <w:vAlign w:val="bottom"/>
            <w:hideMark/>
          </w:tcPr>
          <w:p w14:paraId="617AD2B7" w14:textId="77777777" w:rsidR="00A55427" w:rsidRPr="00834B27" w:rsidRDefault="00A55427" w:rsidP="00A55427">
            <w:pPr>
              <w:spacing w:after="0" w:line="240" w:lineRule="auto"/>
              <w:rPr>
                <w:rFonts w:ascii="Aptos Narrow" w:eastAsia="Times New Roman" w:hAnsi="Aptos Narrow" w:cs="Times New Roman"/>
                <w:color w:val="000000"/>
                <w:kern w:val="0"/>
                <w:sz w:val="22"/>
                <w:szCs w:val="22"/>
                <w14:ligatures w14:val="none"/>
              </w:rPr>
            </w:pPr>
            <w:proofErr w:type="spellStart"/>
            <w:r w:rsidRPr="00834B27">
              <w:rPr>
                <w:rFonts w:ascii="Aptos Narrow" w:eastAsia="Times New Roman" w:hAnsi="Aptos Narrow" w:cs="Times New Roman"/>
                <w:color w:val="000000"/>
                <w:kern w:val="0"/>
                <w:sz w:val="22"/>
                <w:szCs w:val="22"/>
                <w14:ligatures w14:val="none"/>
              </w:rPr>
              <w:t>Venituri</w:t>
            </w:r>
            <w:proofErr w:type="spellEnd"/>
            <w:r w:rsidRPr="00834B27">
              <w:rPr>
                <w:rFonts w:ascii="Aptos Narrow" w:eastAsia="Times New Roman" w:hAnsi="Aptos Narrow" w:cs="Times New Roman"/>
                <w:color w:val="000000"/>
                <w:kern w:val="0"/>
                <w:sz w:val="22"/>
                <w:szCs w:val="22"/>
                <w14:ligatures w14:val="none"/>
              </w:rPr>
              <w:t xml:space="preserve"> contr. Sportive</w:t>
            </w:r>
          </w:p>
        </w:tc>
        <w:tc>
          <w:tcPr>
            <w:tcW w:w="1882" w:type="dxa"/>
            <w:tcBorders>
              <w:top w:val="nil"/>
              <w:left w:val="nil"/>
              <w:bottom w:val="single" w:sz="4" w:space="0" w:color="auto"/>
              <w:right w:val="single" w:sz="4" w:space="0" w:color="auto"/>
            </w:tcBorders>
            <w:noWrap/>
            <w:vAlign w:val="bottom"/>
            <w:hideMark/>
          </w:tcPr>
          <w:p w14:paraId="3FF2AD51" w14:textId="77777777" w:rsidR="00A55427" w:rsidRPr="00834B27" w:rsidRDefault="00A55427" w:rsidP="00A55427">
            <w:pPr>
              <w:spacing w:after="0" w:line="240" w:lineRule="auto"/>
              <w:jc w:val="right"/>
              <w:rPr>
                <w:rFonts w:ascii="Aptos Narrow" w:eastAsia="Times New Roman" w:hAnsi="Aptos Narrow" w:cs="Times New Roman"/>
                <w:color w:val="00B050"/>
                <w:kern w:val="0"/>
                <w:sz w:val="22"/>
                <w:szCs w:val="22"/>
                <w14:ligatures w14:val="none"/>
              </w:rPr>
            </w:pPr>
            <w:r w:rsidRPr="00834B27">
              <w:rPr>
                <w:rFonts w:ascii="Aptos Narrow" w:eastAsia="Times New Roman" w:hAnsi="Aptos Narrow" w:cs="Times New Roman"/>
                <w:color w:val="00B050"/>
                <w:kern w:val="0"/>
                <w:sz w:val="22"/>
                <w:szCs w:val="22"/>
                <w14:ligatures w14:val="none"/>
              </w:rPr>
              <w:t>132,046,778</w:t>
            </w:r>
          </w:p>
        </w:tc>
        <w:tc>
          <w:tcPr>
            <w:tcW w:w="1882" w:type="dxa"/>
            <w:tcBorders>
              <w:top w:val="nil"/>
              <w:left w:val="nil"/>
              <w:bottom w:val="single" w:sz="4" w:space="0" w:color="auto"/>
              <w:right w:val="single" w:sz="4" w:space="0" w:color="auto"/>
            </w:tcBorders>
            <w:noWrap/>
            <w:vAlign w:val="bottom"/>
            <w:hideMark/>
          </w:tcPr>
          <w:p w14:paraId="5BEFD969" w14:textId="77777777" w:rsidR="00A55427" w:rsidRPr="00834B27" w:rsidRDefault="00A55427" w:rsidP="00A55427">
            <w:pPr>
              <w:spacing w:after="0" w:line="240" w:lineRule="auto"/>
              <w:jc w:val="right"/>
              <w:rPr>
                <w:rFonts w:ascii="Aptos Narrow" w:eastAsia="Times New Roman" w:hAnsi="Aptos Narrow" w:cs="Times New Roman"/>
                <w:color w:val="00B050"/>
                <w:kern w:val="0"/>
                <w:sz w:val="22"/>
                <w:szCs w:val="22"/>
                <w14:ligatures w14:val="none"/>
              </w:rPr>
            </w:pPr>
            <w:r w:rsidRPr="00834B27">
              <w:rPr>
                <w:rFonts w:ascii="Aptos Narrow" w:eastAsia="Times New Roman" w:hAnsi="Aptos Narrow" w:cs="Times New Roman"/>
                <w:color w:val="00B050"/>
                <w:kern w:val="0"/>
                <w:sz w:val="22"/>
                <w:szCs w:val="22"/>
                <w14:ligatures w14:val="none"/>
              </w:rPr>
              <w:t>140,533,587</w:t>
            </w:r>
          </w:p>
        </w:tc>
        <w:tc>
          <w:tcPr>
            <w:tcW w:w="1882" w:type="dxa"/>
            <w:tcBorders>
              <w:top w:val="nil"/>
              <w:left w:val="nil"/>
              <w:bottom w:val="single" w:sz="4" w:space="0" w:color="auto"/>
              <w:right w:val="single" w:sz="4" w:space="0" w:color="auto"/>
            </w:tcBorders>
            <w:noWrap/>
            <w:vAlign w:val="bottom"/>
            <w:hideMark/>
          </w:tcPr>
          <w:p w14:paraId="1B747AF2" w14:textId="77777777" w:rsidR="00A55427" w:rsidRPr="00834B27" w:rsidRDefault="00A55427" w:rsidP="00A55427">
            <w:pPr>
              <w:spacing w:after="0" w:line="240" w:lineRule="auto"/>
              <w:jc w:val="right"/>
              <w:rPr>
                <w:rFonts w:ascii="Aptos Narrow" w:eastAsia="Times New Roman" w:hAnsi="Aptos Narrow" w:cs="Times New Roman"/>
                <w:color w:val="00B050"/>
                <w:kern w:val="0"/>
                <w:sz w:val="22"/>
                <w:szCs w:val="22"/>
                <w14:ligatures w14:val="none"/>
              </w:rPr>
            </w:pPr>
            <w:r w:rsidRPr="00834B27">
              <w:rPr>
                <w:rFonts w:ascii="Aptos Narrow" w:eastAsia="Times New Roman" w:hAnsi="Aptos Narrow" w:cs="Times New Roman"/>
                <w:color w:val="00B050"/>
                <w:kern w:val="0"/>
                <w:sz w:val="22"/>
                <w:szCs w:val="22"/>
                <w14:ligatures w14:val="none"/>
              </w:rPr>
              <w:t>145,123,363</w:t>
            </w:r>
          </w:p>
        </w:tc>
      </w:tr>
      <w:tr w:rsidR="00A55427" w:rsidRPr="00834B27" w14:paraId="3E4E1BC1" w14:textId="77777777" w:rsidTr="00A55427">
        <w:trPr>
          <w:trHeight w:val="285"/>
        </w:trPr>
        <w:tc>
          <w:tcPr>
            <w:tcW w:w="4514" w:type="dxa"/>
            <w:tcBorders>
              <w:top w:val="nil"/>
              <w:left w:val="single" w:sz="4" w:space="0" w:color="auto"/>
              <w:bottom w:val="single" w:sz="4" w:space="0" w:color="auto"/>
              <w:right w:val="single" w:sz="4" w:space="0" w:color="auto"/>
            </w:tcBorders>
            <w:noWrap/>
            <w:vAlign w:val="bottom"/>
            <w:hideMark/>
          </w:tcPr>
          <w:p w14:paraId="55D2B372" w14:textId="77777777" w:rsidR="00A55427" w:rsidRPr="00834B27" w:rsidRDefault="00A55427" w:rsidP="00A55427">
            <w:pPr>
              <w:spacing w:after="0" w:line="240" w:lineRule="auto"/>
              <w:rPr>
                <w:rFonts w:ascii="Aptos Narrow" w:eastAsia="Times New Roman" w:hAnsi="Aptos Narrow" w:cs="Times New Roman"/>
                <w:color w:val="000000"/>
                <w:kern w:val="0"/>
                <w:sz w:val="22"/>
                <w:szCs w:val="22"/>
                <w14:ligatures w14:val="none"/>
              </w:rPr>
            </w:pPr>
            <w:proofErr w:type="spellStart"/>
            <w:r w:rsidRPr="00834B27">
              <w:rPr>
                <w:rFonts w:ascii="Aptos Narrow" w:eastAsia="Times New Roman" w:hAnsi="Aptos Narrow" w:cs="Times New Roman"/>
                <w:color w:val="000000"/>
                <w:kern w:val="0"/>
                <w:sz w:val="22"/>
                <w:szCs w:val="22"/>
                <w14:ligatures w14:val="none"/>
              </w:rPr>
              <w:t>Venituri</w:t>
            </w:r>
            <w:proofErr w:type="spellEnd"/>
            <w:r w:rsidRPr="00834B27">
              <w:rPr>
                <w:rFonts w:ascii="Aptos Narrow" w:eastAsia="Times New Roman" w:hAnsi="Aptos Narrow" w:cs="Times New Roman"/>
                <w:color w:val="000000"/>
                <w:kern w:val="0"/>
                <w:sz w:val="22"/>
                <w:szCs w:val="22"/>
                <w14:ligatures w14:val="none"/>
              </w:rPr>
              <w:t xml:space="preserve"> din </w:t>
            </w:r>
            <w:proofErr w:type="spellStart"/>
            <w:r w:rsidRPr="00834B27">
              <w:rPr>
                <w:rFonts w:ascii="Aptos Narrow" w:eastAsia="Times New Roman" w:hAnsi="Aptos Narrow" w:cs="Times New Roman"/>
                <w:color w:val="000000"/>
                <w:kern w:val="0"/>
                <w:sz w:val="22"/>
                <w:szCs w:val="22"/>
                <w14:ligatures w14:val="none"/>
              </w:rPr>
              <w:t>inchiriere</w:t>
            </w:r>
            <w:proofErr w:type="spellEnd"/>
          </w:p>
        </w:tc>
        <w:tc>
          <w:tcPr>
            <w:tcW w:w="1882" w:type="dxa"/>
            <w:tcBorders>
              <w:top w:val="nil"/>
              <w:left w:val="nil"/>
              <w:bottom w:val="single" w:sz="4" w:space="0" w:color="auto"/>
              <w:right w:val="single" w:sz="4" w:space="0" w:color="auto"/>
            </w:tcBorders>
            <w:noWrap/>
            <w:vAlign w:val="bottom"/>
            <w:hideMark/>
          </w:tcPr>
          <w:p w14:paraId="0F3AEDB7" w14:textId="77777777" w:rsidR="00A55427" w:rsidRPr="00834B27" w:rsidRDefault="00A55427" w:rsidP="00A55427">
            <w:pPr>
              <w:spacing w:after="0" w:line="240" w:lineRule="auto"/>
              <w:jc w:val="right"/>
              <w:rPr>
                <w:rFonts w:ascii="Aptos Narrow" w:eastAsia="Times New Roman" w:hAnsi="Aptos Narrow" w:cs="Times New Roman"/>
                <w:color w:val="00B050"/>
                <w:kern w:val="0"/>
                <w:sz w:val="22"/>
                <w:szCs w:val="22"/>
                <w14:ligatures w14:val="none"/>
              </w:rPr>
            </w:pPr>
            <w:r w:rsidRPr="00834B27">
              <w:rPr>
                <w:rFonts w:ascii="Aptos Narrow" w:eastAsia="Times New Roman" w:hAnsi="Aptos Narrow" w:cs="Times New Roman"/>
                <w:color w:val="00B050"/>
                <w:kern w:val="0"/>
                <w:sz w:val="22"/>
                <w:szCs w:val="22"/>
                <w14:ligatures w14:val="none"/>
              </w:rPr>
              <w:t>525,363,023</w:t>
            </w:r>
          </w:p>
        </w:tc>
        <w:tc>
          <w:tcPr>
            <w:tcW w:w="1882" w:type="dxa"/>
            <w:tcBorders>
              <w:top w:val="nil"/>
              <w:left w:val="nil"/>
              <w:bottom w:val="single" w:sz="4" w:space="0" w:color="auto"/>
              <w:right w:val="single" w:sz="4" w:space="0" w:color="auto"/>
            </w:tcBorders>
            <w:noWrap/>
            <w:vAlign w:val="bottom"/>
            <w:hideMark/>
          </w:tcPr>
          <w:p w14:paraId="62BE3C07" w14:textId="77777777" w:rsidR="00A55427" w:rsidRPr="00834B27" w:rsidRDefault="00A55427" w:rsidP="00A55427">
            <w:pPr>
              <w:spacing w:after="0" w:line="240" w:lineRule="auto"/>
              <w:jc w:val="right"/>
              <w:rPr>
                <w:rFonts w:ascii="Aptos Narrow" w:eastAsia="Times New Roman" w:hAnsi="Aptos Narrow" w:cs="Times New Roman"/>
                <w:color w:val="00B050"/>
                <w:kern w:val="0"/>
                <w:sz w:val="22"/>
                <w:szCs w:val="22"/>
                <w14:ligatures w14:val="none"/>
              </w:rPr>
            </w:pPr>
            <w:r w:rsidRPr="00834B27">
              <w:rPr>
                <w:rFonts w:ascii="Aptos Narrow" w:eastAsia="Times New Roman" w:hAnsi="Aptos Narrow" w:cs="Times New Roman"/>
                <w:color w:val="00B050"/>
                <w:kern w:val="0"/>
                <w:sz w:val="22"/>
                <w:szCs w:val="22"/>
                <w14:ligatures w14:val="none"/>
              </w:rPr>
              <w:t>529,595,307</w:t>
            </w:r>
          </w:p>
        </w:tc>
        <w:tc>
          <w:tcPr>
            <w:tcW w:w="1882" w:type="dxa"/>
            <w:tcBorders>
              <w:top w:val="nil"/>
              <w:left w:val="nil"/>
              <w:bottom w:val="single" w:sz="4" w:space="0" w:color="auto"/>
              <w:right w:val="single" w:sz="4" w:space="0" w:color="auto"/>
            </w:tcBorders>
            <w:noWrap/>
            <w:vAlign w:val="bottom"/>
            <w:hideMark/>
          </w:tcPr>
          <w:p w14:paraId="3711BB60" w14:textId="77777777" w:rsidR="00A55427" w:rsidRPr="00834B27" w:rsidRDefault="00A55427" w:rsidP="00A55427">
            <w:pPr>
              <w:spacing w:after="0" w:line="240" w:lineRule="auto"/>
              <w:jc w:val="right"/>
              <w:rPr>
                <w:rFonts w:ascii="Aptos Narrow" w:eastAsia="Times New Roman" w:hAnsi="Aptos Narrow" w:cs="Times New Roman"/>
                <w:color w:val="00B050"/>
                <w:kern w:val="0"/>
                <w:sz w:val="22"/>
                <w:szCs w:val="22"/>
                <w14:ligatures w14:val="none"/>
              </w:rPr>
            </w:pPr>
            <w:r w:rsidRPr="00834B27">
              <w:rPr>
                <w:rFonts w:ascii="Aptos Narrow" w:eastAsia="Times New Roman" w:hAnsi="Aptos Narrow" w:cs="Times New Roman"/>
                <w:color w:val="00B050"/>
                <w:kern w:val="0"/>
                <w:sz w:val="22"/>
                <w:szCs w:val="22"/>
                <w14:ligatures w14:val="none"/>
              </w:rPr>
              <w:t>532,222,012</w:t>
            </w:r>
          </w:p>
        </w:tc>
      </w:tr>
      <w:tr w:rsidR="00A55427" w:rsidRPr="00834B27" w14:paraId="64212680" w14:textId="77777777" w:rsidTr="00A55427">
        <w:trPr>
          <w:trHeight w:val="285"/>
        </w:trPr>
        <w:tc>
          <w:tcPr>
            <w:tcW w:w="4514" w:type="dxa"/>
            <w:tcBorders>
              <w:top w:val="nil"/>
              <w:left w:val="single" w:sz="4" w:space="0" w:color="auto"/>
              <w:bottom w:val="single" w:sz="4" w:space="0" w:color="auto"/>
              <w:right w:val="single" w:sz="4" w:space="0" w:color="auto"/>
            </w:tcBorders>
            <w:noWrap/>
            <w:vAlign w:val="bottom"/>
            <w:hideMark/>
          </w:tcPr>
          <w:p w14:paraId="558B98B3" w14:textId="77777777" w:rsidR="00A55427" w:rsidRPr="00834B27" w:rsidRDefault="00A55427" w:rsidP="00A55427">
            <w:pPr>
              <w:spacing w:after="0" w:line="240" w:lineRule="auto"/>
              <w:rPr>
                <w:rFonts w:ascii="Aptos Narrow" w:eastAsia="Times New Roman" w:hAnsi="Aptos Narrow" w:cs="Times New Roman"/>
                <w:color w:val="000000"/>
                <w:kern w:val="0"/>
                <w:sz w:val="22"/>
                <w:szCs w:val="22"/>
                <w14:ligatures w14:val="none"/>
              </w:rPr>
            </w:pPr>
            <w:proofErr w:type="spellStart"/>
            <w:r w:rsidRPr="00834B27">
              <w:rPr>
                <w:rFonts w:ascii="Aptos Narrow" w:eastAsia="Times New Roman" w:hAnsi="Aptos Narrow" w:cs="Times New Roman"/>
                <w:color w:val="000000"/>
                <w:kern w:val="0"/>
                <w:sz w:val="22"/>
                <w:szCs w:val="22"/>
                <w14:ligatures w14:val="none"/>
              </w:rPr>
              <w:t>Venituri</w:t>
            </w:r>
            <w:proofErr w:type="spellEnd"/>
            <w:r w:rsidRPr="00834B27">
              <w:rPr>
                <w:rFonts w:ascii="Aptos Narrow" w:eastAsia="Times New Roman" w:hAnsi="Aptos Narrow" w:cs="Times New Roman"/>
                <w:color w:val="000000"/>
                <w:kern w:val="0"/>
                <w:sz w:val="22"/>
                <w:szCs w:val="22"/>
                <w14:ligatures w14:val="none"/>
              </w:rPr>
              <w:t xml:space="preserve"> din </w:t>
            </w:r>
            <w:proofErr w:type="spellStart"/>
            <w:r w:rsidRPr="00834B27">
              <w:rPr>
                <w:rFonts w:ascii="Aptos Narrow" w:eastAsia="Times New Roman" w:hAnsi="Aptos Narrow" w:cs="Times New Roman"/>
                <w:color w:val="000000"/>
                <w:kern w:val="0"/>
                <w:sz w:val="22"/>
                <w:szCs w:val="22"/>
                <w14:ligatures w14:val="none"/>
              </w:rPr>
              <w:t>dobanzi</w:t>
            </w:r>
            <w:proofErr w:type="spellEnd"/>
          </w:p>
        </w:tc>
        <w:tc>
          <w:tcPr>
            <w:tcW w:w="1882" w:type="dxa"/>
            <w:tcBorders>
              <w:top w:val="nil"/>
              <w:left w:val="nil"/>
              <w:bottom w:val="single" w:sz="4" w:space="0" w:color="auto"/>
              <w:right w:val="single" w:sz="4" w:space="0" w:color="auto"/>
            </w:tcBorders>
            <w:noWrap/>
            <w:vAlign w:val="bottom"/>
            <w:hideMark/>
          </w:tcPr>
          <w:p w14:paraId="676DDFD8" w14:textId="77777777" w:rsidR="00A55427" w:rsidRPr="00834B27" w:rsidRDefault="00A55427" w:rsidP="00A55427">
            <w:pPr>
              <w:spacing w:after="0" w:line="240" w:lineRule="auto"/>
              <w:jc w:val="right"/>
              <w:rPr>
                <w:rFonts w:ascii="Aptos Narrow" w:eastAsia="Times New Roman" w:hAnsi="Aptos Narrow" w:cs="Times New Roman"/>
                <w:color w:val="00B050"/>
                <w:kern w:val="0"/>
                <w:sz w:val="22"/>
                <w:szCs w:val="22"/>
                <w14:ligatures w14:val="none"/>
              </w:rPr>
            </w:pPr>
            <w:r w:rsidRPr="00834B27">
              <w:rPr>
                <w:rFonts w:ascii="Aptos Narrow" w:eastAsia="Times New Roman" w:hAnsi="Aptos Narrow" w:cs="Times New Roman"/>
                <w:color w:val="00B050"/>
                <w:kern w:val="0"/>
                <w:sz w:val="22"/>
                <w:szCs w:val="22"/>
                <w14:ligatures w14:val="none"/>
              </w:rPr>
              <w:t>749,482,811</w:t>
            </w:r>
          </w:p>
        </w:tc>
        <w:tc>
          <w:tcPr>
            <w:tcW w:w="1882" w:type="dxa"/>
            <w:tcBorders>
              <w:top w:val="nil"/>
              <w:left w:val="nil"/>
              <w:bottom w:val="single" w:sz="4" w:space="0" w:color="auto"/>
              <w:right w:val="single" w:sz="4" w:space="0" w:color="auto"/>
            </w:tcBorders>
            <w:noWrap/>
            <w:vAlign w:val="bottom"/>
            <w:hideMark/>
          </w:tcPr>
          <w:p w14:paraId="7D3152FB" w14:textId="77777777" w:rsidR="00A55427" w:rsidRPr="00834B27" w:rsidRDefault="00A55427" w:rsidP="00A55427">
            <w:pPr>
              <w:spacing w:after="0" w:line="240" w:lineRule="auto"/>
              <w:jc w:val="right"/>
              <w:rPr>
                <w:rFonts w:ascii="Aptos Narrow" w:eastAsia="Times New Roman" w:hAnsi="Aptos Narrow" w:cs="Times New Roman"/>
                <w:color w:val="00B050"/>
                <w:kern w:val="0"/>
                <w:sz w:val="22"/>
                <w:szCs w:val="22"/>
                <w14:ligatures w14:val="none"/>
              </w:rPr>
            </w:pPr>
            <w:r w:rsidRPr="00834B27">
              <w:rPr>
                <w:rFonts w:ascii="Aptos Narrow" w:eastAsia="Times New Roman" w:hAnsi="Aptos Narrow" w:cs="Times New Roman"/>
                <w:color w:val="00B050"/>
                <w:kern w:val="0"/>
                <w:sz w:val="22"/>
                <w:szCs w:val="22"/>
                <w14:ligatures w14:val="none"/>
              </w:rPr>
              <w:t>770,342,153</w:t>
            </w:r>
          </w:p>
        </w:tc>
        <w:tc>
          <w:tcPr>
            <w:tcW w:w="1882" w:type="dxa"/>
            <w:tcBorders>
              <w:top w:val="nil"/>
              <w:left w:val="nil"/>
              <w:bottom w:val="single" w:sz="4" w:space="0" w:color="auto"/>
              <w:right w:val="single" w:sz="4" w:space="0" w:color="auto"/>
            </w:tcBorders>
            <w:noWrap/>
            <w:vAlign w:val="bottom"/>
            <w:hideMark/>
          </w:tcPr>
          <w:p w14:paraId="68496E81" w14:textId="77777777" w:rsidR="00A55427" w:rsidRPr="00834B27" w:rsidRDefault="00A55427" w:rsidP="00A55427">
            <w:pPr>
              <w:spacing w:after="0" w:line="240" w:lineRule="auto"/>
              <w:jc w:val="right"/>
              <w:rPr>
                <w:rFonts w:ascii="Aptos Narrow" w:eastAsia="Times New Roman" w:hAnsi="Aptos Narrow" w:cs="Times New Roman"/>
                <w:color w:val="00B050"/>
                <w:kern w:val="0"/>
                <w:sz w:val="22"/>
                <w:szCs w:val="22"/>
                <w14:ligatures w14:val="none"/>
              </w:rPr>
            </w:pPr>
            <w:r w:rsidRPr="00834B27">
              <w:rPr>
                <w:rFonts w:ascii="Aptos Narrow" w:eastAsia="Times New Roman" w:hAnsi="Aptos Narrow" w:cs="Times New Roman"/>
                <w:color w:val="00B050"/>
                <w:kern w:val="0"/>
                <w:sz w:val="22"/>
                <w:szCs w:val="22"/>
                <w14:ligatures w14:val="none"/>
              </w:rPr>
              <w:t>781,680,002</w:t>
            </w:r>
          </w:p>
        </w:tc>
      </w:tr>
      <w:tr w:rsidR="00A55427" w:rsidRPr="00834B27" w14:paraId="56ED6566" w14:textId="77777777" w:rsidTr="00A55427">
        <w:trPr>
          <w:trHeight w:val="285"/>
        </w:trPr>
        <w:tc>
          <w:tcPr>
            <w:tcW w:w="4514" w:type="dxa"/>
            <w:tcBorders>
              <w:top w:val="nil"/>
              <w:left w:val="single" w:sz="4" w:space="0" w:color="auto"/>
              <w:bottom w:val="single" w:sz="4" w:space="0" w:color="auto"/>
              <w:right w:val="single" w:sz="4" w:space="0" w:color="auto"/>
            </w:tcBorders>
            <w:noWrap/>
            <w:vAlign w:val="bottom"/>
            <w:hideMark/>
          </w:tcPr>
          <w:p w14:paraId="66CEDBF5" w14:textId="77777777" w:rsidR="00A55427" w:rsidRPr="00834B27" w:rsidRDefault="00A55427" w:rsidP="00A55427">
            <w:pPr>
              <w:spacing w:after="0" w:line="240" w:lineRule="auto"/>
              <w:rPr>
                <w:rFonts w:ascii="Aptos Narrow" w:eastAsia="Times New Roman" w:hAnsi="Aptos Narrow" w:cs="Times New Roman"/>
                <w:color w:val="000000"/>
                <w:kern w:val="0"/>
                <w:sz w:val="22"/>
                <w:szCs w:val="22"/>
                <w14:ligatures w14:val="none"/>
              </w:rPr>
            </w:pPr>
            <w:proofErr w:type="spellStart"/>
            <w:r w:rsidRPr="00834B27">
              <w:rPr>
                <w:rFonts w:ascii="Aptos Narrow" w:eastAsia="Times New Roman" w:hAnsi="Aptos Narrow" w:cs="Times New Roman"/>
                <w:color w:val="000000"/>
                <w:kern w:val="0"/>
                <w:sz w:val="22"/>
                <w:szCs w:val="22"/>
                <w14:ligatures w14:val="none"/>
              </w:rPr>
              <w:t>Venituri</w:t>
            </w:r>
            <w:proofErr w:type="spellEnd"/>
            <w:r w:rsidRPr="00834B27">
              <w:rPr>
                <w:rFonts w:ascii="Aptos Narrow" w:eastAsia="Times New Roman" w:hAnsi="Aptos Narrow" w:cs="Times New Roman"/>
                <w:color w:val="000000"/>
                <w:kern w:val="0"/>
                <w:sz w:val="22"/>
                <w:szCs w:val="22"/>
                <w14:ligatures w14:val="none"/>
              </w:rPr>
              <w:t xml:space="preserve"> din </w:t>
            </w:r>
            <w:proofErr w:type="spellStart"/>
            <w:r w:rsidRPr="00834B27">
              <w:rPr>
                <w:rFonts w:ascii="Aptos Narrow" w:eastAsia="Times New Roman" w:hAnsi="Aptos Narrow" w:cs="Times New Roman"/>
                <w:color w:val="000000"/>
                <w:kern w:val="0"/>
                <w:sz w:val="22"/>
                <w:szCs w:val="22"/>
                <w14:ligatures w14:val="none"/>
              </w:rPr>
              <w:t>dividende</w:t>
            </w:r>
            <w:proofErr w:type="spellEnd"/>
          </w:p>
        </w:tc>
        <w:tc>
          <w:tcPr>
            <w:tcW w:w="1882" w:type="dxa"/>
            <w:tcBorders>
              <w:top w:val="nil"/>
              <w:left w:val="nil"/>
              <w:bottom w:val="single" w:sz="4" w:space="0" w:color="auto"/>
              <w:right w:val="single" w:sz="4" w:space="0" w:color="auto"/>
            </w:tcBorders>
            <w:noWrap/>
            <w:vAlign w:val="bottom"/>
            <w:hideMark/>
          </w:tcPr>
          <w:p w14:paraId="28D92F94" w14:textId="77777777" w:rsidR="00A55427" w:rsidRPr="00834B27" w:rsidRDefault="00A55427" w:rsidP="00A55427">
            <w:pPr>
              <w:spacing w:after="0" w:line="240" w:lineRule="auto"/>
              <w:jc w:val="right"/>
              <w:rPr>
                <w:rFonts w:ascii="Aptos Narrow" w:eastAsia="Times New Roman" w:hAnsi="Aptos Narrow" w:cs="Times New Roman"/>
                <w:color w:val="00B050"/>
                <w:kern w:val="0"/>
                <w:sz w:val="22"/>
                <w:szCs w:val="22"/>
                <w14:ligatures w14:val="none"/>
              </w:rPr>
            </w:pPr>
            <w:r w:rsidRPr="00834B27">
              <w:rPr>
                <w:rFonts w:ascii="Aptos Narrow" w:eastAsia="Times New Roman" w:hAnsi="Aptos Narrow" w:cs="Times New Roman"/>
                <w:color w:val="00B050"/>
                <w:kern w:val="0"/>
                <w:sz w:val="22"/>
                <w:szCs w:val="22"/>
                <w14:ligatures w14:val="none"/>
              </w:rPr>
              <w:t>2,032,247,825</w:t>
            </w:r>
          </w:p>
        </w:tc>
        <w:tc>
          <w:tcPr>
            <w:tcW w:w="1882" w:type="dxa"/>
            <w:tcBorders>
              <w:top w:val="nil"/>
              <w:left w:val="nil"/>
              <w:bottom w:val="single" w:sz="4" w:space="0" w:color="auto"/>
              <w:right w:val="single" w:sz="4" w:space="0" w:color="auto"/>
            </w:tcBorders>
            <w:noWrap/>
            <w:vAlign w:val="bottom"/>
            <w:hideMark/>
          </w:tcPr>
          <w:p w14:paraId="2F0317FC" w14:textId="77777777" w:rsidR="00A55427" w:rsidRPr="00834B27" w:rsidRDefault="00A55427" w:rsidP="00A55427">
            <w:pPr>
              <w:spacing w:after="0" w:line="240" w:lineRule="auto"/>
              <w:jc w:val="right"/>
              <w:rPr>
                <w:rFonts w:ascii="Aptos Narrow" w:eastAsia="Times New Roman" w:hAnsi="Aptos Narrow" w:cs="Times New Roman"/>
                <w:color w:val="00B050"/>
                <w:kern w:val="0"/>
                <w:sz w:val="22"/>
                <w:szCs w:val="22"/>
                <w14:ligatures w14:val="none"/>
              </w:rPr>
            </w:pPr>
            <w:r w:rsidRPr="00834B27">
              <w:rPr>
                <w:rFonts w:ascii="Aptos Narrow" w:eastAsia="Times New Roman" w:hAnsi="Aptos Narrow" w:cs="Times New Roman"/>
                <w:color w:val="00B050"/>
                <w:kern w:val="0"/>
                <w:sz w:val="22"/>
                <w:szCs w:val="22"/>
                <w14:ligatures w14:val="none"/>
              </w:rPr>
              <w:t>2,234,217,362</w:t>
            </w:r>
          </w:p>
        </w:tc>
        <w:tc>
          <w:tcPr>
            <w:tcW w:w="1882" w:type="dxa"/>
            <w:tcBorders>
              <w:top w:val="nil"/>
              <w:left w:val="nil"/>
              <w:bottom w:val="single" w:sz="4" w:space="0" w:color="auto"/>
              <w:right w:val="single" w:sz="4" w:space="0" w:color="auto"/>
            </w:tcBorders>
            <w:noWrap/>
            <w:vAlign w:val="bottom"/>
            <w:hideMark/>
          </w:tcPr>
          <w:p w14:paraId="24BBE282" w14:textId="77777777" w:rsidR="00A55427" w:rsidRPr="00834B27" w:rsidRDefault="00A55427" w:rsidP="00A55427">
            <w:pPr>
              <w:spacing w:after="0" w:line="240" w:lineRule="auto"/>
              <w:jc w:val="right"/>
              <w:rPr>
                <w:rFonts w:ascii="Aptos Narrow" w:eastAsia="Times New Roman" w:hAnsi="Aptos Narrow" w:cs="Times New Roman"/>
                <w:color w:val="00B050"/>
                <w:kern w:val="0"/>
                <w:sz w:val="22"/>
                <w:szCs w:val="22"/>
                <w14:ligatures w14:val="none"/>
              </w:rPr>
            </w:pPr>
            <w:r w:rsidRPr="00834B27">
              <w:rPr>
                <w:rFonts w:ascii="Aptos Narrow" w:eastAsia="Times New Roman" w:hAnsi="Aptos Narrow" w:cs="Times New Roman"/>
                <w:color w:val="00B050"/>
                <w:kern w:val="0"/>
                <w:sz w:val="22"/>
                <w:szCs w:val="22"/>
                <w14:ligatures w14:val="none"/>
              </w:rPr>
              <w:t>2,345,010,641</w:t>
            </w:r>
          </w:p>
        </w:tc>
      </w:tr>
      <w:tr w:rsidR="00A55427" w:rsidRPr="00834B27" w14:paraId="07C2A3D2" w14:textId="77777777" w:rsidTr="00A55427">
        <w:trPr>
          <w:trHeight w:val="285"/>
        </w:trPr>
        <w:tc>
          <w:tcPr>
            <w:tcW w:w="4514" w:type="dxa"/>
            <w:tcBorders>
              <w:top w:val="nil"/>
              <w:left w:val="single" w:sz="4" w:space="0" w:color="auto"/>
              <w:bottom w:val="single" w:sz="4" w:space="0" w:color="auto"/>
              <w:right w:val="single" w:sz="4" w:space="0" w:color="auto"/>
            </w:tcBorders>
            <w:noWrap/>
            <w:vAlign w:val="bottom"/>
            <w:hideMark/>
          </w:tcPr>
          <w:p w14:paraId="6C57E187" w14:textId="77777777" w:rsidR="00A55427" w:rsidRPr="00834B27" w:rsidRDefault="00A55427" w:rsidP="00A55427">
            <w:pPr>
              <w:spacing w:after="0" w:line="240" w:lineRule="auto"/>
              <w:rPr>
                <w:rFonts w:ascii="Aptos Narrow" w:eastAsia="Times New Roman" w:hAnsi="Aptos Narrow" w:cs="Times New Roman"/>
                <w:color w:val="000000"/>
                <w:kern w:val="0"/>
                <w:sz w:val="22"/>
                <w:szCs w:val="22"/>
                <w14:ligatures w14:val="none"/>
              </w:rPr>
            </w:pPr>
            <w:proofErr w:type="spellStart"/>
            <w:r w:rsidRPr="00834B27">
              <w:rPr>
                <w:rFonts w:ascii="Aptos Narrow" w:eastAsia="Times New Roman" w:hAnsi="Aptos Narrow" w:cs="Times New Roman"/>
                <w:color w:val="000000"/>
                <w:kern w:val="0"/>
                <w:sz w:val="22"/>
                <w:szCs w:val="22"/>
                <w14:ligatures w14:val="none"/>
              </w:rPr>
              <w:t>Venituri</w:t>
            </w:r>
            <w:proofErr w:type="spellEnd"/>
            <w:r w:rsidRPr="00834B27">
              <w:rPr>
                <w:rFonts w:ascii="Aptos Narrow" w:eastAsia="Times New Roman" w:hAnsi="Aptos Narrow" w:cs="Times New Roman"/>
                <w:color w:val="000000"/>
                <w:kern w:val="0"/>
                <w:sz w:val="22"/>
                <w:szCs w:val="22"/>
                <w14:ligatures w14:val="none"/>
              </w:rPr>
              <w:t xml:space="preserve"> din transf. TV</w:t>
            </w:r>
          </w:p>
        </w:tc>
        <w:tc>
          <w:tcPr>
            <w:tcW w:w="1882" w:type="dxa"/>
            <w:tcBorders>
              <w:top w:val="nil"/>
              <w:left w:val="nil"/>
              <w:bottom w:val="single" w:sz="4" w:space="0" w:color="auto"/>
              <w:right w:val="single" w:sz="4" w:space="0" w:color="auto"/>
            </w:tcBorders>
            <w:noWrap/>
            <w:vAlign w:val="bottom"/>
            <w:hideMark/>
          </w:tcPr>
          <w:p w14:paraId="0273F254" w14:textId="77777777" w:rsidR="00A55427" w:rsidRPr="00834B27" w:rsidRDefault="00A55427" w:rsidP="00A55427">
            <w:pPr>
              <w:spacing w:after="0" w:line="240" w:lineRule="auto"/>
              <w:jc w:val="right"/>
              <w:rPr>
                <w:rFonts w:ascii="Aptos Narrow" w:eastAsia="Times New Roman" w:hAnsi="Aptos Narrow" w:cs="Times New Roman"/>
                <w:color w:val="00B050"/>
                <w:kern w:val="0"/>
                <w:sz w:val="22"/>
                <w:szCs w:val="22"/>
                <w14:ligatures w14:val="none"/>
              </w:rPr>
            </w:pPr>
            <w:r w:rsidRPr="00834B27">
              <w:rPr>
                <w:rFonts w:ascii="Aptos Narrow" w:eastAsia="Times New Roman" w:hAnsi="Aptos Narrow" w:cs="Times New Roman"/>
                <w:color w:val="00B050"/>
                <w:kern w:val="0"/>
                <w:sz w:val="22"/>
                <w:szCs w:val="22"/>
                <w14:ligatures w14:val="none"/>
              </w:rPr>
              <w:t>319,174,191</w:t>
            </w:r>
          </w:p>
        </w:tc>
        <w:tc>
          <w:tcPr>
            <w:tcW w:w="1882" w:type="dxa"/>
            <w:tcBorders>
              <w:top w:val="nil"/>
              <w:left w:val="nil"/>
              <w:bottom w:val="single" w:sz="4" w:space="0" w:color="auto"/>
              <w:right w:val="single" w:sz="4" w:space="0" w:color="auto"/>
            </w:tcBorders>
            <w:noWrap/>
            <w:vAlign w:val="bottom"/>
            <w:hideMark/>
          </w:tcPr>
          <w:p w14:paraId="352444C7" w14:textId="77777777" w:rsidR="00A55427" w:rsidRPr="00834B27" w:rsidRDefault="00A55427" w:rsidP="00A55427">
            <w:pPr>
              <w:spacing w:after="0" w:line="240" w:lineRule="auto"/>
              <w:jc w:val="right"/>
              <w:rPr>
                <w:rFonts w:ascii="Aptos Narrow" w:eastAsia="Times New Roman" w:hAnsi="Aptos Narrow" w:cs="Times New Roman"/>
                <w:color w:val="00B050"/>
                <w:kern w:val="0"/>
                <w:sz w:val="22"/>
                <w:szCs w:val="22"/>
                <w14:ligatures w14:val="none"/>
              </w:rPr>
            </w:pPr>
            <w:r w:rsidRPr="00834B27">
              <w:rPr>
                <w:rFonts w:ascii="Aptos Narrow" w:eastAsia="Times New Roman" w:hAnsi="Aptos Narrow" w:cs="Times New Roman"/>
                <w:color w:val="00B050"/>
                <w:kern w:val="0"/>
                <w:sz w:val="22"/>
                <w:szCs w:val="22"/>
                <w14:ligatures w14:val="none"/>
              </w:rPr>
              <w:t>365,427,699</w:t>
            </w:r>
          </w:p>
        </w:tc>
        <w:tc>
          <w:tcPr>
            <w:tcW w:w="1882" w:type="dxa"/>
            <w:tcBorders>
              <w:top w:val="nil"/>
              <w:left w:val="nil"/>
              <w:bottom w:val="single" w:sz="4" w:space="0" w:color="auto"/>
              <w:right w:val="single" w:sz="4" w:space="0" w:color="auto"/>
            </w:tcBorders>
            <w:noWrap/>
            <w:vAlign w:val="bottom"/>
            <w:hideMark/>
          </w:tcPr>
          <w:p w14:paraId="4B6F4BFA" w14:textId="77777777" w:rsidR="00A55427" w:rsidRPr="00834B27" w:rsidRDefault="00A55427" w:rsidP="00A55427">
            <w:pPr>
              <w:spacing w:after="0" w:line="240" w:lineRule="auto"/>
              <w:jc w:val="right"/>
              <w:rPr>
                <w:rFonts w:ascii="Aptos Narrow" w:eastAsia="Times New Roman" w:hAnsi="Aptos Narrow" w:cs="Times New Roman"/>
                <w:color w:val="00B050"/>
                <w:kern w:val="0"/>
                <w:sz w:val="22"/>
                <w:szCs w:val="22"/>
                <w14:ligatures w14:val="none"/>
              </w:rPr>
            </w:pPr>
            <w:r w:rsidRPr="00834B27">
              <w:rPr>
                <w:rFonts w:ascii="Aptos Narrow" w:eastAsia="Times New Roman" w:hAnsi="Aptos Narrow" w:cs="Times New Roman"/>
                <w:color w:val="00B050"/>
                <w:kern w:val="0"/>
                <w:sz w:val="22"/>
                <w:szCs w:val="22"/>
                <w14:ligatures w14:val="none"/>
              </w:rPr>
              <w:t>392,171,115</w:t>
            </w:r>
          </w:p>
        </w:tc>
      </w:tr>
      <w:tr w:rsidR="00A55427" w:rsidRPr="00834B27" w14:paraId="0F503E2B" w14:textId="77777777" w:rsidTr="00A55427">
        <w:trPr>
          <w:trHeight w:val="285"/>
        </w:trPr>
        <w:tc>
          <w:tcPr>
            <w:tcW w:w="4514" w:type="dxa"/>
            <w:tcBorders>
              <w:top w:val="nil"/>
              <w:left w:val="single" w:sz="4" w:space="0" w:color="auto"/>
              <w:bottom w:val="single" w:sz="4" w:space="0" w:color="auto"/>
              <w:right w:val="single" w:sz="4" w:space="0" w:color="auto"/>
            </w:tcBorders>
            <w:noWrap/>
            <w:vAlign w:val="bottom"/>
            <w:hideMark/>
          </w:tcPr>
          <w:p w14:paraId="51135547" w14:textId="77777777" w:rsidR="00A55427" w:rsidRPr="00834B27" w:rsidRDefault="00A55427" w:rsidP="00A55427">
            <w:pPr>
              <w:spacing w:after="0" w:line="240" w:lineRule="auto"/>
              <w:rPr>
                <w:rFonts w:ascii="Aptos Narrow" w:eastAsia="Times New Roman" w:hAnsi="Aptos Narrow" w:cs="Times New Roman"/>
                <w:color w:val="000000"/>
                <w:kern w:val="0"/>
                <w:sz w:val="22"/>
                <w:szCs w:val="22"/>
                <w14:ligatures w14:val="none"/>
              </w:rPr>
            </w:pPr>
            <w:r w:rsidRPr="00834B27">
              <w:rPr>
                <w:rFonts w:ascii="Aptos Narrow" w:eastAsia="Times New Roman" w:hAnsi="Aptos Narrow" w:cs="Times New Roman"/>
                <w:color w:val="000000"/>
                <w:kern w:val="0"/>
                <w:sz w:val="22"/>
                <w:szCs w:val="22"/>
                <w14:ligatures w14:val="none"/>
              </w:rPr>
              <w:t> </w:t>
            </w:r>
          </w:p>
        </w:tc>
        <w:tc>
          <w:tcPr>
            <w:tcW w:w="1882" w:type="dxa"/>
            <w:tcBorders>
              <w:top w:val="nil"/>
              <w:left w:val="nil"/>
              <w:bottom w:val="single" w:sz="4" w:space="0" w:color="auto"/>
              <w:right w:val="single" w:sz="4" w:space="0" w:color="auto"/>
            </w:tcBorders>
            <w:noWrap/>
            <w:vAlign w:val="bottom"/>
            <w:hideMark/>
          </w:tcPr>
          <w:p w14:paraId="6DBB6227" w14:textId="77777777" w:rsidR="00A55427" w:rsidRPr="00834B27" w:rsidRDefault="00A55427" w:rsidP="00A55427">
            <w:pPr>
              <w:spacing w:after="0" w:line="240" w:lineRule="auto"/>
              <w:jc w:val="right"/>
              <w:rPr>
                <w:rFonts w:ascii="Aptos Narrow" w:eastAsia="Times New Roman" w:hAnsi="Aptos Narrow" w:cs="Times New Roman"/>
                <w:b/>
                <w:bCs/>
                <w:color w:val="00B050"/>
                <w:kern w:val="0"/>
                <w:sz w:val="22"/>
                <w:szCs w:val="22"/>
                <w14:ligatures w14:val="none"/>
              </w:rPr>
            </w:pPr>
            <w:r w:rsidRPr="00834B27">
              <w:rPr>
                <w:rFonts w:ascii="Aptos Narrow" w:eastAsia="Times New Roman" w:hAnsi="Aptos Narrow" w:cs="Times New Roman"/>
                <w:b/>
                <w:bCs/>
                <w:color w:val="00B050"/>
                <w:kern w:val="0"/>
                <w:sz w:val="22"/>
                <w:szCs w:val="22"/>
                <w14:ligatures w14:val="none"/>
              </w:rPr>
              <w:t>6,430,338,407</w:t>
            </w:r>
          </w:p>
        </w:tc>
        <w:tc>
          <w:tcPr>
            <w:tcW w:w="1882" w:type="dxa"/>
            <w:tcBorders>
              <w:top w:val="nil"/>
              <w:left w:val="nil"/>
              <w:bottom w:val="single" w:sz="4" w:space="0" w:color="auto"/>
              <w:right w:val="single" w:sz="4" w:space="0" w:color="auto"/>
            </w:tcBorders>
            <w:noWrap/>
            <w:vAlign w:val="bottom"/>
            <w:hideMark/>
          </w:tcPr>
          <w:p w14:paraId="48B15872" w14:textId="77777777" w:rsidR="00A55427" w:rsidRPr="00834B27" w:rsidRDefault="00A55427" w:rsidP="00A55427">
            <w:pPr>
              <w:spacing w:after="0" w:line="240" w:lineRule="auto"/>
              <w:jc w:val="right"/>
              <w:rPr>
                <w:rFonts w:ascii="Aptos Narrow" w:eastAsia="Times New Roman" w:hAnsi="Aptos Narrow" w:cs="Times New Roman"/>
                <w:b/>
                <w:bCs/>
                <w:color w:val="00B050"/>
                <w:kern w:val="0"/>
                <w:sz w:val="22"/>
                <w:szCs w:val="22"/>
                <w14:ligatures w14:val="none"/>
              </w:rPr>
            </w:pPr>
            <w:r w:rsidRPr="00834B27">
              <w:rPr>
                <w:rFonts w:ascii="Aptos Narrow" w:eastAsia="Times New Roman" w:hAnsi="Aptos Narrow" w:cs="Times New Roman"/>
                <w:b/>
                <w:bCs/>
                <w:color w:val="00B050"/>
                <w:kern w:val="0"/>
                <w:sz w:val="22"/>
                <w:szCs w:val="22"/>
                <w14:ligatures w14:val="none"/>
              </w:rPr>
              <w:t>7,057,791,278</w:t>
            </w:r>
          </w:p>
        </w:tc>
        <w:tc>
          <w:tcPr>
            <w:tcW w:w="1882" w:type="dxa"/>
            <w:tcBorders>
              <w:top w:val="nil"/>
              <w:left w:val="nil"/>
              <w:bottom w:val="single" w:sz="4" w:space="0" w:color="auto"/>
              <w:right w:val="single" w:sz="4" w:space="0" w:color="auto"/>
            </w:tcBorders>
            <w:noWrap/>
            <w:vAlign w:val="bottom"/>
            <w:hideMark/>
          </w:tcPr>
          <w:p w14:paraId="569AE501" w14:textId="77777777" w:rsidR="00A55427" w:rsidRPr="00834B27" w:rsidRDefault="00A55427" w:rsidP="00A55427">
            <w:pPr>
              <w:spacing w:after="0" w:line="240" w:lineRule="auto"/>
              <w:jc w:val="right"/>
              <w:rPr>
                <w:rFonts w:ascii="Aptos Narrow" w:eastAsia="Times New Roman" w:hAnsi="Aptos Narrow" w:cs="Times New Roman"/>
                <w:b/>
                <w:bCs/>
                <w:color w:val="00B050"/>
                <w:kern w:val="0"/>
                <w:sz w:val="22"/>
                <w:szCs w:val="22"/>
                <w14:ligatures w14:val="none"/>
              </w:rPr>
            </w:pPr>
            <w:r w:rsidRPr="00834B27">
              <w:rPr>
                <w:rFonts w:ascii="Aptos Narrow" w:eastAsia="Times New Roman" w:hAnsi="Aptos Narrow" w:cs="Times New Roman"/>
                <w:b/>
                <w:bCs/>
                <w:color w:val="00B050"/>
                <w:kern w:val="0"/>
                <w:sz w:val="22"/>
                <w:szCs w:val="22"/>
                <w14:ligatures w14:val="none"/>
              </w:rPr>
              <w:t>7,396,548,750</w:t>
            </w:r>
          </w:p>
        </w:tc>
      </w:tr>
      <w:tr w:rsidR="00A55427" w:rsidRPr="00834B27" w14:paraId="012EE8F7" w14:textId="77777777" w:rsidTr="00A55427">
        <w:trPr>
          <w:trHeight w:val="285"/>
        </w:trPr>
        <w:tc>
          <w:tcPr>
            <w:tcW w:w="4514" w:type="dxa"/>
            <w:tcBorders>
              <w:top w:val="nil"/>
              <w:left w:val="single" w:sz="4" w:space="0" w:color="auto"/>
              <w:bottom w:val="single" w:sz="4" w:space="0" w:color="auto"/>
              <w:right w:val="single" w:sz="4" w:space="0" w:color="auto"/>
            </w:tcBorders>
            <w:noWrap/>
            <w:vAlign w:val="bottom"/>
            <w:hideMark/>
          </w:tcPr>
          <w:p w14:paraId="146DB331" w14:textId="77777777" w:rsidR="00A55427" w:rsidRPr="00834B27" w:rsidRDefault="00A55427" w:rsidP="00A55427">
            <w:pPr>
              <w:spacing w:after="0" w:line="240" w:lineRule="auto"/>
              <w:rPr>
                <w:rFonts w:ascii="Aptos Narrow" w:eastAsia="Times New Roman" w:hAnsi="Aptos Narrow" w:cs="Times New Roman"/>
                <w:b/>
                <w:bCs/>
                <w:color w:val="000000"/>
                <w:kern w:val="0"/>
                <w:sz w:val="22"/>
                <w:szCs w:val="22"/>
                <w14:ligatures w14:val="none"/>
              </w:rPr>
            </w:pPr>
            <w:r w:rsidRPr="00834B27">
              <w:rPr>
                <w:rFonts w:ascii="Aptos Narrow" w:eastAsia="Times New Roman" w:hAnsi="Aptos Narrow" w:cs="Times New Roman"/>
                <w:b/>
                <w:bCs/>
                <w:color w:val="000000"/>
                <w:kern w:val="0"/>
                <w:sz w:val="22"/>
                <w:szCs w:val="22"/>
                <w14:ligatures w14:val="none"/>
              </w:rPr>
              <w:t>Impact total (</w:t>
            </w:r>
            <w:proofErr w:type="spellStart"/>
            <w:r w:rsidRPr="00834B27">
              <w:rPr>
                <w:rFonts w:ascii="Aptos Narrow" w:eastAsia="Times New Roman" w:hAnsi="Aptos Narrow" w:cs="Times New Roman"/>
                <w:b/>
                <w:bCs/>
                <w:color w:val="000000"/>
                <w:kern w:val="0"/>
                <w:sz w:val="22"/>
                <w:szCs w:val="22"/>
                <w14:ligatures w14:val="none"/>
              </w:rPr>
              <w:t>fara</w:t>
            </w:r>
            <w:proofErr w:type="spellEnd"/>
            <w:r w:rsidRPr="00834B27">
              <w:rPr>
                <w:rFonts w:ascii="Aptos Narrow" w:eastAsia="Times New Roman" w:hAnsi="Aptos Narrow" w:cs="Times New Roman"/>
                <w:b/>
                <w:bCs/>
                <w:color w:val="000000"/>
                <w:kern w:val="0"/>
                <w:sz w:val="22"/>
                <w:szCs w:val="22"/>
                <w14:ligatures w14:val="none"/>
              </w:rPr>
              <w:t xml:space="preserve"> </w:t>
            </w:r>
            <w:proofErr w:type="spellStart"/>
            <w:r w:rsidRPr="00834B27">
              <w:rPr>
                <w:rFonts w:ascii="Aptos Narrow" w:eastAsia="Times New Roman" w:hAnsi="Aptos Narrow" w:cs="Times New Roman"/>
                <w:b/>
                <w:bCs/>
                <w:color w:val="000000"/>
                <w:kern w:val="0"/>
                <w:sz w:val="22"/>
                <w:szCs w:val="22"/>
                <w14:ligatures w14:val="none"/>
              </w:rPr>
              <w:t>pensii</w:t>
            </w:r>
            <w:proofErr w:type="spellEnd"/>
            <w:r w:rsidRPr="00834B27">
              <w:rPr>
                <w:rFonts w:ascii="Aptos Narrow" w:eastAsia="Times New Roman" w:hAnsi="Aptos Narrow" w:cs="Times New Roman"/>
                <w:b/>
                <w:bCs/>
                <w:color w:val="000000"/>
                <w:kern w:val="0"/>
                <w:sz w:val="22"/>
                <w:szCs w:val="22"/>
                <w14:ligatures w14:val="none"/>
              </w:rPr>
              <w:t>)</w:t>
            </w:r>
          </w:p>
        </w:tc>
        <w:tc>
          <w:tcPr>
            <w:tcW w:w="1882" w:type="dxa"/>
            <w:tcBorders>
              <w:top w:val="nil"/>
              <w:left w:val="nil"/>
              <w:bottom w:val="single" w:sz="4" w:space="0" w:color="auto"/>
              <w:right w:val="single" w:sz="4" w:space="0" w:color="auto"/>
            </w:tcBorders>
            <w:noWrap/>
            <w:vAlign w:val="bottom"/>
            <w:hideMark/>
          </w:tcPr>
          <w:p w14:paraId="4F8021C9" w14:textId="6CB85572" w:rsidR="00A55427" w:rsidRPr="00834B27" w:rsidRDefault="00424626" w:rsidP="00A55427">
            <w:pPr>
              <w:spacing w:after="0" w:line="240" w:lineRule="auto"/>
              <w:jc w:val="right"/>
              <w:rPr>
                <w:rFonts w:ascii="Aptos Narrow" w:eastAsia="Times New Roman" w:hAnsi="Aptos Narrow" w:cs="Times New Roman"/>
                <w:b/>
                <w:bCs/>
                <w:color w:val="FF0000"/>
                <w:kern w:val="0"/>
                <w:sz w:val="22"/>
                <w:szCs w:val="22"/>
                <w14:ligatures w14:val="none"/>
              </w:rPr>
            </w:pPr>
            <w:r w:rsidRPr="00834B27">
              <w:rPr>
                <w:rFonts w:ascii="Aptos Narrow" w:eastAsia="Times New Roman" w:hAnsi="Aptos Narrow" w:cs="Times New Roman"/>
                <w:b/>
                <w:bCs/>
                <w:color w:val="FF0000"/>
                <w:kern w:val="0"/>
                <w:sz w:val="22"/>
                <w:szCs w:val="22"/>
                <w14:ligatures w14:val="none"/>
              </w:rPr>
              <w:t>-</w:t>
            </w:r>
            <w:r w:rsidR="00A55427" w:rsidRPr="00834B27">
              <w:rPr>
                <w:rFonts w:ascii="Aptos Narrow" w:eastAsia="Times New Roman" w:hAnsi="Aptos Narrow" w:cs="Times New Roman"/>
                <w:b/>
                <w:bCs/>
                <w:color w:val="FF0000"/>
                <w:kern w:val="0"/>
                <w:sz w:val="22"/>
                <w:szCs w:val="22"/>
                <w14:ligatures w14:val="none"/>
              </w:rPr>
              <w:t>1,860,660,348</w:t>
            </w:r>
          </w:p>
        </w:tc>
        <w:tc>
          <w:tcPr>
            <w:tcW w:w="1882" w:type="dxa"/>
            <w:tcBorders>
              <w:top w:val="nil"/>
              <w:left w:val="nil"/>
              <w:bottom w:val="single" w:sz="4" w:space="0" w:color="auto"/>
              <w:right w:val="single" w:sz="4" w:space="0" w:color="auto"/>
            </w:tcBorders>
            <w:noWrap/>
            <w:vAlign w:val="bottom"/>
            <w:hideMark/>
          </w:tcPr>
          <w:p w14:paraId="019D04B3" w14:textId="7310A064" w:rsidR="00A55427" w:rsidRPr="00834B27" w:rsidRDefault="00424626" w:rsidP="00A55427">
            <w:pPr>
              <w:spacing w:after="0" w:line="240" w:lineRule="auto"/>
              <w:jc w:val="right"/>
              <w:rPr>
                <w:rFonts w:ascii="Aptos Narrow" w:eastAsia="Times New Roman" w:hAnsi="Aptos Narrow" w:cs="Times New Roman"/>
                <w:b/>
                <w:bCs/>
                <w:color w:val="00B050"/>
                <w:kern w:val="0"/>
                <w:sz w:val="22"/>
                <w:szCs w:val="22"/>
                <w14:ligatures w14:val="none"/>
              </w:rPr>
            </w:pPr>
            <w:r w:rsidRPr="00834B27">
              <w:rPr>
                <w:rFonts w:ascii="Aptos Narrow" w:eastAsia="Times New Roman" w:hAnsi="Aptos Narrow" w:cs="Times New Roman"/>
                <w:b/>
                <w:bCs/>
                <w:color w:val="00B050"/>
                <w:kern w:val="0"/>
                <w:sz w:val="22"/>
                <w:szCs w:val="22"/>
                <w14:ligatures w14:val="none"/>
              </w:rPr>
              <w:t>+</w:t>
            </w:r>
            <w:r w:rsidR="00A55427" w:rsidRPr="00834B27">
              <w:rPr>
                <w:rFonts w:ascii="Aptos Narrow" w:eastAsia="Times New Roman" w:hAnsi="Aptos Narrow" w:cs="Times New Roman"/>
                <w:b/>
                <w:bCs/>
                <w:color w:val="00B050"/>
                <w:kern w:val="0"/>
                <w:sz w:val="22"/>
                <w:szCs w:val="22"/>
                <w14:ligatures w14:val="none"/>
              </w:rPr>
              <w:t>508,881,826</w:t>
            </w:r>
          </w:p>
        </w:tc>
        <w:tc>
          <w:tcPr>
            <w:tcW w:w="1882" w:type="dxa"/>
            <w:tcBorders>
              <w:top w:val="nil"/>
              <w:left w:val="nil"/>
              <w:bottom w:val="single" w:sz="4" w:space="0" w:color="auto"/>
              <w:right w:val="single" w:sz="4" w:space="0" w:color="auto"/>
            </w:tcBorders>
            <w:noWrap/>
            <w:vAlign w:val="bottom"/>
            <w:hideMark/>
          </w:tcPr>
          <w:p w14:paraId="7FC9F0FC" w14:textId="3A8DB37B" w:rsidR="00A55427" w:rsidRPr="00834B27" w:rsidRDefault="00424626" w:rsidP="00A55427">
            <w:pPr>
              <w:spacing w:after="0" w:line="240" w:lineRule="auto"/>
              <w:jc w:val="right"/>
              <w:rPr>
                <w:rFonts w:ascii="Aptos Narrow" w:eastAsia="Times New Roman" w:hAnsi="Aptos Narrow" w:cs="Times New Roman"/>
                <w:b/>
                <w:bCs/>
                <w:color w:val="00B050"/>
                <w:kern w:val="0"/>
                <w:sz w:val="22"/>
                <w:szCs w:val="22"/>
                <w14:ligatures w14:val="none"/>
              </w:rPr>
            </w:pPr>
            <w:r w:rsidRPr="00834B27">
              <w:rPr>
                <w:rFonts w:ascii="Aptos Narrow" w:eastAsia="Times New Roman" w:hAnsi="Aptos Narrow" w:cs="Times New Roman"/>
                <w:b/>
                <w:bCs/>
                <w:color w:val="00B050"/>
                <w:kern w:val="0"/>
                <w:sz w:val="22"/>
                <w:szCs w:val="22"/>
                <w14:ligatures w14:val="none"/>
              </w:rPr>
              <w:t>+</w:t>
            </w:r>
            <w:r w:rsidR="00A55427" w:rsidRPr="00834B27">
              <w:rPr>
                <w:rFonts w:ascii="Aptos Narrow" w:eastAsia="Times New Roman" w:hAnsi="Aptos Narrow" w:cs="Times New Roman"/>
                <w:b/>
                <w:bCs/>
                <w:color w:val="00B050"/>
                <w:kern w:val="0"/>
                <w:sz w:val="22"/>
                <w:szCs w:val="22"/>
                <w14:ligatures w14:val="none"/>
              </w:rPr>
              <w:t>3,299,683,120</w:t>
            </w:r>
          </w:p>
        </w:tc>
      </w:tr>
      <w:tr w:rsidR="00A55427" w:rsidRPr="00834B27" w14:paraId="7D8D1495" w14:textId="77777777" w:rsidTr="00A55427">
        <w:trPr>
          <w:trHeight w:val="285"/>
        </w:trPr>
        <w:tc>
          <w:tcPr>
            <w:tcW w:w="4514" w:type="dxa"/>
            <w:tcBorders>
              <w:top w:val="nil"/>
              <w:left w:val="single" w:sz="4" w:space="0" w:color="auto"/>
              <w:bottom w:val="single" w:sz="4" w:space="0" w:color="auto"/>
              <w:right w:val="single" w:sz="4" w:space="0" w:color="auto"/>
            </w:tcBorders>
            <w:noWrap/>
            <w:vAlign w:val="bottom"/>
            <w:hideMark/>
          </w:tcPr>
          <w:p w14:paraId="7FABFCA8" w14:textId="77777777" w:rsidR="00A55427" w:rsidRPr="00834B27" w:rsidRDefault="00A55427" w:rsidP="00A55427">
            <w:pPr>
              <w:spacing w:after="0" w:line="240" w:lineRule="auto"/>
              <w:rPr>
                <w:rFonts w:ascii="Aptos Narrow" w:eastAsia="Times New Roman" w:hAnsi="Aptos Narrow" w:cs="Times New Roman"/>
                <w:color w:val="000000"/>
                <w:kern w:val="0"/>
                <w:sz w:val="22"/>
                <w:szCs w:val="22"/>
                <w14:ligatures w14:val="none"/>
              </w:rPr>
            </w:pPr>
            <w:r w:rsidRPr="00834B27">
              <w:rPr>
                <w:rFonts w:ascii="Aptos Narrow" w:eastAsia="Times New Roman" w:hAnsi="Aptos Narrow" w:cs="Times New Roman"/>
                <w:color w:val="000000"/>
                <w:kern w:val="0"/>
                <w:sz w:val="22"/>
                <w:szCs w:val="22"/>
                <w14:ligatures w14:val="none"/>
              </w:rPr>
              <w:t> </w:t>
            </w:r>
          </w:p>
        </w:tc>
        <w:tc>
          <w:tcPr>
            <w:tcW w:w="1882" w:type="dxa"/>
            <w:tcBorders>
              <w:top w:val="nil"/>
              <w:left w:val="nil"/>
              <w:bottom w:val="single" w:sz="4" w:space="0" w:color="auto"/>
              <w:right w:val="single" w:sz="4" w:space="0" w:color="auto"/>
            </w:tcBorders>
            <w:noWrap/>
            <w:vAlign w:val="bottom"/>
            <w:hideMark/>
          </w:tcPr>
          <w:p w14:paraId="0408AA54" w14:textId="77777777" w:rsidR="00A55427" w:rsidRPr="00834B27" w:rsidRDefault="00A55427" w:rsidP="00A55427">
            <w:pPr>
              <w:spacing w:after="0" w:line="240" w:lineRule="auto"/>
              <w:rPr>
                <w:rFonts w:ascii="Aptos Narrow" w:eastAsia="Times New Roman" w:hAnsi="Aptos Narrow" w:cs="Times New Roman"/>
                <w:color w:val="000000"/>
                <w:kern w:val="0"/>
                <w:sz w:val="22"/>
                <w:szCs w:val="22"/>
                <w14:ligatures w14:val="none"/>
              </w:rPr>
            </w:pPr>
            <w:r w:rsidRPr="00834B27">
              <w:rPr>
                <w:rFonts w:ascii="Aptos Narrow" w:eastAsia="Times New Roman" w:hAnsi="Aptos Narrow" w:cs="Times New Roman"/>
                <w:color w:val="000000"/>
                <w:kern w:val="0"/>
                <w:sz w:val="22"/>
                <w:szCs w:val="22"/>
                <w14:ligatures w14:val="none"/>
              </w:rPr>
              <w:t> </w:t>
            </w:r>
          </w:p>
        </w:tc>
        <w:tc>
          <w:tcPr>
            <w:tcW w:w="1882" w:type="dxa"/>
            <w:tcBorders>
              <w:top w:val="nil"/>
              <w:left w:val="nil"/>
              <w:bottom w:val="single" w:sz="4" w:space="0" w:color="auto"/>
              <w:right w:val="single" w:sz="4" w:space="0" w:color="auto"/>
            </w:tcBorders>
            <w:noWrap/>
            <w:vAlign w:val="bottom"/>
            <w:hideMark/>
          </w:tcPr>
          <w:p w14:paraId="5B7B09BE" w14:textId="77777777" w:rsidR="00A55427" w:rsidRPr="00834B27" w:rsidRDefault="00A55427" w:rsidP="00A55427">
            <w:pPr>
              <w:spacing w:after="0" w:line="240" w:lineRule="auto"/>
              <w:rPr>
                <w:rFonts w:ascii="Aptos Narrow" w:eastAsia="Times New Roman" w:hAnsi="Aptos Narrow" w:cs="Times New Roman"/>
                <w:color w:val="000000"/>
                <w:kern w:val="0"/>
                <w:sz w:val="22"/>
                <w:szCs w:val="22"/>
                <w14:ligatures w14:val="none"/>
              </w:rPr>
            </w:pPr>
            <w:r w:rsidRPr="00834B27">
              <w:rPr>
                <w:rFonts w:ascii="Aptos Narrow" w:eastAsia="Times New Roman" w:hAnsi="Aptos Narrow" w:cs="Times New Roman"/>
                <w:color w:val="000000"/>
                <w:kern w:val="0"/>
                <w:sz w:val="22"/>
                <w:szCs w:val="22"/>
                <w14:ligatures w14:val="none"/>
              </w:rPr>
              <w:t> </w:t>
            </w:r>
          </w:p>
        </w:tc>
        <w:tc>
          <w:tcPr>
            <w:tcW w:w="1882" w:type="dxa"/>
            <w:tcBorders>
              <w:top w:val="nil"/>
              <w:left w:val="nil"/>
              <w:bottom w:val="single" w:sz="4" w:space="0" w:color="auto"/>
              <w:right w:val="single" w:sz="4" w:space="0" w:color="auto"/>
            </w:tcBorders>
            <w:noWrap/>
            <w:vAlign w:val="bottom"/>
            <w:hideMark/>
          </w:tcPr>
          <w:p w14:paraId="1A31A4D4" w14:textId="77777777" w:rsidR="00A55427" w:rsidRPr="00834B27" w:rsidRDefault="00A55427" w:rsidP="00A55427">
            <w:pPr>
              <w:spacing w:after="0" w:line="240" w:lineRule="auto"/>
              <w:rPr>
                <w:rFonts w:ascii="Aptos Narrow" w:eastAsia="Times New Roman" w:hAnsi="Aptos Narrow" w:cs="Times New Roman"/>
                <w:color w:val="000000"/>
                <w:kern w:val="0"/>
                <w:sz w:val="22"/>
                <w:szCs w:val="22"/>
                <w14:ligatures w14:val="none"/>
              </w:rPr>
            </w:pPr>
            <w:r w:rsidRPr="00834B27">
              <w:rPr>
                <w:rFonts w:ascii="Aptos Narrow" w:eastAsia="Times New Roman" w:hAnsi="Aptos Narrow" w:cs="Times New Roman"/>
                <w:color w:val="000000"/>
                <w:kern w:val="0"/>
                <w:sz w:val="22"/>
                <w:szCs w:val="22"/>
                <w14:ligatures w14:val="none"/>
              </w:rPr>
              <w:t> </w:t>
            </w:r>
          </w:p>
        </w:tc>
      </w:tr>
      <w:tr w:rsidR="00A55427" w:rsidRPr="00834B27" w14:paraId="3B7DE7F4" w14:textId="77777777" w:rsidTr="00A55427">
        <w:trPr>
          <w:trHeight w:val="285"/>
        </w:trPr>
        <w:tc>
          <w:tcPr>
            <w:tcW w:w="4514" w:type="dxa"/>
            <w:tcBorders>
              <w:top w:val="nil"/>
              <w:left w:val="single" w:sz="4" w:space="0" w:color="auto"/>
              <w:bottom w:val="single" w:sz="4" w:space="0" w:color="auto"/>
              <w:right w:val="single" w:sz="4" w:space="0" w:color="auto"/>
            </w:tcBorders>
            <w:noWrap/>
            <w:vAlign w:val="bottom"/>
            <w:hideMark/>
          </w:tcPr>
          <w:p w14:paraId="285B817B" w14:textId="77777777" w:rsidR="00A55427" w:rsidRPr="00834B27" w:rsidRDefault="00A55427" w:rsidP="00A55427">
            <w:pPr>
              <w:spacing w:after="0" w:line="240" w:lineRule="auto"/>
              <w:rPr>
                <w:rFonts w:ascii="Aptos Narrow" w:eastAsia="Times New Roman" w:hAnsi="Aptos Narrow" w:cs="Times New Roman"/>
                <w:b/>
                <w:bCs/>
                <w:color w:val="000000"/>
                <w:kern w:val="0"/>
                <w:sz w:val="22"/>
                <w:szCs w:val="22"/>
                <w14:ligatures w14:val="none"/>
              </w:rPr>
            </w:pPr>
            <w:r w:rsidRPr="00834B27">
              <w:rPr>
                <w:rFonts w:ascii="Aptos Narrow" w:eastAsia="Times New Roman" w:hAnsi="Aptos Narrow" w:cs="Times New Roman"/>
                <w:b/>
                <w:bCs/>
                <w:color w:val="000000"/>
                <w:kern w:val="0"/>
                <w:sz w:val="22"/>
                <w:szCs w:val="22"/>
                <w14:ligatures w14:val="none"/>
              </w:rPr>
              <w:t xml:space="preserve">Impact </w:t>
            </w:r>
            <w:proofErr w:type="spellStart"/>
            <w:r w:rsidRPr="00834B27">
              <w:rPr>
                <w:rFonts w:ascii="Aptos Narrow" w:eastAsia="Times New Roman" w:hAnsi="Aptos Narrow" w:cs="Times New Roman"/>
                <w:b/>
                <w:bCs/>
                <w:color w:val="000000"/>
                <w:kern w:val="0"/>
                <w:sz w:val="22"/>
                <w:szCs w:val="22"/>
                <w14:ligatures w14:val="none"/>
              </w:rPr>
              <w:t>Pensii</w:t>
            </w:r>
            <w:proofErr w:type="spellEnd"/>
            <w:r w:rsidRPr="00834B27">
              <w:rPr>
                <w:rFonts w:ascii="Aptos Narrow" w:eastAsia="Times New Roman" w:hAnsi="Aptos Narrow" w:cs="Times New Roman"/>
                <w:b/>
                <w:bCs/>
                <w:color w:val="000000"/>
                <w:kern w:val="0"/>
                <w:sz w:val="22"/>
                <w:szCs w:val="22"/>
                <w14:ligatures w14:val="none"/>
              </w:rPr>
              <w:t xml:space="preserve"> DP Min</w:t>
            </w:r>
          </w:p>
        </w:tc>
        <w:tc>
          <w:tcPr>
            <w:tcW w:w="1882" w:type="dxa"/>
            <w:tcBorders>
              <w:top w:val="nil"/>
              <w:left w:val="nil"/>
              <w:bottom w:val="single" w:sz="4" w:space="0" w:color="auto"/>
              <w:right w:val="single" w:sz="4" w:space="0" w:color="auto"/>
            </w:tcBorders>
            <w:noWrap/>
            <w:vAlign w:val="bottom"/>
            <w:hideMark/>
          </w:tcPr>
          <w:p w14:paraId="59830E25" w14:textId="617C84B1" w:rsidR="00A55427" w:rsidRPr="00834B27" w:rsidRDefault="00424626" w:rsidP="00A55427">
            <w:pPr>
              <w:spacing w:after="0" w:line="240" w:lineRule="auto"/>
              <w:jc w:val="right"/>
              <w:rPr>
                <w:rFonts w:ascii="Aptos Narrow" w:eastAsia="Times New Roman" w:hAnsi="Aptos Narrow" w:cs="Times New Roman"/>
                <w:b/>
                <w:bCs/>
                <w:color w:val="00B050"/>
                <w:kern w:val="0"/>
                <w:sz w:val="22"/>
                <w:szCs w:val="22"/>
                <w14:ligatures w14:val="none"/>
              </w:rPr>
            </w:pPr>
            <w:r w:rsidRPr="00834B27">
              <w:rPr>
                <w:rFonts w:ascii="Aptos Narrow" w:eastAsia="Times New Roman" w:hAnsi="Aptos Narrow" w:cs="Times New Roman"/>
                <w:b/>
                <w:bCs/>
                <w:color w:val="00B050"/>
                <w:kern w:val="0"/>
                <w:sz w:val="22"/>
                <w:szCs w:val="22"/>
                <w14:ligatures w14:val="none"/>
              </w:rPr>
              <w:t>+</w:t>
            </w:r>
            <w:r w:rsidR="00A55427" w:rsidRPr="00834B27">
              <w:rPr>
                <w:rFonts w:ascii="Aptos Narrow" w:eastAsia="Times New Roman" w:hAnsi="Aptos Narrow" w:cs="Times New Roman"/>
                <w:b/>
                <w:bCs/>
                <w:color w:val="00B050"/>
                <w:kern w:val="0"/>
                <w:sz w:val="22"/>
                <w:szCs w:val="22"/>
                <w14:ligatures w14:val="none"/>
              </w:rPr>
              <w:t>15,100,815,732</w:t>
            </w:r>
          </w:p>
        </w:tc>
        <w:tc>
          <w:tcPr>
            <w:tcW w:w="1882" w:type="dxa"/>
            <w:tcBorders>
              <w:top w:val="nil"/>
              <w:left w:val="nil"/>
              <w:bottom w:val="single" w:sz="4" w:space="0" w:color="auto"/>
              <w:right w:val="single" w:sz="4" w:space="0" w:color="auto"/>
            </w:tcBorders>
            <w:noWrap/>
            <w:vAlign w:val="bottom"/>
            <w:hideMark/>
          </w:tcPr>
          <w:p w14:paraId="13C27FB4" w14:textId="25DBAE87" w:rsidR="00A55427" w:rsidRPr="00834B27" w:rsidRDefault="003F46F3" w:rsidP="00A55427">
            <w:pPr>
              <w:spacing w:after="0" w:line="240" w:lineRule="auto"/>
              <w:jc w:val="right"/>
              <w:rPr>
                <w:rFonts w:ascii="Aptos Narrow" w:eastAsia="Times New Roman" w:hAnsi="Aptos Narrow" w:cs="Times New Roman"/>
                <w:b/>
                <w:bCs/>
                <w:color w:val="00B050"/>
                <w:kern w:val="0"/>
                <w:sz w:val="22"/>
                <w:szCs w:val="22"/>
                <w14:ligatures w14:val="none"/>
              </w:rPr>
            </w:pPr>
            <w:r w:rsidRPr="00834B27">
              <w:rPr>
                <w:rFonts w:ascii="Aptos Narrow" w:eastAsia="Times New Roman" w:hAnsi="Aptos Narrow" w:cs="Times New Roman"/>
                <w:b/>
                <w:bCs/>
                <w:color w:val="00B050"/>
                <w:kern w:val="0"/>
                <w:sz w:val="22"/>
                <w:szCs w:val="22"/>
                <w14:ligatures w14:val="none"/>
              </w:rPr>
              <w:t>+</w:t>
            </w:r>
            <w:r w:rsidR="00A55427" w:rsidRPr="00834B27">
              <w:rPr>
                <w:rFonts w:ascii="Aptos Narrow" w:eastAsia="Times New Roman" w:hAnsi="Aptos Narrow" w:cs="Times New Roman"/>
                <w:b/>
                <w:bCs/>
                <w:color w:val="00B050"/>
                <w:kern w:val="0"/>
                <w:sz w:val="22"/>
                <w:szCs w:val="22"/>
                <w14:ligatures w14:val="none"/>
              </w:rPr>
              <w:t>15,100,815,732</w:t>
            </w:r>
          </w:p>
        </w:tc>
        <w:tc>
          <w:tcPr>
            <w:tcW w:w="1882" w:type="dxa"/>
            <w:tcBorders>
              <w:top w:val="nil"/>
              <w:left w:val="nil"/>
              <w:bottom w:val="single" w:sz="4" w:space="0" w:color="auto"/>
              <w:right w:val="single" w:sz="4" w:space="0" w:color="auto"/>
            </w:tcBorders>
            <w:noWrap/>
            <w:vAlign w:val="bottom"/>
            <w:hideMark/>
          </w:tcPr>
          <w:p w14:paraId="27A9E333" w14:textId="48EAE00F" w:rsidR="00A55427" w:rsidRPr="00834B27" w:rsidRDefault="003F46F3" w:rsidP="00A55427">
            <w:pPr>
              <w:spacing w:after="0" w:line="240" w:lineRule="auto"/>
              <w:jc w:val="right"/>
              <w:rPr>
                <w:rFonts w:ascii="Aptos Narrow" w:eastAsia="Times New Roman" w:hAnsi="Aptos Narrow" w:cs="Times New Roman"/>
                <w:b/>
                <w:bCs/>
                <w:color w:val="00B050"/>
                <w:kern w:val="0"/>
                <w:sz w:val="22"/>
                <w:szCs w:val="22"/>
                <w14:ligatures w14:val="none"/>
              </w:rPr>
            </w:pPr>
            <w:r w:rsidRPr="00834B27">
              <w:rPr>
                <w:rFonts w:ascii="Aptos Narrow" w:eastAsia="Times New Roman" w:hAnsi="Aptos Narrow" w:cs="Times New Roman"/>
                <w:b/>
                <w:bCs/>
                <w:color w:val="00B050"/>
                <w:kern w:val="0"/>
                <w:sz w:val="22"/>
                <w:szCs w:val="22"/>
                <w14:ligatures w14:val="none"/>
              </w:rPr>
              <w:t>+</w:t>
            </w:r>
            <w:r w:rsidR="00A55427" w:rsidRPr="00834B27">
              <w:rPr>
                <w:rFonts w:ascii="Aptos Narrow" w:eastAsia="Times New Roman" w:hAnsi="Aptos Narrow" w:cs="Times New Roman"/>
                <w:b/>
                <w:bCs/>
                <w:color w:val="00B050"/>
                <w:kern w:val="0"/>
                <w:sz w:val="22"/>
                <w:szCs w:val="22"/>
                <w14:ligatures w14:val="none"/>
              </w:rPr>
              <w:t>15,100,815,732</w:t>
            </w:r>
          </w:p>
        </w:tc>
      </w:tr>
      <w:tr w:rsidR="00A55427" w:rsidRPr="00834B27" w14:paraId="758C5CC6" w14:textId="77777777" w:rsidTr="00A55427">
        <w:trPr>
          <w:trHeight w:val="285"/>
        </w:trPr>
        <w:tc>
          <w:tcPr>
            <w:tcW w:w="4514" w:type="dxa"/>
            <w:tcBorders>
              <w:top w:val="nil"/>
              <w:left w:val="single" w:sz="4" w:space="0" w:color="auto"/>
              <w:bottom w:val="single" w:sz="4" w:space="0" w:color="auto"/>
              <w:right w:val="single" w:sz="4" w:space="0" w:color="auto"/>
            </w:tcBorders>
            <w:noWrap/>
            <w:vAlign w:val="bottom"/>
            <w:hideMark/>
          </w:tcPr>
          <w:p w14:paraId="68385FF8" w14:textId="77777777" w:rsidR="00A55427" w:rsidRPr="00834B27" w:rsidRDefault="00A55427" w:rsidP="00A55427">
            <w:pPr>
              <w:spacing w:after="0" w:line="240" w:lineRule="auto"/>
              <w:rPr>
                <w:rFonts w:ascii="Aptos Narrow" w:eastAsia="Times New Roman" w:hAnsi="Aptos Narrow" w:cs="Times New Roman"/>
                <w:b/>
                <w:bCs/>
                <w:color w:val="000000"/>
                <w:kern w:val="0"/>
                <w:sz w:val="22"/>
                <w:szCs w:val="22"/>
                <w14:ligatures w14:val="none"/>
              </w:rPr>
            </w:pPr>
            <w:r w:rsidRPr="00834B27">
              <w:rPr>
                <w:rFonts w:ascii="Aptos Narrow" w:eastAsia="Times New Roman" w:hAnsi="Aptos Narrow" w:cs="Times New Roman"/>
                <w:b/>
                <w:bCs/>
                <w:color w:val="000000"/>
                <w:kern w:val="0"/>
                <w:sz w:val="22"/>
                <w:szCs w:val="22"/>
                <w14:ligatures w14:val="none"/>
              </w:rPr>
              <w:t xml:space="preserve">Impact </w:t>
            </w:r>
            <w:proofErr w:type="spellStart"/>
            <w:r w:rsidRPr="00834B27">
              <w:rPr>
                <w:rFonts w:ascii="Aptos Narrow" w:eastAsia="Times New Roman" w:hAnsi="Aptos Narrow" w:cs="Times New Roman"/>
                <w:b/>
                <w:bCs/>
                <w:color w:val="000000"/>
                <w:kern w:val="0"/>
                <w:sz w:val="22"/>
                <w:szCs w:val="22"/>
                <w14:ligatures w14:val="none"/>
              </w:rPr>
              <w:t>Pensii</w:t>
            </w:r>
            <w:proofErr w:type="spellEnd"/>
            <w:r w:rsidRPr="00834B27">
              <w:rPr>
                <w:rFonts w:ascii="Aptos Narrow" w:eastAsia="Times New Roman" w:hAnsi="Aptos Narrow" w:cs="Times New Roman"/>
                <w:b/>
                <w:bCs/>
                <w:color w:val="000000"/>
                <w:kern w:val="0"/>
                <w:sz w:val="22"/>
                <w:szCs w:val="22"/>
                <w14:ligatures w14:val="none"/>
              </w:rPr>
              <w:t xml:space="preserve"> DP Max</w:t>
            </w:r>
          </w:p>
        </w:tc>
        <w:tc>
          <w:tcPr>
            <w:tcW w:w="1882" w:type="dxa"/>
            <w:tcBorders>
              <w:top w:val="nil"/>
              <w:left w:val="nil"/>
              <w:bottom w:val="single" w:sz="4" w:space="0" w:color="auto"/>
              <w:right w:val="single" w:sz="4" w:space="0" w:color="auto"/>
            </w:tcBorders>
            <w:noWrap/>
            <w:vAlign w:val="bottom"/>
            <w:hideMark/>
          </w:tcPr>
          <w:p w14:paraId="55C68F40" w14:textId="086A05FE" w:rsidR="00A55427" w:rsidRPr="00834B27" w:rsidRDefault="003F46F3" w:rsidP="00A55427">
            <w:pPr>
              <w:spacing w:after="0" w:line="240" w:lineRule="auto"/>
              <w:jc w:val="right"/>
              <w:rPr>
                <w:rFonts w:ascii="Aptos Narrow" w:eastAsia="Times New Roman" w:hAnsi="Aptos Narrow" w:cs="Times New Roman"/>
                <w:b/>
                <w:bCs/>
                <w:color w:val="00B050"/>
                <w:kern w:val="0"/>
                <w:sz w:val="22"/>
                <w:szCs w:val="22"/>
                <w14:ligatures w14:val="none"/>
              </w:rPr>
            </w:pPr>
            <w:r w:rsidRPr="00834B27">
              <w:rPr>
                <w:rFonts w:ascii="Aptos Narrow" w:eastAsia="Times New Roman" w:hAnsi="Aptos Narrow" w:cs="Times New Roman"/>
                <w:b/>
                <w:bCs/>
                <w:color w:val="00B050"/>
                <w:kern w:val="0"/>
                <w:sz w:val="22"/>
                <w:szCs w:val="22"/>
                <w14:ligatures w14:val="none"/>
              </w:rPr>
              <w:t>+</w:t>
            </w:r>
            <w:r w:rsidR="00A55427" w:rsidRPr="00834B27">
              <w:rPr>
                <w:rFonts w:ascii="Aptos Narrow" w:eastAsia="Times New Roman" w:hAnsi="Aptos Narrow" w:cs="Times New Roman"/>
                <w:b/>
                <w:bCs/>
                <w:color w:val="00B050"/>
                <w:kern w:val="0"/>
                <w:sz w:val="22"/>
                <w:szCs w:val="22"/>
                <w14:ligatures w14:val="none"/>
              </w:rPr>
              <w:t>6,827,366,853</w:t>
            </w:r>
          </w:p>
        </w:tc>
        <w:tc>
          <w:tcPr>
            <w:tcW w:w="1882" w:type="dxa"/>
            <w:tcBorders>
              <w:top w:val="nil"/>
              <w:left w:val="nil"/>
              <w:bottom w:val="single" w:sz="4" w:space="0" w:color="auto"/>
              <w:right w:val="single" w:sz="4" w:space="0" w:color="auto"/>
            </w:tcBorders>
            <w:noWrap/>
            <w:vAlign w:val="bottom"/>
            <w:hideMark/>
          </w:tcPr>
          <w:p w14:paraId="3D726224" w14:textId="5400F688" w:rsidR="00A55427" w:rsidRPr="00834B27" w:rsidRDefault="003F46F3" w:rsidP="00A55427">
            <w:pPr>
              <w:spacing w:after="0" w:line="240" w:lineRule="auto"/>
              <w:jc w:val="right"/>
              <w:rPr>
                <w:rFonts w:ascii="Aptos Narrow" w:eastAsia="Times New Roman" w:hAnsi="Aptos Narrow" w:cs="Times New Roman"/>
                <w:b/>
                <w:bCs/>
                <w:color w:val="00B050"/>
                <w:kern w:val="0"/>
                <w:sz w:val="22"/>
                <w:szCs w:val="22"/>
                <w14:ligatures w14:val="none"/>
              </w:rPr>
            </w:pPr>
            <w:r w:rsidRPr="00834B27">
              <w:rPr>
                <w:rFonts w:ascii="Aptos Narrow" w:eastAsia="Times New Roman" w:hAnsi="Aptos Narrow" w:cs="Times New Roman"/>
                <w:b/>
                <w:bCs/>
                <w:color w:val="00B050"/>
                <w:kern w:val="0"/>
                <w:sz w:val="22"/>
                <w:szCs w:val="22"/>
                <w14:ligatures w14:val="none"/>
              </w:rPr>
              <w:t>+</w:t>
            </w:r>
            <w:r w:rsidR="00A55427" w:rsidRPr="00834B27">
              <w:rPr>
                <w:rFonts w:ascii="Aptos Narrow" w:eastAsia="Times New Roman" w:hAnsi="Aptos Narrow" w:cs="Times New Roman"/>
                <w:b/>
                <w:bCs/>
                <w:color w:val="00B050"/>
                <w:kern w:val="0"/>
                <w:sz w:val="22"/>
                <w:szCs w:val="22"/>
                <w14:ligatures w14:val="none"/>
              </w:rPr>
              <w:t>6,827,366,853</w:t>
            </w:r>
          </w:p>
        </w:tc>
        <w:tc>
          <w:tcPr>
            <w:tcW w:w="1882" w:type="dxa"/>
            <w:tcBorders>
              <w:top w:val="nil"/>
              <w:left w:val="nil"/>
              <w:bottom w:val="single" w:sz="4" w:space="0" w:color="auto"/>
              <w:right w:val="single" w:sz="4" w:space="0" w:color="auto"/>
            </w:tcBorders>
            <w:noWrap/>
            <w:vAlign w:val="bottom"/>
            <w:hideMark/>
          </w:tcPr>
          <w:p w14:paraId="682BDB63" w14:textId="4EBD3849" w:rsidR="00A55427" w:rsidRPr="00834B27" w:rsidRDefault="003F46F3" w:rsidP="00A55427">
            <w:pPr>
              <w:spacing w:after="0" w:line="240" w:lineRule="auto"/>
              <w:jc w:val="right"/>
              <w:rPr>
                <w:rFonts w:ascii="Aptos Narrow" w:eastAsia="Times New Roman" w:hAnsi="Aptos Narrow" w:cs="Times New Roman"/>
                <w:b/>
                <w:bCs/>
                <w:color w:val="00B050"/>
                <w:kern w:val="0"/>
                <w:sz w:val="22"/>
                <w:szCs w:val="22"/>
                <w14:ligatures w14:val="none"/>
              </w:rPr>
            </w:pPr>
            <w:r w:rsidRPr="00834B27">
              <w:rPr>
                <w:rFonts w:ascii="Aptos Narrow" w:eastAsia="Times New Roman" w:hAnsi="Aptos Narrow" w:cs="Times New Roman"/>
                <w:b/>
                <w:bCs/>
                <w:color w:val="00B050"/>
                <w:kern w:val="0"/>
                <w:sz w:val="22"/>
                <w:szCs w:val="22"/>
                <w14:ligatures w14:val="none"/>
              </w:rPr>
              <w:t>+</w:t>
            </w:r>
            <w:r w:rsidR="00A55427" w:rsidRPr="00834B27">
              <w:rPr>
                <w:rFonts w:ascii="Aptos Narrow" w:eastAsia="Times New Roman" w:hAnsi="Aptos Narrow" w:cs="Times New Roman"/>
                <w:b/>
                <w:bCs/>
                <w:color w:val="00B050"/>
                <w:kern w:val="0"/>
                <w:sz w:val="22"/>
                <w:szCs w:val="22"/>
                <w14:ligatures w14:val="none"/>
              </w:rPr>
              <w:t>6,827,366,853</w:t>
            </w:r>
          </w:p>
        </w:tc>
      </w:tr>
      <w:tr w:rsidR="00A55427" w:rsidRPr="00834B27" w14:paraId="52B68CB2" w14:textId="77777777" w:rsidTr="00A55427">
        <w:trPr>
          <w:trHeight w:val="285"/>
        </w:trPr>
        <w:tc>
          <w:tcPr>
            <w:tcW w:w="4514" w:type="dxa"/>
            <w:tcBorders>
              <w:top w:val="nil"/>
              <w:left w:val="single" w:sz="4" w:space="0" w:color="auto"/>
              <w:bottom w:val="single" w:sz="4" w:space="0" w:color="auto"/>
              <w:right w:val="single" w:sz="4" w:space="0" w:color="auto"/>
            </w:tcBorders>
            <w:noWrap/>
            <w:vAlign w:val="bottom"/>
            <w:hideMark/>
          </w:tcPr>
          <w:p w14:paraId="24D002C8" w14:textId="77777777" w:rsidR="00A55427" w:rsidRPr="00834B27" w:rsidRDefault="00A55427" w:rsidP="00A55427">
            <w:pPr>
              <w:spacing w:after="0" w:line="240" w:lineRule="auto"/>
              <w:rPr>
                <w:rFonts w:ascii="Aptos Narrow" w:eastAsia="Times New Roman" w:hAnsi="Aptos Narrow" w:cs="Times New Roman"/>
                <w:b/>
                <w:bCs/>
                <w:color w:val="000000"/>
                <w:kern w:val="0"/>
                <w:sz w:val="22"/>
                <w:szCs w:val="22"/>
                <w14:ligatures w14:val="none"/>
              </w:rPr>
            </w:pPr>
            <w:r w:rsidRPr="00834B27">
              <w:rPr>
                <w:rFonts w:ascii="Aptos Narrow" w:eastAsia="Times New Roman" w:hAnsi="Aptos Narrow" w:cs="Times New Roman"/>
                <w:b/>
                <w:bCs/>
                <w:color w:val="000000"/>
                <w:kern w:val="0"/>
                <w:sz w:val="22"/>
                <w:szCs w:val="22"/>
                <w14:ligatures w14:val="none"/>
              </w:rPr>
              <w:t xml:space="preserve">Impact total (cu </w:t>
            </w:r>
            <w:proofErr w:type="spellStart"/>
            <w:r w:rsidRPr="00834B27">
              <w:rPr>
                <w:rFonts w:ascii="Aptos Narrow" w:eastAsia="Times New Roman" w:hAnsi="Aptos Narrow" w:cs="Times New Roman"/>
                <w:b/>
                <w:bCs/>
                <w:color w:val="000000"/>
                <w:kern w:val="0"/>
                <w:sz w:val="22"/>
                <w:szCs w:val="22"/>
                <w14:ligatures w14:val="none"/>
              </w:rPr>
              <w:t>pensii</w:t>
            </w:r>
            <w:proofErr w:type="spellEnd"/>
            <w:r w:rsidRPr="00834B27">
              <w:rPr>
                <w:rFonts w:ascii="Aptos Narrow" w:eastAsia="Times New Roman" w:hAnsi="Aptos Narrow" w:cs="Times New Roman"/>
                <w:b/>
                <w:bCs/>
                <w:color w:val="000000"/>
                <w:kern w:val="0"/>
                <w:sz w:val="22"/>
                <w:szCs w:val="22"/>
                <w14:ligatures w14:val="none"/>
              </w:rPr>
              <w:t xml:space="preserve"> </w:t>
            </w:r>
            <w:proofErr w:type="spellStart"/>
            <w:r w:rsidRPr="00834B27">
              <w:rPr>
                <w:rFonts w:ascii="Aptos Narrow" w:eastAsia="Times New Roman" w:hAnsi="Aptos Narrow" w:cs="Times New Roman"/>
                <w:b/>
                <w:bCs/>
                <w:color w:val="000000"/>
                <w:kern w:val="0"/>
                <w:sz w:val="22"/>
                <w:szCs w:val="22"/>
                <w14:ligatures w14:val="none"/>
              </w:rPr>
              <w:t>DPMax</w:t>
            </w:r>
            <w:proofErr w:type="spellEnd"/>
            <w:r w:rsidRPr="00834B27">
              <w:rPr>
                <w:rFonts w:ascii="Aptos Narrow" w:eastAsia="Times New Roman" w:hAnsi="Aptos Narrow" w:cs="Times New Roman"/>
                <w:b/>
                <w:bCs/>
                <w:color w:val="000000"/>
                <w:kern w:val="0"/>
                <w:sz w:val="22"/>
                <w:szCs w:val="22"/>
                <w14:ligatures w14:val="none"/>
              </w:rPr>
              <w:t>)</w:t>
            </w:r>
          </w:p>
        </w:tc>
        <w:tc>
          <w:tcPr>
            <w:tcW w:w="1882" w:type="dxa"/>
            <w:tcBorders>
              <w:top w:val="nil"/>
              <w:left w:val="nil"/>
              <w:bottom w:val="single" w:sz="4" w:space="0" w:color="auto"/>
              <w:right w:val="single" w:sz="4" w:space="0" w:color="auto"/>
            </w:tcBorders>
            <w:noWrap/>
            <w:vAlign w:val="bottom"/>
            <w:hideMark/>
          </w:tcPr>
          <w:p w14:paraId="5B076708" w14:textId="5AB77BAD" w:rsidR="00A55427" w:rsidRPr="00834B27" w:rsidRDefault="003F46F3" w:rsidP="00A55427">
            <w:pPr>
              <w:spacing w:after="0" w:line="240" w:lineRule="auto"/>
              <w:jc w:val="right"/>
              <w:rPr>
                <w:rFonts w:ascii="Aptos Narrow" w:eastAsia="Times New Roman" w:hAnsi="Aptos Narrow" w:cs="Times New Roman"/>
                <w:b/>
                <w:bCs/>
                <w:color w:val="00B050"/>
                <w:kern w:val="0"/>
                <w:sz w:val="22"/>
                <w:szCs w:val="22"/>
                <w14:ligatures w14:val="none"/>
              </w:rPr>
            </w:pPr>
            <w:r w:rsidRPr="00834B27">
              <w:rPr>
                <w:rFonts w:ascii="Aptos Narrow" w:eastAsia="Times New Roman" w:hAnsi="Aptos Narrow" w:cs="Times New Roman"/>
                <w:b/>
                <w:bCs/>
                <w:color w:val="00B050"/>
                <w:kern w:val="0"/>
                <w:sz w:val="22"/>
                <w:szCs w:val="22"/>
                <w14:ligatures w14:val="none"/>
              </w:rPr>
              <w:t>+</w:t>
            </w:r>
            <w:r w:rsidR="00A55427" w:rsidRPr="00834B27">
              <w:rPr>
                <w:rFonts w:ascii="Aptos Narrow" w:eastAsia="Times New Roman" w:hAnsi="Aptos Narrow" w:cs="Times New Roman"/>
                <w:b/>
                <w:bCs/>
                <w:color w:val="00B050"/>
                <w:kern w:val="0"/>
                <w:sz w:val="22"/>
                <w:szCs w:val="22"/>
                <w14:ligatures w14:val="none"/>
              </w:rPr>
              <w:t>2,875,865,778</w:t>
            </w:r>
          </w:p>
        </w:tc>
        <w:tc>
          <w:tcPr>
            <w:tcW w:w="1882" w:type="dxa"/>
            <w:tcBorders>
              <w:top w:val="nil"/>
              <w:left w:val="nil"/>
              <w:bottom w:val="single" w:sz="4" w:space="0" w:color="auto"/>
              <w:right w:val="single" w:sz="4" w:space="0" w:color="auto"/>
            </w:tcBorders>
            <w:noWrap/>
            <w:vAlign w:val="bottom"/>
            <w:hideMark/>
          </w:tcPr>
          <w:p w14:paraId="46087679" w14:textId="223D814B" w:rsidR="00A55427" w:rsidRPr="00834B27" w:rsidRDefault="003F46F3" w:rsidP="00A55427">
            <w:pPr>
              <w:spacing w:after="0" w:line="240" w:lineRule="auto"/>
              <w:jc w:val="right"/>
              <w:rPr>
                <w:rFonts w:ascii="Aptos Narrow" w:eastAsia="Times New Roman" w:hAnsi="Aptos Narrow" w:cs="Times New Roman"/>
                <w:b/>
                <w:bCs/>
                <w:color w:val="00B050"/>
                <w:kern w:val="0"/>
                <w:sz w:val="22"/>
                <w:szCs w:val="22"/>
                <w14:ligatures w14:val="none"/>
              </w:rPr>
            </w:pPr>
            <w:r w:rsidRPr="00834B27">
              <w:rPr>
                <w:rFonts w:ascii="Aptos Narrow" w:eastAsia="Times New Roman" w:hAnsi="Aptos Narrow" w:cs="Times New Roman"/>
                <w:b/>
                <w:bCs/>
                <w:color w:val="00B050"/>
                <w:kern w:val="0"/>
                <w:sz w:val="22"/>
                <w:szCs w:val="22"/>
                <w14:ligatures w14:val="none"/>
              </w:rPr>
              <w:t>+</w:t>
            </w:r>
            <w:r w:rsidR="00A55427" w:rsidRPr="00834B27">
              <w:rPr>
                <w:rFonts w:ascii="Aptos Narrow" w:eastAsia="Times New Roman" w:hAnsi="Aptos Narrow" w:cs="Times New Roman"/>
                <w:b/>
                <w:bCs/>
                <w:color w:val="00B050"/>
                <w:kern w:val="0"/>
                <w:sz w:val="22"/>
                <w:szCs w:val="22"/>
                <w14:ligatures w14:val="none"/>
              </w:rPr>
              <w:t>5,245,407,951</w:t>
            </w:r>
          </w:p>
        </w:tc>
        <w:tc>
          <w:tcPr>
            <w:tcW w:w="1882" w:type="dxa"/>
            <w:tcBorders>
              <w:top w:val="nil"/>
              <w:left w:val="nil"/>
              <w:bottom w:val="single" w:sz="4" w:space="0" w:color="auto"/>
              <w:right w:val="single" w:sz="4" w:space="0" w:color="auto"/>
            </w:tcBorders>
            <w:noWrap/>
            <w:vAlign w:val="bottom"/>
            <w:hideMark/>
          </w:tcPr>
          <w:p w14:paraId="4DB5CE42" w14:textId="04F66BC0" w:rsidR="00A55427" w:rsidRPr="00834B27" w:rsidRDefault="003F46F3" w:rsidP="00A55427">
            <w:pPr>
              <w:spacing w:after="0" w:line="240" w:lineRule="auto"/>
              <w:jc w:val="right"/>
              <w:rPr>
                <w:rFonts w:ascii="Aptos Narrow" w:eastAsia="Times New Roman" w:hAnsi="Aptos Narrow" w:cs="Times New Roman"/>
                <w:b/>
                <w:bCs/>
                <w:color w:val="00B050"/>
                <w:kern w:val="0"/>
                <w:sz w:val="22"/>
                <w:szCs w:val="22"/>
                <w14:ligatures w14:val="none"/>
              </w:rPr>
            </w:pPr>
            <w:r w:rsidRPr="00834B27">
              <w:rPr>
                <w:rFonts w:ascii="Aptos Narrow" w:eastAsia="Times New Roman" w:hAnsi="Aptos Narrow" w:cs="Times New Roman"/>
                <w:b/>
                <w:bCs/>
                <w:color w:val="00B050"/>
                <w:kern w:val="0"/>
                <w:sz w:val="22"/>
                <w:szCs w:val="22"/>
                <w14:ligatures w14:val="none"/>
              </w:rPr>
              <w:t>+</w:t>
            </w:r>
            <w:r w:rsidR="00A55427" w:rsidRPr="00834B27">
              <w:rPr>
                <w:rFonts w:ascii="Aptos Narrow" w:eastAsia="Times New Roman" w:hAnsi="Aptos Narrow" w:cs="Times New Roman"/>
                <w:b/>
                <w:bCs/>
                <w:color w:val="00B050"/>
                <w:kern w:val="0"/>
                <w:sz w:val="22"/>
                <w:szCs w:val="22"/>
                <w14:ligatures w14:val="none"/>
              </w:rPr>
              <w:t>8,036,209,245</w:t>
            </w:r>
          </w:p>
        </w:tc>
      </w:tr>
      <w:tr w:rsidR="00A55427" w:rsidRPr="00834B27" w14:paraId="300B7562" w14:textId="77777777" w:rsidTr="00A55427">
        <w:trPr>
          <w:trHeight w:val="285"/>
        </w:trPr>
        <w:tc>
          <w:tcPr>
            <w:tcW w:w="4514" w:type="dxa"/>
            <w:tcBorders>
              <w:top w:val="nil"/>
              <w:left w:val="single" w:sz="4" w:space="0" w:color="auto"/>
              <w:bottom w:val="single" w:sz="4" w:space="0" w:color="auto"/>
              <w:right w:val="single" w:sz="4" w:space="0" w:color="auto"/>
            </w:tcBorders>
            <w:noWrap/>
            <w:vAlign w:val="bottom"/>
            <w:hideMark/>
          </w:tcPr>
          <w:p w14:paraId="404076E2" w14:textId="77777777" w:rsidR="00A55427" w:rsidRPr="00834B27" w:rsidRDefault="00A55427" w:rsidP="00A55427">
            <w:pPr>
              <w:spacing w:after="0" w:line="240" w:lineRule="auto"/>
              <w:rPr>
                <w:rFonts w:ascii="Aptos Narrow" w:eastAsia="Times New Roman" w:hAnsi="Aptos Narrow" w:cs="Times New Roman"/>
                <w:b/>
                <w:bCs/>
                <w:color w:val="000000"/>
                <w:kern w:val="0"/>
                <w:sz w:val="22"/>
                <w:szCs w:val="22"/>
                <w:lang w:val="it-IT"/>
                <w14:ligatures w14:val="none"/>
              </w:rPr>
            </w:pPr>
            <w:r w:rsidRPr="00834B27">
              <w:rPr>
                <w:rFonts w:ascii="Aptos Narrow" w:eastAsia="Times New Roman" w:hAnsi="Aptos Narrow" w:cs="Times New Roman"/>
                <w:b/>
                <w:bCs/>
                <w:color w:val="000000"/>
                <w:kern w:val="0"/>
                <w:sz w:val="22"/>
                <w:szCs w:val="22"/>
                <w:lang w:val="it-IT"/>
                <w14:ligatures w14:val="none"/>
              </w:rPr>
              <w:t>Impact Pensii (DP 3000 si degresiva)</w:t>
            </w:r>
          </w:p>
        </w:tc>
        <w:tc>
          <w:tcPr>
            <w:tcW w:w="1882" w:type="dxa"/>
            <w:tcBorders>
              <w:top w:val="nil"/>
              <w:left w:val="nil"/>
              <w:bottom w:val="single" w:sz="4" w:space="0" w:color="auto"/>
              <w:right w:val="single" w:sz="4" w:space="0" w:color="auto"/>
            </w:tcBorders>
            <w:noWrap/>
            <w:vAlign w:val="bottom"/>
            <w:hideMark/>
          </w:tcPr>
          <w:p w14:paraId="041D9D5D" w14:textId="3F1112E4" w:rsidR="00A55427" w:rsidRPr="00834B27" w:rsidRDefault="003F46F3" w:rsidP="00A55427">
            <w:pPr>
              <w:spacing w:after="0" w:line="240" w:lineRule="auto"/>
              <w:jc w:val="right"/>
              <w:rPr>
                <w:rFonts w:ascii="Aptos Narrow" w:eastAsia="Times New Roman" w:hAnsi="Aptos Narrow" w:cs="Times New Roman"/>
                <w:b/>
                <w:bCs/>
                <w:color w:val="00B050"/>
                <w:kern w:val="0"/>
                <w:sz w:val="22"/>
                <w:szCs w:val="22"/>
                <w14:ligatures w14:val="none"/>
              </w:rPr>
            </w:pPr>
            <w:r w:rsidRPr="00834B27">
              <w:rPr>
                <w:rFonts w:ascii="Aptos Narrow" w:eastAsia="Times New Roman" w:hAnsi="Aptos Narrow" w:cs="Times New Roman"/>
                <w:b/>
                <w:bCs/>
                <w:color w:val="00B050"/>
                <w:kern w:val="0"/>
                <w:sz w:val="22"/>
                <w:szCs w:val="22"/>
                <w14:ligatures w14:val="none"/>
              </w:rPr>
              <w:t>+</w:t>
            </w:r>
            <w:r w:rsidR="00A55427" w:rsidRPr="00834B27">
              <w:rPr>
                <w:rFonts w:ascii="Aptos Narrow" w:eastAsia="Times New Roman" w:hAnsi="Aptos Narrow" w:cs="Times New Roman"/>
                <w:b/>
                <w:bCs/>
                <w:color w:val="00B050"/>
                <w:kern w:val="0"/>
                <w:sz w:val="22"/>
                <w:szCs w:val="22"/>
                <w14:ligatures w14:val="none"/>
              </w:rPr>
              <w:t>8,690,492,681</w:t>
            </w:r>
          </w:p>
        </w:tc>
        <w:tc>
          <w:tcPr>
            <w:tcW w:w="1882" w:type="dxa"/>
            <w:tcBorders>
              <w:top w:val="nil"/>
              <w:left w:val="nil"/>
              <w:bottom w:val="single" w:sz="4" w:space="0" w:color="auto"/>
              <w:right w:val="single" w:sz="4" w:space="0" w:color="auto"/>
            </w:tcBorders>
            <w:noWrap/>
            <w:vAlign w:val="bottom"/>
            <w:hideMark/>
          </w:tcPr>
          <w:p w14:paraId="7F2AA36A" w14:textId="31E9110C" w:rsidR="00A55427" w:rsidRPr="00834B27" w:rsidRDefault="003F46F3" w:rsidP="00A55427">
            <w:pPr>
              <w:spacing w:after="0" w:line="240" w:lineRule="auto"/>
              <w:jc w:val="right"/>
              <w:rPr>
                <w:rFonts w:ascii="Aptos Narrow" w:eastAsia="Times New Roman" w:hAnsi="Aptos Narrow" w:cs="Times New Roman"/>
                <w:b/>
                <w:bCs/>
                <w:color w:val="00B050"/>
                <w:kern w:val="0"/>
                <w:sz w:val="22"/>
                <w:szCs w:val="22"/>
                <w14:ligatures w14:val="none"/>
              </w:rPr>
            </w:pPr>
            <w:r w:rsidRPr="00834B27">
              <w:rPr>
                <w:rFonts w:ascii="Aptos Narrow" w:eastAsia="Times New Roman" w:hAnsi="Aptos Narrow" w:cs="Times New Roman"/>
                <w:b/>
                <w:bCs/>
                <w:color w:val="00B050"/>
                <w:kern w:val="0"/>
                <w:sz w:val="22"/>
                <w:szCs w:val="22"/>
                <w14:ligatures w14:val="none"/>
              </w:rPr>
              <w:t>+</w:t>
            </w:r>
            <w:r w:rsidR="00A55427" w:rsidRPr="00834B27">
              <w:rPr>
                <w:rFonts w:ascii="Aptos Narrow" w:eastAsia="Times New Roman" w:hAnsi="Aptos Narrow" w:cs="Times New Roman"/>
                <w:b/>
                <w:bCs/>
                <w:color w:val="00B050"/>
                <w:kern w:val="0"/>
                <w:sz w:val="22"/>
                <w:szCs w:val="22"/>
                <w14:ligatures w14:val="none"/>
              </w:rPr>
              <w:t>8,690,492,681</w:t>
            </w:r>
          </w:p>
        </w:tc>
        <w:tc>
          <w:tcPr>
            <w:tcW w:w="1882" w:type="dxa"/>
            <w:tcBorders>
              <w:top w:val="nil"/>
              <w:left w:val="nil"/>
              <w:bottom w:val="single" w:sz="4" w:space="0" w:color="auto"/>
              <w:right w:val="single" w:sz="4" w:space="0" w:color="auto"/>
            </w:tcBorders>
            <w:noWrap/>
            <w:vAlign w:val="bottom"/>
            <w:hideMark/>
          </w:tcPr>
          <w:p w14:paraId="21CC2746" w14:textId="3E8C3EFE" w:rsidR="00A55427" w:rsidRPr="00834B27" w:rsidRDefault="003F46F3" w:rsidP="00A55427">
            <w:pPr>
              <w:spacing w:after="0" w:line="240" w:lineRule="auto"/>
              <w:jc w:val="right"/>
              <w:rPr>
                <w:rFonts w:ascii="Aptos Narrow" w:eastAsia="Times New Roman" w:hAnsi="Aptos Narrow" w:cs="Times New Roman"/>
                <w:b/>
                <w:bCs/>
                <w:color w:val="00B050"/>
                <w:kern w:val="0"/>
                <w:sz w:val="22"/>
                <w:szCs w:val="22"/>
                <w14:ligatures w14:val="none"/>
              </w:rPr>
            </w:pPr>
            <w:r w:rsidRPr="00834B27">
              <w:rPr>
                <w:rFonts w:ascii="Aptos Narrow" w:eastAsia="Times New Roman" w:hAnsi="Aptos Narrow" w:cs="Times New Roman"/>
                <w:b/>
                <w:bCs/>
                <w:color w:val="00B050"/>
                <w:kern w:val="0"/>
                <w:sz w:val="22"/>
                <w:szCs w:val="22"/>
                <w14:ligatures w14:val="none"/>
              </w:rPr>
              <w:t>+</w:t>
            </w:r>
            <w:r w:rsidR="00A55427" w:rsidRPr="00834B27">
              <w:rPr>
                <w:rFonts w:ascii="Aptos Narrow" w:eastAsia="Times New Roman" w:hAnsi="Aptos Narrow" w:cs="Times New Roman"/>
                <w:b/>
                <w:bCs/>
                <w:color w:val="00B050"/>
                <w:kern w:val="0"/>
                <w:sz w:val="22"/>
                <w:szCs w:val="22"/>
                <w14:ligatures w14:val="none"/>
              </w:rPr>
              <w:t>8,690,492,681</w:t>
            </w:r>
          </w:p>
        </w:tc>
      </w:tr>
      <w:tr w:rsidR="00A55427" w:rsidRPr="00834B27" w14:paraId="36DF527A" w14:textId="77777777" w:rsidTr="00A55427">
        <w:trPr>
          <w:trHeight w:val="285"/>
        </w:trPr>
        <w:tc>
          <w:tcPr>
            <w:tcW w:w="4514" w:type="dxa"/>
            <w:tcBorders>
              <w:top w:val="nil"/>
              <w:left w:val="single" w:sz="4" w:space="0" w:color="auto"/>
              <w:bottom w:val="single" w:sz="4" w:space="0" w:color="auto"/>
              <w:right w:val="single" w:sz="4" w:space="0" w:color="auto"/>
            </w:tcBorders>
            <w:noWrap/>
            <w:vAlign w:val="bottom"/>
            <w:hideMark/>
          </w:tcPr>
          <w:p w14:paraId="42A2F8FC" w14:textId="77777777" w:rsidR="00A55427" w:rsidRPr="00834B27" w:rsidRDefault="00A55427" w:rsidP="00A55427">
            <w:pPr>
              <w:spacing w:after="0" w:line="240" w:lineRule="auto"/>
              <w:rPr>
                <w:rFonts w:ascii="Aptos Narrow" w:eastAsia="Times New Roman" w:hAnsi="Aptos Narrow" w:cs="Times New Roman"/>
                <w:b/>
                <w:bCs/>
                <w:color w:val="000000"/>
                <w:kern w:val="0"/>
                <w:sz w:val="22"/>
                <w:szCs w:val="22"/>
                <w:lang w:val="it-IT"/>
                <w14:ligatures w14:val="none"/>
              </w:rPr>
            </w:pPr>
            <w:r w:rsidRPr="00834B27">
              <w:rPr>
                <w:rFonts w:ascii="Aptos Narrow" w:eastAsia="Times New Roman" w:hAnsi="Aptos Narrow" w:cs="Times New Roman"/>
                <w:b/>
                <w:bCs/>
                <w:color w:val="000000"/>
                <w:kern w:val="0"/>
                <w:sz w:val="22"/>
                <w:szCs w:val="22"/>
                <w:lang w:val="it-IT"/>
                <w14:ligatures w14:val="none"/>
              </w:rPr>
              <w:t>Impact total (cu pensii DP 3000 si degresiva)</w:t>
            </w:r>
          </w:p>
        </w:tc>
        <w:tc>
          <w:tcPr>
            <w:tcW w:w="1882" w:type="dxa"/>
            <w:tcBorders>
              <w:top w:val="nil"/>
              <w:left w:val="nil"/>
              <w:bottom w:val="single" w:sz="4" w:space="0" w:color="auto"/>
              <w:right w:val="single" w:sz="4" w:space="0" w:color="auto"/>
            </w:tcBorders>
            <w:noWrap/>
            <w:vAlign w:val="bottom"/>
            <w:hideMark/>
          </w:tcPr>
          <w:p w14:paraId="0136A0DC" w14:textId="676DCBAA" w:rsidR="00A55427" w:rsidRPr="00834B27" w:rsidRDefault="003F46F3" w:rsidP="00A55427">
            <w:pPr>
              <w:spacing w:after="0" w:line="240" w:lineRule="auto"/>
              <w:jc w:val="right"/>
              <w:rPr>
                <w:rFonts w:ascii="Aptos Narrow" w:eastAsia="Times New Roman" w:hAnsi="Aptos Narrow" w:cs="Times New Roman"/>
                <w:b/>
                <w:bCs/>
                <w:color w:val="00B050"/>
                <w:kern w:val="0"/>
                <w:sz w:val="22"/>
                <w:szCs w:val="22"/>
                <w14:ligatures w14:val="none"/>
              </w:rPr>
            </w:pPr>
            <w:r w:rsidRPr="00834B27">
              <w:rPr>
                <w:rFonts w:ascii="Aptos Narrow" w:eastAsia="Times New Roman" w:hAnsi="Aptos Narrow" w:cs="Times New Roman"/>
                <w:b/>
                <w:bCs/>
                <w:color w:val="00B050"/>
                <w:kern w:val="0"/>
                <w:sz w:val="22"/>
                <w:szCs w:val="22"/>
                <w14:ligatures w14:val="none"/>
              </w:rPr>
              <w:t>+</w:t>
            </w:r>
            <w:r w:rsidR="00A55427" w:rsidRPr="00834B27">
              <w:rPr>
                <w:rFonts w:ascii="Aptos Narrow" w:eastAsia="Times New Roman" w:hAnsi="Aptos Narrow" w:cs="Times New Roman"/>
                <w:b/>
                <w:bCs/>
                <w:color w:val="00B050"/>
                <w:kern w:val="0"/>
                <w:sz w:val="22"/>
                <w:szCs w:val="22"/>
                <w14:ligatures w14:val="none"/>
              </w:rPr>
              <w:t>4,738,991,606</w:t>
            </w:r>
          </w:p>
        </w:tc>
        <w:tc>
          <w:tcPr>
            <w:tcW w:w="1882" w:type="dxa"/>
            <w:tcBorders>
              <w:top w:val="nil"/>
              <w:left w:val="nil"/>
              <w:bottom w:val="single" w:sz="4" w:space="0" w:color="auto"/>
              <w:right w:val="single" w:sz="4" w:space="0" w:color="auto"/>
            </w:tcBorders>
            <w:noWrap/>
            <w:vAlign w:val="bottom"/>
            <w:hideMark/>
          </w:tcPr>
          <w:p w14:paraId="27C5CC13" w14:textId="26B2C848" w:rsidR="00A55427" w:rsidRPr="00834B27" w:rsidRDefault="003F46F3" w:rsidP="00A55427">
            <w:pPr>
              <w:spacing w:after="0" w:line="240" w:lineRule="auto"/>
              <w:jc w:val="right"/>
              <w:rPr>
                <w:rFonts w:ascii="Aptos Narrow" w:eastAsia="Times New Roman" w:hAnsi="Aptos Narrow" w:cs="Times New Roman"/>
                <w:b/>
                <w:bCs/>
                <w:color w:val="00B050"/>
                <w:kern w:val="0"/>
                <w:sz w:val="22"/>
                <w:szCs w:val="22"/>
                <w14:ligatures w14:val="none"/>
              </w:rPr>
            </w:pPr>
            <w:r w:rsidRPr="00834B27">
              <w:rPr>
                <w:rFonts w:ascii="Aptos Narrow" w:eastAsia="Times New Roman" w:hAnsi="Aptos Narrow" w:cs="Times New Roman"/>
                <w:b/>
                <w:bCs/>
                <w:color w:val="00B050"/>
                <w:kern w:val="0"/>
                <w:sz w:val="22"/>
                <w:szCs w:val="22"/>
                <w14:ligatures w14:val="none"/>
              </w:rPr>
              <w:t>+</w:t>
            </w:r>
            <w:r w:rsidR="00A55427" w:rsidRPr="00834B27">
              <w:rPr>
                <w:rFonts w:ascii="Aptos Narrow" w:eastAsia="Times New Roman" w:hAnsi="Aptos Narrow" w:cs="Times New Roman"/>
                <w:b/>
                <w:bCs/>
                <w:color w:val="00B050"/>
                <w:kern w:val="0"/>
                <w:sz w:val="22"/>
                <w:szCs w:val="22"/>
                <w14:ligatures w14:val="none"/>
              </w:rPr>
              <w:t>7,108,533,780</w:t>
            </w:r>
          </w:p>
        </w:tc>
        <w:tc>
          <w:tcPr>
            <w:tcW w:w="1882" w:type="dxa"/>
            <w:tcBorders>
              <w:top w:val="nil"/>
              <w:left w:val="nil"/>
              <w:bottom w:val="single" w:sz="4" w:space="0" w:color="auto"/>
              <w:right w:val="single" w:sz="4" w:space="0" w:color="auto"/>
            </w:tcBorders>
            <w:noWrap/>
            <w:vAlign w:val="bottom"/>
            <w:hideMark/>
          </w:tcPr>
          <w:p w14:paraId="6A32B890" w14:textId="70C3D311" w:rsidR="00A55427" w:rsidRPr="00834B27" w:rsidRDefault="003F46F3" w:rsidP="00A55427">
            <w:pPr>
              <w:spacing w:after="0" w:line="240" w:lineRule="auto"/>
              <w:jc w:val="right"/>
              <w:rPr>
                <w:rFonts w:ascii="Aptos Narrow" w:eastAsia="Times New Roman" w:hAnsi="Aptos Narrow" w:cs="Times New Roman"/>
                <w:b/>
                <w:bCs/>
                <w:color w:val="00B050"/>
                <w:kern w:val="0"/>
                <w:sz w:val="22"/>
                <w:szCs w:val="22"/>
                <w14:ligatures w14:val="none"/>
              </w:rPr>
            </w:pPr>
            <w:r w:rsidRPr="00834B27">
              <w:rPr>
                <w:rFonts w:ascii="Aptos Narrow" w:eastAsia="Times New Roman" w:hAnsi="Aptos Narrow" w:cs="Times New Roman"/>
                <w:b/>
                <w:bCs/>
                <w:color w:val="00B050"/>
                <w:kern w:val="0"/>
                <w:sz w:val="22"/>
                <w:szCs w:val="22"/>
                <w14:ligatures w14:val="none"/>
              </w:rPr>
              <w:t>+</w:t>
            </w:r>
            <w:r w:rsidR="00A55427" w:rsidRPr="00834B27">
              <w:rPr>
                <w:rFonts w:ascii="Aptos Narrow" w:eastAsia="Times New Roman" w:hAnsi="Aptos Narrow" w:cs="Times New Roman"/>
                <w:b/>
                <w:bCs/>
                <w:color w:val="00B050"/>
                <w:kern w:val="0"/>
                <w:sz w:val="22"/>
                <w:szCs w:val="22"/>
                <w14:ligatures w14:val="none"/>
              </w:rPr>
              <w:t>9,899,335,074</w:t>
            </w:r>
          </w:p>
        </w:tc>
      </w:tr>
    </w:tbl>
    <w:p w14:paraId="62DDB97E" w14:textId="77777777" w:rsidR="006D2171" w:rsidRPr="00834B27" w:rsidRDefault="006D2171" w:rsidP="0094354E">
      <w:pPr>
        <w:tabs>
          <w:tab w:val="left" w:pos="720"/>
        </w:tabs>
        <w:spacing w:line="276" w:lineRule="auto"/>
        <w:jc w:val="both"/>
        <w:rPr>
          <w:rFonts w:ascii="Calibri" w:hAnsi="Calibri" w:cs="Calibri"/>
          <w:lang w:val="ro-RO"/>
        </w:rPr>
      </w:pPr>
    </w:p>
    <w:p w14:paraId="1AE8CC0E" w14:textId="00303F33" w:rsidR="0045155F" w:rsidRPr="00834B27" w:rsidRDefault="0045155F" w:rsidP="005752DC">
      <w:pPr>
        <w:pStyle w:val="Listparagraf"/>
        <w:keepNext/>
        <w:numPr>
          <w:ilvl w:val="0"/>
          <w:numId w:val="54"/>
        </w:numPr>
        <w:tabs>
          <w:tab w:val="left" w:pos="720"/>
        </w:tabs>
        <w:spacing w:line="276" w:lineRule="auto"/>
        <w:ind w:hanging="720"/>
        <w:jc w:val="both"/>
        <w:rPr>
          <w:rFonts w:ascii="Calibri" w:hAnsi="Calibri" w:cs="Calibri"/>
          <w:b/>
          <w:bCs/>
          <w:lang w:val="ro-RO"/>
        </w:rPr>
      </w:pPr>
      <w:r w:rsidRPr="00834B27">
        <w:rPr>
          <w:rFonts w:ascii="Calibri" w:hAnsi="Calibri" w:cs="Calibri"/>
          <w:b/>
          <w:bCs/>
          <w:lang w:val="ro-RO"/>
        </w:rPr>
        <w:lastRenderedPageBreak/>
        <w:t>Concluzie</w:t>
      </w:r>
    </w:p>
    <w:p w14:paraId="3C7DC02F" w14:textId="178ADFD4" w:rsidR="0045155F" w:rsidRPr="00834B27" w:rsidRDefault="00EC4287" w:rsidP="00B43347">
      <w:pPr>
        <w:keepNext/>
        <w:tabs>
          <w:tab w:val="left" w:pos="720"/>
        </w:tabs>
        <w:spacing w:line="276" w:lineRule="auto"/>
        <w:jc w:val="both"/>
        <w:rPr>
          <w:rFonts w:ascii="Calibri" w:hAnsi="Calibri" w:cs="Calibri"/>
          <w:lang w:val="ro-RO"/>
        </w:rPr>
      </w:pPr>
      <w:r w:rsidRPr="00834B27">
        <w:rPr>
          <w:rFonts w:ascii="Calibri" w:hAnsi="Calibri" w:cs="Calibri"/>
          <w:lang w:val="ro-RO"/>
        </w:rPr>
        <w:t>Din analiza datelor centralizate</w:t>
      </w:r>
      <w:r w:rsidR="005825F8" w:rsidRPr="00834B27">
        <w:rPr>
          <w:rFonts w:ascii="Calibri" w:hAnsi="Calibri" w:cs="Calibri"/>
          <w:lang w:val="ro-RO"/>
        </w:rPr>
        <w:t>, concluzia noastr</w:t>
      </w:r>
      <w:r w:rsidR="008033B1" w:rsidRPr="00834B27">
        <w:rPr>
          <w:rFonts w:ascii="Calibri" w:hAnsi="Calibri" w:cs="Calibri"/>
          <w:lang w:val="ro-RO"/>
        </w:rPr>
        <w:t>ă</w:t>
      </w:r>
      <w:r w:rsidR="005825F8" w:rsidRPr="00834B27">
        <w:rPr>
          <w:rFonts w:ascii="Calibri" w:hAnsi="Calibri" w:cs="Calibri"/>
          <w:lang w:val="ro-RO"/>
        </w:rPr>
        <w:t xml:space="preserve"> este c</w:t>
      </w:r>
      <w:r w:rsidR="008033B1" w:rsidRPr="00834B27">
        <w:rPr>
          <w:rFonts w:ascii="Calibri" w:hAnsi="Calibri" w:cs="Calibri"/>
          <w:lang w:val="ro-RO"/>
        </w:rPr>
        <w:t>ă</w:t>
      </w:r>
      <w:r w:rsidR="005825F8" w:rsidRPr="00834B27">
        <w:rPr>
          <w:rFonts w:ascii="Calibri" w:hAnsi="Calibri" w:cs="Calibri"/>
          <w:lang w:val="ro-RO"/>
        </w:rPr>
        <w:t xml:space="preserve"> </w:t>
      </w:r>
      <w:r w:rsidR="008033B1" w:rsidRPr="00834B27">
        <w:rPr>
          <w:rFonts w:ascii="Calibri" w:hAnsi="Calibri" w:cs="Calibri"/>
          <w:lang w:val="ro-RO"/>
        </w:rPr>
        <w:t>op</w:t>
      </w:r>
      <w:r w:rsidR="00D77C4B" w:rsidRPr="00834B27">
        <w:rPr>
          <w:rFonts w:ascii="Calibri" w:hAnsi="Calibri" w:cs="Calibri"/>
          <w:lang w:val="ro-RO"/>
        </w:rPr>
        <w:t>ț</w:t>
      </w:r>
      <w:r w:rsidR="008033B1" w:rsidRPr="00834B27">
        <w:rPr>
          <w:rFonts w:ascii="Calibri" w:hAnsi="Calibri" w:cs="Calibri"/>
          <w:lang w:val="ro-RO"/>
        </w:rPr>
        <w:t>iunea</w:t>
      </w:r>
      <w:r w:rsidR="005825F8" w:rsidRPr="00834B27">
        <w:rPr>
          <w:rFonts w:ascii="Calibri" w:hAnsi="Calibri" w:cs="Calibri"/>
          <w:lang w:val="ro-RO"/>
        </w:rPr>
        <w:t xml:space="preserve"> cea mai fezabil</w:t>
      </w:r>
      <w:r w:rsidR="008033B1" w:rsidRPr="00834B27">
        <w:rPr>
          <w:rFonts w:ascii="Calibri" w:hAnsi="Calibri" w:cs="Calibri"/>
          <w:lang w:val="ro-RO"/>
        </w:rPr>
        <w:t>ă</w:t>
      </w:r>
      <w:r w:rsidR="005825F8" w:rsidRPr="00834B27">
        <w:rPr>
          <w:rFonts w:ascii="Calibri" w:hAnsi="Calibri" w:cs="Calibri"/>
          <w:lang w:val="ro-RO"/>
        </w:rPr>
        <w:t xml:space="preserve"> este revenirea la </w:t>
      </w:r>
      <w:r w:rsidR="00511CEA" w:rsidRPr="00834B27">
        <w:rPr>
          <w:rFonts w:ascii="Calibri" w:hAnsi="Calibri" w:cs="Calibri"/>
          <w:lang w:val="ro-RO"/>
        </w:rPr>
        <w:t>cotele de 16% pentru impozitul pe venit, 21,</w:t>
      </w:r>
      <w:r w:rsidR="00EF487E" w:rsidRPr="00834B27">
        <w:rPr>
          <w:rFonts w:ascii="Calibri" w:hAnsi="Calibri" w:cs="Calibri"/>
          <w:lang w:val="ro-RO"/>
        </w:rPr>
        <w:t>7</w:t>
      </w:r>
      <w:r w:rsidR="00511CEA" w:rsidRPr="00834B27">
        <w:rPr>
          <w:rFonts w:ascii="Calibri" w:hAnsi="Calibri" w:cs="Calibri"/>
          <w:lang w:val="ro-RO"/>
        </w:rPr>
        <w:t xml:space="preserve">% pentru </w:t>
      </w:r>
      <w:r w:rsidR="00BE5A0F" w:rsidRPr="00834B27">
        <w:rPr>
          <w:rFonts w:ascii="Calibri" w:hAnsi="Calibri" w:cs="Calibri"/>
          <w:lang w:val="ro-RO"/>
        </w:rPr>
        <w:t xml:space="preserve">CAS </w:t>
      </w:r>
      <w:r w:rsidR="008033B1" w:rsidRPr="00834B27">
        <w:rPr>
          <w:rFonts w:ascii="Calibri" w:hAnsi="Calibri" w:cs="Calibri"/>
          <w:lang w:val="ro-RO"/>
        </w:rPr>
        <w:t>ș</w:t>
      </w:r>
      <w:r w:rsidR="00BE5A0F" w:rsidRPr="00834B27">
        <w:rPr>
          <w:rFonts w:ascii="Calibri" w:hAnsi="Calibri" w:cs="Calibri"/>
          <w:lang w:val="ro-RO"/>
        </w:rPr>
        <w:t xml:space="preserve">i 8,8% pentru CASS </w:t>
      </w:r>
      <w:r w:rsidR="008033B1" w:rsidRPr="00834B27">
        <w:rPr>
          <w:rFonts w:ascii="Calibri" w:hAnsi="Calibri" w:cs="Calibri"/>
          <w:lang w:val="ro-RO"/>
        </w:rPr>
        <w:t>ș</w:t>
      </w:r>
      <w:r w:rsidR="00BE5A0F" w:rsidRPr="00834B27">
        <w:rPr>
          <w:rFonts w:ascii="Calibri" w:hAnsi="Calibri" w:cs="Calibri"/>
          <w:lang w:val="ro-RO"/>
        </w:rPr>
        <w:t xml:space="preserve">i plafonarea bazei de calcul al CAS </w:t>
      </w:r>
      <w:r w:rsidR="008033B1" w:rsidRPr="00834B27">
        <w:rPr>
          <w:rFonts w:ascii="Calibri" w:hAnsi="Calibri" w:cs="Calibri"/>
          <w:lang w:val="ro-RO"/>
        </w:rPr>
        <w:t>ș</w:t>
      </w:r>
      <w:r w:rsidR="00BE5A0F" w:rsidRPr="00834B27">
        <w:rPr>
          <w:rFonts w:ascii="Calibri" w:hAnsi="Calibri" w:cs="Calibri"/>
          <w:lang w:val="ro-RO"/>
        </w:rPr>
        <w:t xml:space="preserve">i </w:t>
      </w:r>
      <w:r w:rsidR="00835222" w:rsidRPr="00834B27">
        <w:rPr>
          <w:rFonts w:ascii="Calibri" w:hAnsi="Calibri" w:cs="Calibri"/>
          <w:lang w:val="ro-RO"/>
        </w:rPr>
        <w:t xml:space="preserve">al </w:t>
      </w:r>
      <w:r w:rsidR="00BE5A0F" w:rsidRPr="00834B27">
        <w:rPr>
          <w:rFonts w:ascii="Calibri" w:hAnsi="Calibri" w:cs="Calibri"/>
          <w:lang w:val="ro-RO"/>
        </w:rPr>
        <w:t xml:space="preserve">CASS la 6 </w:t>
      </w:r>
      <w:r w:rsidR="00835222" w:rsidRPr="00834B27">
        <w:rPr>
          <w:rFonts w:ascii="Calibri" w:hAnsi="Calibri" w:cs="Calibri"/>
          <w:lang w:val="ro-RO"/>
        </w:rPr>
        <w:t>SM</w:t>
      </w:r>
      <w:r w:rsidR="00BE5A0F" w:rsidRPr="00834B27">
        <w:rPr>
          <w:rFonts w:ascii="Calibri" w:hAnsi="Calibri" w:cs="Calibri"/>
          <w:lang w:val="ro-RO"/>
        </w:rPr>
        <w:t>/lun</w:t>
      </w:r>
      <w:r w:rsidR="008033B1" w:rsidRPr="00834B27">
        <w:rPr>
          <w:rFonts w:ascii="Calibri" w:hAnsi="Calibri" w:cs="Calibri"/>
          <w:lang w:val="ro-RO"/>
        </w:rPr>
        <w:t>ă</w:t>
      </w:r>
      <w:r w:rsidR="00BE5A0F" w:rsidRPr="00834B27">
        <w:rPr>
          <w:rFonts w:ascii="Calibri" w:hAnsi="Calibri" w:cs="Calibri"/>
          <w:lang w:val="ro-RO"/>
        </w:rPr>
        <w:t>, respectiv 72 de SM/an.</w:t>
      </w:r>
      <w:r w:rsidR="00351112" w:rsidRPr="00834B27">
        <w:rPr>
          <w:rFonts w:ascii="Calibri" w:hAnsi="Calibri" w:cs="Calibri"/>
          <w:lang w:val="ro-RO"/>
        </w:rPr>
        <w:t xml:space="preserve"> </w:t>
      </w:r>
      <w:r w:rsidR="00991C99" w:rsidRPr="00834B27">
        <w:rPr>
          <w:rFonts w:ascii="Calibri" w:hAnsi="Calibri" w:cs="Calibri"/>
          <w:lang w:val="ro-RO"/>
        </w:rPr>
        <w:t>Consider</w:t>
      </w:r>
      <w:r w:rsidR="008033B1" w:rsidRPr="00834B27">
        <w:rPr>
          <w:rFonts w:ascii="Calibri" w:hAnsi="Calibri" w:cs="Calibri"/>
          <w:lang w:val="ro-RO"/>
        </w:rPr>
        <w:t>ă</w:t>
      </w:r>
      <w:r w:rsidR="00991C99" w:rsidRPr="00834B27">
        <w:rPr>
          <w:rFonts w:ascii="Calibri" w:hAnsi="Calibri" w:cs="Calibri"/>
          <w:lang w:val="ro-RO"/>
        </w:rPr>
        <w:t>m c</w:t>
      </w:r>
      <w:r w:rsidR="008033B1" w:rsidRPr="00834B27">
        <w:rPr>
          <w:rFonts w:ascii="Calibri" w:hAnsi="Calibri" w:cs="Calibri"/>
          <w:lang w:val="ro-RO"/>
        </w:rPr>
        <w:t>ă</w:t>
      </w:r>
      <w:r w:rsidR="00991C99" w:rsidRPr="00834B27">
        <w:rPr>
          <w:rFonts w:ascii="Calibri" w:hAnsi="Calibri" w:cs="Calibri"/>
          <w:lang w:val="ro-RO"/>
        </w:rPr>
        <w:t xml:space="preserve"> e</w:t>
      </w:r>
      <w:r w:rsidR="00351112" w:rsidRPr="00834B27">
        <w:rPr>
          <w:rFonts w:ascii="Calibri" w:hAnsi="Calibri" w:cs="Calibri"/>
          <w:lang w:val="ro-RO"/>
        </w:rPr>
        <w:t xml:space="preserve">xcedentul de aproximativ </w:t>
      </w:r>
      <w:r w:rsidR="00B66341" w:rsidRPr="00834B27">
        <w:rPr>
          <w:rFonts w:ascii="Calibri" w:hAnsi="Calibri" w:cs="Calibri"/>
          <w:lang w:val="ro-RO"/>
        </w:rPr>
        <w:t>4,7</w:t>
      </w:r>
      <w:r w:rsidR="00351112" w:rsidRPr="00834B27">
        <w:rPr>
          <w:rFonts w:ascii="Calibri" w:hAnsi="Calibri" w:cs="Calibri"/>
          <w:lang w:val="ro-RO"/>
        </w:rPr>
        <w:t xml:space="preserve"> miliarde lei este suficient pentru a compensa eventualele suprapuneri de venituri</w:t>
      </w:r>
      <w:r w:rsidR="008C5A69" w:rsidRPr="00834B27">
        <w:rPr>
          <w:rFonts w:ascii="Calibri" w:hAnsi="Calibri" w:cs="Calibri"/>
          <w:lang w:val="ro-RO"/>
        </w:rPr>
        <w:t xml:space="preserve">, al </w:t>
      </w:r>
      <w:r w:rsidR="008033B1" w:rsidRPr="00834B27">
        <w:rPr>
          <w:rFonts w:ascii="Calibri" w:hAnsi="Calibri" w:cs="Calibri"/>
          <w:lang w:val="ro-RO"/>
        </w:rPr>
        <w:t>căror</w:t>
      </w:r>
      <w:r w:rsidR="008C5A69" w:rsidRPr="00834B27">
        <w:rPr>
          <w:rFonts w:ascii="Calibri" w:hAnsi="Calibri" w:cs="Calibri"/>
          <w:lang w:val="ro-RO"/>
        </w:rPr>
        <w:t xml:space="preserve"> impact</w:t>
      </w:r>
      <w:r w:rsidR="008033B1" w:rsidRPr="00834B27">
        <w:rPr>
          <w:rFonts w:ascii="Calibri" w:hAnsi="Calibri" w:cs="Calibri"/>
          <w:lang w:val="ro-RO"/>
        </w:rPr>
        <w:t>,</w:t>
      </w:r>
      <w:r w:rsidR="008C5A69" w:rsidRPr="00834B27">
        <w:rPr>
          <w:rFonts w:ascii="Calibri" w:hAnsi="Calibri" w:cs="Calibri"/>
          <w:lang w:val="ro-RO"/>
        </w:rPr>
        <w:t xml:space="preserve"> din lipsa </w:t>
      </w:r>
      <w:r w:rsidR="008033B1" w:rsidRPr="00834B27">
        <w:rPr>
          <w:rFonts w:ascii="Calibri" w:hAnsi="Calibri" w:cs="Calibri"/>
          <w:lang w:val="ro-RO"/>
        </w:rPr>
        <w:t>informa</w:t>
      </w:r>
      <w:r w:rsidR="00D77C4B" w:rsidRPr="00834B27">
        <w:rPr>
          <w:rFonts w:ascii="Calibri" w:hAnsi="Calibri" w:cs="Calibri"/>
          <w:lang w:val="ro-RO"/>
        </w:rPr>
        <w:t>ț</w:t>
      </w:r>
      <w:r w:rsidR="008033B1" w:rsidRPr="00834B27">
        <w:rPr>
          <w:rFonts w:ascii="Calibri" w:hAnsi="Calibri" w:cs="Calibri"/>
          <w:lang w:val="ro-RO"/>
        </w:rPr>
        <w:t>iilor</w:t>
      </w:r>
      <w:r w:rsidR="008C5A69" w:rsidRPr="00834B27">
        <w:rPr>
          <w:rFonts w:ascii="Calibri" w:hAnsi="Calibri" w:cs="Calibri"/>
          <w:lang w:val="ro-RO"/>
        </w:rPr>
        <w:t>, nu l-am putut calcula.</w:t>
      </w:r>
      <w:r w:rsidR="00DF3F32" w:rsidRPr="00834B27">
        <w:rPr>
          <w:lang w:val="ro-RO"/>
        </w:rPr>
        <w:t xml:space="preserve"> </w:t>
      </w:r>
      <w:r w:rsidR="00DF3F32" w:rsidRPr="00834B27">
        <w:rPr>
          <w:rFonts w:ascii="Calibri" w:hAnsi="Calibri" w:cs="Calibri"/>
          <w:lang w:val="ro-RO"/>
        </w:rPr>
        <w:t>Subliniem că această limitare afectează în mod egal toate scenariile, inclusiv scenariul status quo.</w:t>
      </w:r>
    </w:p>
    <w:p w14:paraId="46DCDCFF" w14:textId="19149185" w:rsidR="003812D9" w:rsidRPr="00834B27" w:rsidRDefault="00DF3F32" w:rsidP="00431A22">
      <w:pPr>
        <w:pStyle w:val="font-claude-response-body"/>
        <w:spacing w:line="276" w:lineRule="auto"/>
        <w:jc w:val="both"/>
        <w:rPr>
          <w:rFonts w:ascii="Calibri" w:hAnsi="Calibri" w:cs="Calibri"/>
          <w:lang w:val="ro-RO"/>
        </w:rPr>
      </w:pPr>
      <w:r w:rsidRPr="00834B27">
        <w:rPr>
          <w:rStyle w:val="Robust"/>
          <w:rFonts w:ascii="Calibri" w:eastAsiaTheme="majorEastAsia" w:hAnsi="Calibri" w:cs="Calibri"/>
          <w:b w:val="0"/>
          <w:bCs w:val="0"/>
          <w:lang w:val="ro-RO"/>
        </w:rPr>
        <w:t xml:space="preserve">Excedentul estimat de </w:t>
      </w:r>
      <w:r w:rsidR="00F231BA" w:rsidRPr="00834B27">
        <w:rPr>
          <w:rStyle w:val="Robust"/>
          <w:rFonts w:ascii="Calibri" w:eastAsiaTheme="majorEastAsia" w:hAnsi="Calibri" w:cs="Calibri"/>
          <w:b w:val="0"/>
          <w:bCs w:val="0"/>
          <w:lang w:val="ro-RO"/>
        </w:rPr>
        <w:t>4,7</w:t>
      </w:r>
      <w:r w:rsidRPr="00834B27">
        <w:rPr>
          <w:rStyle w:val="Robust"/>
          <w:rFonts w:ascii="Calibri" w:eastAsiaTheme="majorEastAsia" w:hAnsi="Calibri" w:cs="Calibri"/>
          <w:b w:val="0"/>
          <w:bCs w:val="0"/>
          <w:lang w:val="ro-RO"/>
        </w:rPr>
        <w:t xml:space="preserve"> miliarde lei nu include veniturile suplimentare din </w:t>
      </w:r>
      <w:r w:rsidR="0008130C" w:rsidRPr="00834B27">
        <w:rPr>
          <w:rStyle w:val="Robust"/>
          <w:rFonts w:ascii="Calibri" w:hAnsi="Calibri" w:cs="Calibri"/>
          <w:b w:val="0"/>
          <w:bCs w:val="0"/>
          <w:lang w:val="ro-RO"/>
        </w:rPr>
        <w:t>“</w:t>
      </w:r>
      <w:r w:rsidR="0008130C" w:rsidRPr="00834B27">
        <w:rPr>
          <w:rStyle w:val="Robust"/>
          <w:rFonts w:ascii="Calibri" w:eastAsiaTheme="majorEastAsia" w:hAnsi="Calibri" w:cs="Calibri"/>
          <w:b w:val="0"/>
          <w:bCs w:val="0"/>
          <w:lang w:val="ro-RO"/>
        </w:rPr>
        <w:t>momentul zero</w:t>
      </w:r>
      <w:r w:rsidR="0008130C" w:rsidRPr="00834B27">
        <w:rPr>
          <w:rStyle w:val="Robust"/>
          <w:rFonts w:ascii="Calibri" w:hAnsi="Calibri" w:cs="Calibri"/>
          <w:b w:val="0"/>
          <w:bCs w:val="0"/>
          <w:lang w:val="ro-RO"/>
        </w:rPr>
        <w:t>”,</w:t>
      </w:r>
      <w:r w:rsidR="0008130C" w:rsidRPr="00834B27">
        <w:rPr>
          <w:rStyle w:val="Robust"/>
          <w:rFonts w:ascii="Calibri" w:eastAsiaTheme="majorEastAsia" w:hAnsi="Calibri" w:cs="Calibri"/>
          <w:b w:val="0"/>
          <w:bCs w:val="0"/>
          <w:lang w:val="ro-RO"/>
        </w:rPr>
        <w:t xml:space="preserve"> </w:t>
      </w:r>
      <w:r w:rsidRPr="00834B27">
        <w:rPr>
          <w:rStyle w:val="Robust"/>
          <w:rFonts w:ascii="Calibri" w:eastAsiaTheme="majorEastAsia" w:hAnsi="Calibri" w:cs="Calibri"/>
          <w:b w:val="0"/>
          <w:bCs w:val="0"/>
          <w:i/>
          <w:iCs/>
          <w:lang w:val="ro-RO"/>
        </w:rPr>
        <w:t>CFC rules</w:t>
      </w:r>
      <w:r w:rsidRPr="00834B27">
        <w:rPr>
          <w:rStyle w:val="Robust"/>
          <w:rFonts w:ascii="Calibri" w:eastAsiaTheme="majorEastAsia" w:hAnsi="Calibri" w:cs="Calibri"/>
          <w:b w:val="0"/>
          <w:bCs w:val="0"/>
          <w:lang w:val="ro-RO"/>
        </w:rPr>
        <w:t xml:space="preserve">, </w:t>
      </w:r>
      <w:r w:rsidR="00171EDA" w:rsidRPr="00834B27">
        <w:rPr>
          <w:rStyle w:val="Robust"/>
          <w:rFonts w:ascii="Calibri" w:hAnsi="Calibri" w:cs="Calibri"/>
          <w:b w:val="0"/>
          <w:bCs w:val="0"/>
          <w:i/>
          <w:iCs/>
          <w:lang w:val="ro-RO"/>
        </w:rPr>
        <w:t>exit</w:t>
      </w:r>
      <w:r w:rsidRPr="00834B27">
        <w:rPr>
          <w:rStyle w:val="Robust"/>
          <w:rFonts w:ascii="Calibri" w:eastAsiaTheme="majorEastAsia" w:hAnsi="Calibri" w:cs="Calibri"/>
          <w:b w:val="0"/>
          <w:bCs w:val="0"/>
          <w:i/>
          <w:iCs/>
          <w:lang w:val="ro-RO"/>
        </w:rPr>
        <w:t xml:space="preserve"> tax</w:t>
      </w:r>
      <w:r w:rsidR="004423AC" w:rsidRPr="00834B27">
        <w:rPr>
          <w:rStyle w:val="Robust"/>
          <w:rFonts w:ascii="Calibri" w:eastAsiaTheme="majorEastAsia" w:hAnsi="Calibri" w:cs="Calibri"/>
          <w:b w:val="0"/>
          <w:bCs w:val="0"/>
          <w:lang w:val="ro-RO"/>
        </w:rPr>
        <w:t>, din</w:t>
      </w:r>
      <w:r w:rsidRPr="00834B27">
        <w:rPr>
          <w:rStyle w:val="Robust"/>
          <w:rFonts w:ascii="Calibri" w:eastAsiaTheme="majorEastAsia" w:hAnsi="Calibri" w:cs="Calibri"/>
          <w:b w:val="0"/>
          <w:bCs w:val="0"/>
          <w:lang w:val="ro-RO"/>
        </w:rPr>
        <w:t xml:space="preserve"> transparentizarea microîntreprinderilor</w:t>
      </w:r>
      <w:r w:rsidR="004423AC" w:rsidRPr="00834B27">
        <w:rPr>
          <w:rStyle w:val="Robust"/>
          <w:rFonts w:ascii="Calibri" w:eastAsiaTheme="majorEastAsia" w:hAnsi="Calibri" w:cs="Calibri"/>
          <w:b w:val="0"/>
          <w:bCs w:val="0"/>
          <w:lang w:val="ro-RO"/>
        </w:rPr>
        <w:t xml:space="preserve"> </w:t>
      </w:r>
      <w:r w:rsidR="00E561D1" w:rsidRPr="00834B27">
        <w:rPr>
          <w:rStyle w:val="Robust"/>
          <w:rFonts w:ascii="Calibri" w:eastAsiaTheme="majorEastAsia" w:hAnsi="Calibri" w:cs="Calibri"/>
          <w:b w:val="0"/>
          <w:bCs w:val="0"/>
          <w:lang w:val="ro-RO"/>
        </w:rPr>
        <w:t xml:space="preserve">și nici cele generate de înlocuirea impozitului pe venitul din </w:t>
      </w:r>
      <w:r w:rsidR="00552E20" w:rsidRPr="00834B27">
        <w:rPr>
          <w:rStyle w:val="Robust"/>
          <w:rFonts w:ascii="Calibri" w:eastAsiaTheme="majorEastAsia" w:hAnsi="Calibri" w:cs="Calibri"/>
          <w:b w:val="0"/>
          <w:bCs w:val="0"/>
          <w:lang w:val="ro-RO"/>
        </w:rPr>
        <w:t>transferul bunurilor imobile din patrimoniu personal cu impozitul pe câștigul din astfel de transferuri</w:t>
      </w:r>
      <w:r w:rsidRPr="00834B27">
        <w:rPr>
          <w:rFonts w:ascii="Calibri" w:hAnsi="Calibri" w:cs="Calibri"/>
          <w:lang w:val="ro-RO"/>
        </w:rPr>
        <w:t xml:space="preserve">. </w:t>
      </w:r>
      <w:r w:rsidR="003812D9" w:rsidRPr="00834B27">
        <w:rPr>
          <w:rFonts w:ascii="Calibri" w:hAnsi="Calibri" w:cs="Calibri"/>
          <w:lang w:val="ro-RO"/>
        </w:rPr>
        <w:t>Cuantificarea riguroasă a acestor venituri nu este posibilă în stadiul actual, din două motive independente de metodologia prezentului studiu. Primul este structural: datele necesare — patrimoniile reale ale rezidenților fiscali, fluxurile de profit către jurisdicții slab fiscalizate, cheltuielile personale ale asociaților înregistrate pe microîntreprinderi — nu sunt publice. Al doilea este inerent oricărei reforme anti-erodare: veniturile generate de instrumente al căror scop principal este modificarea comportamentului (descurajarea structurilor offshore, forțarea conformării voluntare, eliminarea opacității patrimoniale) nu pot fi, prin definiție, estimate pe baza comportamentului actual — tocmai pentru că reforma urmărește schimbarea acelui comportament. Această limitare nu este specifică prezentului studiu. Ea caracterizează toate evaluările de impact ale instrumentelor anti-erodare, inclusiv cele realizate de OECD (Action 3 — CFC Rules, 2015), de Comisia Europeană (evaluarea de impact ATAD, 2016) și de FMI (</w:t>
      </w:r>
      <w:r w:rsidR="00C55DE8" w:rsidRPr="00834B27">
        <w:rPr>
          <w:rFonts w:ascii="Calibri" w:hAnsi="Calibri" w:cs="Calibri"/>
          <w:lang w:val="ro-RO"/>
        </w:rPr>
        <w:t xml:space="preserve">Rapoarte de asistență tehnică </w:t>
      </w:r>
      <w:r w:rsidR="003812D9" w:rsidRPr="00834B27">
        <w:rPr>
          <w:rFonts w:ascii="Calibri" w:hAnsi="Calibri" w:cs="Calibri"/>
          <w:lang w:val="ro-RO"/>
        </w:rPr>
        <w:t>privind administrarea fiscală). În toate aceste cazuri, estimările se bazează pe combinația dintre: (i) datele parțiale disponibile, (ii) experiența comparativă a statelor care au implementat instrumente similare și (iii) raționamentul profesional al autorilor. Urmăm aceeași abordare.</w:t>
      </w:r>
    </w:p>
    <w:p w14:paraId="0DDF4DD9" w14:textId="1FC720BE" w:rsidR="001C45E1" w:rsidRPr="00834B27" w:rsidRDefault="00C9037F" w:rsidP="00431A22">
      <w:pPr>
        <w:keepNext/>
        <w:tabs>
          <w:tab w:val="left" w:pos="720"/>
        </w:tabs>
        <w:spacing w:line="276" w:lineRule="auto"/>
        <w:jc w:val="both"/>
        <w:rPr>
          <w:rFonts w:ascii="Calibri" w:hAnsi="Calibri" w:cs="Calibri"/>
          <w:lang w:val="ro-RO"/>
        </w:rPr>
      </w:pPr>
      <w:r w:rsidRPr="00834B27">
        <w:rPr>
          <w:rFonts w:ascii="Calibri" w:hAnsi="Calibri" w:cs="Calibri"/>
          <w:lang w:val="ro-RO"/>
        </w:rPr>
        <w:t xml:space="preserve">Din lipsa </w:t>
      </w:r>
      <w:r w:rsidR="008033B1" w:rsidRPr="00834B27">
        <w:rPr>
          <w:rFonts w:ascii="Calibri" w:hAnsi="Calibri" w:cs="Calibri"/>
          <w:lang w:val="ro-RO"/>
        </w:rPr>
        <w:t>informa</w:t>
      </w:r>
      <w:r w:rsidR="00D77C4B" w:rsidRPr="00834B27">
        <w:rPr>
          <w:rFonts w:ascii="Calibri" w:hAnsi="Calibri" w:cs="Calibri"/>
          <w:lang w:val="ro-RO"/>
        </w:rPr>
        <w:t>ț</w:t>
      </w:r>
      <w:r w:rsidR="008033B1" w:rsidRPr="00834B27">
        <w:rPr>
          <w:rFonts w:ascii="Calibri" w:hAnsi="Calibri" w:cs="Calibri"/>
          <w:lang w:val="ro-RO"/>
        </w:rPr>
        <w:t>iilor</w:t>
      </w:r>
      <w:r w:rsidRPr="00834B27">
        <w:rPr>
          <w:rFonts w:ascii="Calibri" w:hAnsi="Calibri" w:cs="Calibri"/>
          <w:lang w:val="ro-RO"/>
        </w:rPr>
        <w:t xml:space="preserve">, </w:t>
      </w:r>
      <w:r w:rsidR="005A5491" w:rsidRPr="00834B27">
        <w:rPr>
          <w:rFonts w:ascii="Calibri" w:hAnsi="Calibri" w:cs="Calibri"/>
          <w:lang w:val="ro-RO"/>
        </w:rPr>
        <w:t>n</w:t>
      </w:r>
      <w:r w:rsidR="00373DFD" w:rsidRPr="00834B27">
        <w:rPr>
          <w:rFonts w:ascii="Calibri" w:hAnsi="Calibri" w:cs="Calibri"/>
          <w:lang w:val="ro-RO"/>
        </w:rPr>
        <w:t>u am putut calcula impactul bugetar</w:t>
      </w:r>
      <w:r w:rsidR="0008130C" w:rsidRPr="00834B27">
        <w:rPr>
          <w:rFonts w:ascii="Calibri" w:hAnsi="Calibri" w:cs="Calibri"/>
          <w:lang w:val="ro-RO"/>
        </w:rPr>
        <w:t xml:space="preserve">, procedând și în acest caz la o </w:t>
      </w:r>
      <w:r w:rsidR="00E20F86" w:rsidRPr="00834B27">
        <w:rPr>
          <w:rFonts w:ascii="Calibri" w:hAnsi="Calibri" w:cs="Calibri"/>
          <w:lang w:val="ro-RO"/>
        </w:rPr>
        <w:t>aproximare</w:t>
      </w:r>
      <w:r w:rsidR="0008130C" w:rsidRPr="00834B27">
        <w:rPr>
          <w:rFonts w:ascii="Calibri" w:hAnsi="Calibri" w:cs="Calibri"/>
          <w:lang w:val="ro-RO"/>
        </w:rPr>
        <w:t xml:space="preserve"> prudentă</w:t>
      </w:r>
      <w:r w:rsidR="00E20F86" w:rsidRPr="00834B27">
        <w:rPr>
          <w:rFonts w:ascii="Calibri" w:hAnsi="Calibri" w:cs="Calibri"/>
          <w:lang w:val="ro-RO"/>
        </w:rPr>
        <w:t xml:space="preserve">. </w:t>
      </w:r>
      <w:r w:rsidR="001C45E1" w:rsidRPr="00834B27">
        <w:rPr>
          <w:rFonts w:ascii="Calibri" w:hAnsi="Calibri" w:cs="Calibri"/>
          <w:lang w:val="ro-RO"/>
        </w:rPr>
        <w:t>Estimările prezentate mai jos sunt deliberat conservat</w:t>
      </w:r>
      <w:r w:rsidR="00E20F86" w:rsidRPr="00834B27">
        <w:rPr>
          <w:rFonts w:ascii="Calibri" w:hAnsi="Calibri" w:cs="Calibri"/>
          <w:lang w:val="ro-RO"/>
        </w:rPr>
        <w:t>oare</w:t>
      </w:r>
      <w:r w:rsidR="001C45E1" w:rsidRPr="00834B27">
        <w:rPr>
          <w:rFonts w:ascii="Calibri" w:hAnsi="Calibri" w:cs="Calibri"/>
          <w:lang w:val="ro-RO"/>
        </w:rPr>
        <w:t xml:space="preserve"> — am ales sistematic limita inferioară a intervalelor plauzibile, tocmai pentru a nu supraestima impactul pozitiv al reformei. Subliniem că, în practica internațională, veniturile efective din instrumente anti-erodare au depășit sistematic estimările inițiale: </w:t>
      </w:r>
    </w:p>
    <w:p w14:paraId="289F1B32" w14:textId="7E483CEB" w:rsidR="00373DFD" w:rsidRPr="00834B27" w:rsidRDefault="00373DFD" w:rsidP="00431A22">
      <w:pPr>
        <w:pStyle w:val="font-claude-response-body"/>
        <w:numPr>
          <w:ilvl w:val="0"/>
          <w:numId w:val="1"/>
        </w:numPr>
        <w:jc w:val="both"/>
        <w:rPr>
          <w:rFonts w:ascii="Calibri" w:hAnsi="Calibri" w:cs="Calibri"/>
          <w:lang w:val="ro-RO"/>
        </w:rPr>
      </w:pPr>
      <w:r w:rsidRPr="00834B27">
        <w:rPr>
          <w:rFonts w:ascii="Calibri" w:hAnsi="Calibri" w:cs="Calibri"/>
          <w:lang w:val="ro-RO"/>
        </w:rPr>
        <w:t>Introducerea „momentului zero”</w:t>
      </w:r>
      <w:r w:rsidR="00BE0F71" w:rsidRPr="00834B27">
        <w:rPr>
          <w:rFonts w:ascii="Calibri" w:hAnsi="Calibri" w:cs="Calibri"/>
          <w:lang w:val="ro-RO"/>
        </w:rPr>
        <w:t xml:space="preserve">. </w:t>
      </w:r>
      <w:r w:rsidR="008033B1" w:rsidRPr="00834B27">
        <w:rPr>
          <w:rFonts w:ascii="Calibri" w:hAnsi="Calibri" w:cs="Calibri"/>
          <w:lang w:val="ro-RO"/>
        </w:rPr>
        <w:t>Având</w:t>
      </w:r>
      <w:r w:rsidR="001C6A84" w:rsidRPr="00834B27">
        <w:rPr>
          <w:rFonts w:ascii="Calibri" w:hAnsi="Calibri" w:cs="Calibri"/>
          <w:lang w:val="ro-RO"/>
        </w:rPr>
        <w:t xml:space="preserve"> </w:t>
      </w:r>
      <w:r w:rsidR="008033B1" w:rsidRPr="00834B27">
        <w:rPr>
          <w:rFonts w:ascii="Calibri" w:hAnsi="Calibri" w:cs="Calibri"/>
          <w:lang w:val="ro-RO"/>
        </w:rPr>
        <w:t>î</w:t>
      </w:r>
      <w:r w:rsidR="001C6A84" w:rsidRPr="00834B27">
        <w:rPr>
          <w:rFonts w:ascii="Calibri" w:hAnsi="Calibri" w:cs="Calibri"/>
          <w:lang w:val="ro-RO"/>
        </w:rPr>
        <w:t xml:space="preserve">n vedere </w:t>
      </w:r>
      <w:r w:rsidR="008033B1" w:rsidRPr="00834B27">
        <w:rPr>
          <w:rFonts w:ascii="Calibri" w:hAnsi="Calibri" w:cs="Calibri"/>
          <w:lang w:val="ro-RO"/>
        </w:rPr>
        <w:t>însă</w:t>
      </w:r>
      <w:r w:rsidR="001C6A84" w:rsidRPr="00834B27">
        <w:rPr>
          <w:rFonts w:ascii="Calibri" w:hAnsi="Calibri" w:cs="Calibri"/>
          <w:lang w:val="ro-RO"/>
        </w:rPr>
        <w:t xml:space="preserve"> amploarea </w:t>
      </w:r>
      <w:r w:rsidR="008033B1" w:rsidRPr="00834B27">
        <w:rPr>
          <w:rFonts w:ascii="Calibri" w:hAnsi="Calibri" w:cs="Calibri"/>
          <w:lang w:val="ro-RO"/>
        </w:rPr>
        <w:t>neconformării</w:t>
      </w:r>
      <w:r w:rsidR="00463E6D" w:rsidRPr="00834B27">
        <w:rPr>
          <w:rFonts w:ascii="Calibri" w:hAnsi="Calibri" w:cs="Calibri"/>
          <w:lang w:val="ro-RO"/>
        </w:rPr>
        <w:t xml:space="preserve"> </w:t>
      </w:r>
      <w:r w:rsidR="008033B1" w:rsidRPr="00834B27">
        <w:rPr>
          <w:rFonts w:ascii="Calibri" w:hAnsi="Calibri" w:cs="Calibri"/>
          <w:lang w:val="ro-RO"/>
        </w:rPr>
        <w:t>î</w:t>
      </w:r>
      <w:r w:rsidR="00463E6D" w:rsidRPr="00834B27">
        <w:rPr>
          <w:rFonts w:ascii="Calibri" w:hAnsi="Calibri" w:cs="Calibri"/>
          <w:lang w:val="ro-RO"/>
        </w:rPr>
        <w:t>n multe zone de activitate</w:t>
      </w:r>
      <w:r w:rsidR="00431A22" w:rsidRPr="00834B27">
        <w:rPr>
          <w:rFonts w:ascii="Calibri" w:hAnsi="Calibri" w:cs="Calibri"/>
          <w:lang w:val="ro-RO"/>
        </w:rPr>
        <w:t xml:space="preserve"> (72% din PFA cu venituri declarate de 380 lei/lună, 82% din proprietari-închiriatori cu venituri de 160 €/lună, 40,7% din microîntreprinderi cu pierderi egale cu cifra de afaceri)</w:t>
      </w:r>
      <w:r w:rsidR="00463E6D" w:rsidRPr="00834B27">
        <w:rPr>
          <w:rFonts w:ascii="Calibri" w:hAnsi="Calibri" w:cs="Calibri"/>
          <w:lang w:val="ro-RO"/>
        </w:rPr>
        <w:t>, estim</w:t>
      </w:r>
      <w:r w:rsidR="008033B1" w:rsidRPr="00834B27">
        <w:rPr>
          <w:rFonts w:ascii="Calibri" w:hAnsi="Calibri" w:cs="Calibri"/>
          <w:lang w:val="ro-RO"/>
        </w:rPr>
        <w:t>ă</w:t>
      </w:r>
      <w:r w:rsidR="00463E6D" w:rsidRPr="00834B27">
        <w:rPr>
          <w:rFonts w:ascii="Calibri" w:hAnsi="Calibri" w:cs="Calibri"/>
          <w:lang w:val="ro-RO"/>
        </w:rPr>
        <w:t xml:space="preserve">m </w:t>
      </w:r>
      <w:r w:rsidR="00B03A0E" w:rsidRPr="00834B27">
        <w:rPr>
          <w:rFonts w:ascii="Calibri" w:hAnsi="Calibri" w:cs="Calibri"/>
          <w:lang w:val="ro-RO"/>
        </w:rPr>
        <w:t xml:space="preserve">prudent </w:t>
      </w:r>
      <w:r w:rsidR="00463E6D" w:rsidRPr="00834B27">
        <w:rPr>
          <w:rFonts w:ascii="Calibri" w:hAnsi="Calibri" w:cs="Calibri"/>
          <w:lang w:val="ro-RO"/>
        </w:rPr>
        <w:t xml:space="preserve">un impact </w:t>
      </w:r>
      <w:r w:rsidR="008033B1" w:rsidRPr="00834B27">
        <w:rPr>
          <w:rFonts w:ascii="Calibri" w:hAnsi="Calibri" w:cs="Calibri"/>
          <w:lang w:val="ro-RO"/>
        </w:rPr>
        <w:t>ini</w:t>
      </w:r>
      <w:r w:rsidR="00D77C4B" w:rsidRPr="00834B27">
        <w:rPr>
          <w:rFonts w:ascii="Calibri" w:hAnsi="Calibri" w:cs="Calibri"/>
          <w:lang w:val="ro-RO"/>
        </w:rPr>
        <w:t>ț</w:t>
      </w:r>
      <w:r w:rsidR="008033B1" w:rsidRPr="00834B27">
        <w:rPr>
          <w:rFonts w:ascii="Calibri" w:hAnsi="Calibri" w:cs="Calibri"/>
          <w:lang w:val="ro-RO"/>
        </w:rPr>
        <w:t>ial</w:t>
      </w:r>
      <w:r w:rsidR="00463E6D" w:rsidRPr="00834B27">
        <w:rPr>
          <w:rFonts w:ascii="Calibri" w:hAnsi="Calibri" w:cs="Calibri"/>
          <w:lang w:val="ro-RO"/>
        </w:rPr>
        <w:t xml:space="preserve"> de </w:t>
      </w:r>
      <w:r w:rsidR="00516D9C" w:rsidRPr="00834B27">
        <w:rPr>
          <w:rFonts w:ascii="Calibri" w:hAnsi="Calibri" w:cs="Calibri"/>
          <w:lang w:val="ro-RO"/>
        </w:rPr>
        <w:t>2,5 – 3 miliarde lei (</w:t>
      </w:r>
      <w:r w:rsidR="00516D9C" w:rsidRPr="00834B27">
        <w:rPr>
          <w:rFonts w:ascii="Calibri" w:hAnsi="Calibri" w:cs="Calibri"/>
          <w:i/>
          <w:iCs/>
          <w:lang w:val="ro-RO"/>
        </w:rPr>
        <w:t>one-off</w:t>
      </w:r>
      <w:r w:rsidR="00516D9C" w:rsidRPr="00834B27">
        <w:rPr>
          <w:rFonts w:ascii="Calibri" w:hAnsi="Calibri" w:cs="Calibri"/>
          <w:lang w:val="ro-RO"/>
        </w:rPr>
        <w:t>) urmat</w:t>
      </w:r>
      <w:r w:rsidR="008033B1" w:rsidRPr="00834B27">
        <w:rPr>
          <w:rFonts w:ascii="Calibri" w:hAnsi="Calibri" w:cs="Calibri"/>
          <w:lang w:val="ro-RO"/>
        </w:rPr>
        <w:t>,</w:t>
      </w:r>
      <w:r w:rsidR="00516D9C" w:rsidRPr="00834B27">
        <w:rPr>
          <w:rFonts w:ascii="Calibri" w:hAnsi="Calibri" w:cs="Calibri"/>
          <w:lang w:val="ro-RO"/>
        </w:rPr>
        <w:t xml:space="preserve"> </w:t>
      </w:r>
      <w:r w:rsidR="008033B1" w:rsidRPr="00834B27">
        <w:rPr>
          <w:rFonts w:ascii="Calibri" w:hAnsi="Calibri" w:cs="Calibri"/>
          <w:lang w:val="ro-RO"/>
        </w:rPr>
        <w:t>ulterior,</w:t>
      </w:r>
      <w:r w:rsidR="00516D9C" w:rsidRPr="00834B27">
        <w:rPr>
          <w:rFonts w:ascii="Calibri" w:hAnsi="Calibri" w:cs="Calibri"/>
          <w:lang w:val="ro-RO"/>
        </w:rPr>
        <w:t xml:space="preserve"> de venituri anuale de cel </w:t>
      </w:r>
      <w:r w:rsidR="008033B1" w:rsidRPr="00834B27">
        <w:rPr>
          <w:rFonts w:ascii="Calibri" w:hAnsi="Calibri" w:cs="Calibri"/>
          <w:lang w:val="ro-RO"/>
        </w:rPr>
        <w:t>pu</w:t>
      </w:r>
      <w:r w:rsidR="00D77C4B" w:rsidRPr="00834B27">
        <w:rPr>
          <w:rFonts w:ascii="Calibri" w:hAnsi="Calibri" w:cs="Calibri"/>
          <w:lang w:val="ro-RO"/>
        </w:rPr>
        <w:t>ț</w:t>
      </w:r>
      <w:r w:rsidR="008033B1" w:rsidRPr="00834B27">
        <w:rPr>
          <w:rFonts w:ascii="Calibri" w:hAnsi="Calibri" w:cs="Calibri"/>
          <w:lang w:val="ro-RO"/>
        </w:rPr>
        <w:t>in</w:t>
      </w:r>
      <w:r w:rsidR="00516D9C" w:rsidRPr="00834B27">
        <w:rPr>
          <w:rFonts w:ascii="Calibri" w:hAnsi="Calibri" w:cs="Calibri"/>
          <w:lang w:val="ro-RO"/>
        </w:rPr>
        <w:t xml:space="preserve"> 1 miliard lei</w:t>
      </w:r>
      <w:r w:rsidR="002300ED" w:rsidRPr="00834B27">
        <w:rPr>
          <w:rFonts w:ascii="Calibri" w:hAnsi="Calibri" w:cs="Calibri"/>
          <w:lang w:val="ro-RO"/>
        </w:rPr>
        <w:t xml:space="preserve">, prin </w:t>
      </w:r>
      <w:r w:rsidR="008033B1" w:rsidRPr="00834B27">
        <w:rPr>
          <w:rFonts w:ascii="Calibri" w:hAnsi="Calibri" w:cs="Calibri"/>
          <w:lang w:val="ro-RO"/>
        </w:rPr>
        <w:t>for</w:t>
      </w:r>
      <w:r w:rsidR="00D77C4B" w:rsidRPr="00834B27">
        <w:rPr>
          <w:rFonts w:ascii="Calibri" w:hAnsi="Calibri" w:cs="Calibri"/>
          <w:lang w:val="ro-RO"/>
        </w:rPr>
        <w:t>ț</w:t>
      </w:r>
      <w:r w:rsidR="008033B1" w:rsidRPr="00834B27">
        <w:rPr>
          <w:rFonts w:ascii="Calibri" w:hAnsi="Calibri" w:cs="Calibri"/>
          <w:lang w:val="ro-RO"/>
        </w:rPr>
        <w:t>area</w:t>
      </w:r>
      <w:r w:rsidR="002300ED" w:rsidRPr="00834B27">
        <w:rPr>
          <w:rFonts w:ascii="Calibri" w:hAnsi="Calibri" w:cs="Calibri"/>
          <w:lang w:val="ro-RO"/>
        </w:rPr>
        <w:t xml:space="preserve"> </w:t>
      </w:r>
      <w:r w:rsidR="008033B1" w:rsidRPr="00834B27">
        <w:rPr>
          <w:rFonts w:ascii="Calibri" w:hAnsi="Calibri" w:cs="Calibri"/>
          <w:lang w:val="ro-RO"/>
        </w:rPr>
        <w:t>conformării</w:t>
      </w:r>
      <w:r w:rsidR="002300ED" w:rsidRPr="00834B27">
        <w:rPr>
          <w:rFonts w:ascii="Calibri" w:hAnsi="Calibri" w:cs="Calibri"/>
          <w:lang w:val="ro-RO"/>
        </w:rPr>
        <w:t xml:space="preserve"> pentru a evita cota de impunere de 70%</w:t>
      </w:r>
      <w:r w:rsidR="005A5491" w:rsidRPr="00834B27">
        <w:rPr>
          <w:rFonts w:ascii="Calibri" w:hAnsi="Calibri" w:cs="Calibri"/>
          <w:lang w:val="ro-RO"/>
        </w:rPr>
        <w:t xml:space="preserve">. </w:t>
      </w:r>
      <w:r w:rsidR="00431A22" w:rsidRPr="00834B27">
        <w:rPr>
          <w:rFonts w:ascii="Calibri" w:hAnsi="Calibri" w:cs="Calibri"/>
          <w:lang w:val="ro-RO"/>
        </w:rPr>
        <w:t xml:space="preserve">Baza estimării: dacă doar 10% din patrimoniile </w:t>
      </w:r>
      <w:r w:rsidR="00431A22" w:rsidRPr="00834B27">
        <w:rPr>
          <w:rFonts w:ascii="Calibri" w:hAnsi="Calibri" w:cs="Calibri"/>
          <w:lang w:val="ro-RO"/>
        </w:rPr>
        <w:lastRenderedPageBreak/>
        <w:t xml:space="preserve">nejustificate ale contribuabililor vizați (averi nete peste 1 milion euro) sunt aduse la suprafață în primul an — procent conservator raportat la experiența italiană (18%) și argentiniană (22%) — impactul depășește 2,5 miliarde lei. </w:t>
      </w:r>
      <w:r w:rsidR="005A5491" w:rsidRPr="00834B27">
        <w:rPr>
          <w:rFonts w:ascii="Calibri" w:hAnsi="Calibri" w:cs="Calibri"/>
          <w:lang w:val="ro-RO"/>
        </w:rPr>
        <w:t xml:space="preserve">Nu am fi </w:t>
      </w:r>
      <w:r w:rsidR="008033B1" w:rsidRPr="00834B27">
        <w:rPr>
          <w:rFonts w:ascii="Calibri" w:hAnsi="Calibri" w:cs="Calibri"/>
          <w:lang w:val="ro-RO"/>
        </w:rPr>
        <w:t>însă</w:t>
      </w:r>
      <w:r w:rsidR="005A5491" w:rsidRPr="00834B27">
        <w:rPr>
          <w:rFonts w:ascii="Calibri" w:hAnsi="Calibri" w:cs="Calibri"/>
          <w:lang w:val="ro-RO"/>
        </w:rPr>
        <w:t xml:space="preserve"> deloc </w:t>
      </w:r>
      <w:r w:rsidR="008033B1" w:rsidRPr="00834B27">
        <w:rPr>
          <w:rFonts w:ascii="Calibri" w:hAnsi="Calibri" w:cs="Calibri"/>
          <w:lang w:val="ro-RO"/>
        </w:rPr>
        <w:t>surprinși</w:t>
      </w:r>
      <w:r w:rsidR="005A5491" w:rsidRPr="00834B27">
        <w:rPr>
          <w:rFonts w:ascii="Calibri" w:hAnsi="Calibri" w:cs="Calibri"/>
          <w:lang w:val="ro-RO"/>
        </w:rPr>
        <w:t xml:space="preserve"> dac</w:t>
      </w:r>
      <w:r w:rsidR="008033B1" w:rsidRPr="00834B27">
        <w:rPr>
          <w:rFonts w:ascii="Calibri" w:hAnsi="Calibri" w:cs="Calibri"/>
          <w:lang w:val="ro-RO"/>
        </w:rPr>
        <w:t>ă</w:t>
      </w:r>
      <w:r w:rsidR="005A5491" w:rsidRPr="00834B27">
        <w:rPr>
          <w:rFonts w:ascii="Calibri" w:hAnsi="Calibri" w:cs="Calibri"/>
          <w:lang w:val="ro-RO"/>
        </w:rPr>
        <w:t xml:space="preserve"> sumele ar fi semnificativ mai mari</w:t>
      </w:r>
      <w:r w:rsidR="00B66341" w:rsidRPr="00834B27">
        <w:rPr>
          <w:rFonts w:ascii="Calibri" w:hAnsi="Calibri" w:cs="Calibri"/>
          <w:lang w:val="ro-RO"/>
        </w:rPr>
        <w:t>.</w:t>
      </w:r>
    </w:p>
    <w:p w14:paraId="6C84918C" w14:textId="0DD4E6F1" w:rsidR="00131C08" w:rsidRPr="00834B27" w:rsidRDefault="002300ED" w:rsidP="00131C08">
      <w:pPr>
        <w:pStyle w:val="Listparagraf"/>
        <w:numPr>
          <w:ilvl w:val="0"/>
          <w:numId w:val="1"/>
        </w:numPr>
        <w:tabs>
          <w:tab w:val="left" w:pos="720"/>
        </w:tabs>
        <w:spacing w:line="276" w:lineRule="auto"/>
        <w:contextualSpacing w:val="0"/>
        <w:jc w:val="both"/>
        <w:rPr>
          <w:rFonts w:ascii="Calibri" w:hAnsi="Calibri" w:cs="Calibri"/>
          <w:i/>
          <w:iCs/>
          <w:lang w:val="ro-RO"/>
        </w:rPr>
      </w:pPr>
      <w:r w:rsidRPr="00834B27">
        <w:rPr>
          <w:rFonts w:ascii="Calibri" w:hAnsi="Calibri" w:cs="Calibri"/>
          <w:i/>
          <w:iCs/>
          <w:lang w:val="ro-RO"/>
        </w:rPr>
        <w:t>„CFC Rules Focused on the UBO”</w:t>
      </w:r>
      <w:r w:rsidR="00E4153C" w:rsidRPr="00834B27">
        <w:rPr>
          <w:rFonts w:ascii="Calibri" w:hAnsi="Calibri" w:cs="Calibri"/>
          <w:i/>
          <w:iCs/>
          <w:lang w:val="ro-RO"/>
        </w:rPr>
        <w:t xml:space="preserve">. </w:t>
      </w:r>
      <w:r w:rsidR="004E1AFE" w:rsidRPr="00834B27">
        <w:rPr>
          <w:rFonts w:ascii="Calibri" w:hAnsi="Calibri" w:cs="Calibri"/>
          <w:lang w:val="ro-RO"/>
        </w:rPr>
        <w:t xml:space="preserve"> </w:t>
      </w:r>
      <w:r w:rsidR="008033B1" w:rsidRPr="00834B27">
        <w:rPr>
          <w:rFonts w:ascii="Calibri" w:hAnsi="Calibri" w:cs="Calibri"/>
          <w:lang w:val="ro-RO"/>
        </w:rPr>
        <w:t>Estimările</w:t>
      </w:r>
      <w:r w:rsidR="004E1AFE" w:rsidRPr="00834B27">
        <w:rPr>
          <w:rFonts w:ascii="Calibri" w:hAnsi="Calibri" w:cs="Calibri"/>
          <w:lang w:val="ro-RO"/>
        </w:rPr>
        <w:t xml:space="preserve"> noastre sunt c</w:t>
      </w:r>
      <w:r w:rsidR="008033B1" w:rsidRPr="00834B27">
        <w:rPr>
          <w:rFonts w:ascii="Calibri" w:hAnsi="Calibri" w:cs="Calibri"/>
          <w:lang w:val="ro-RO"/>
        </w:rPr>
        <w:t>ă</w:t>
      </w:r>
      <w:r w:rsidR="004E1AFE" w:rsidRPr="00834B27">
        <w:rPr>
          <w:rFonts w:ascii="Calibri" w:hAnsi="Calibri" w:cs="Calibri"/>
          <w:lang w:val="ro-RO"/>
        </w:rPr>
        <w:t xml:space="preserve"> </w:t>
      </w:r>
      <w:r w:rsidR="00B03A0E" w:rsidRPr="00834B27">
        <w:rPr>
          <w:rFonts w:ascii="Calibri" w:hAnsi="Calibri" w:cs="Calibri"/>
          <w:lang w:val="ro-RO"/>
        </w:rPr>
        <w:t>aceast</w:t>
      </w:r>
      <w:r w:rsidR="008033B1" w:rsidRPr="00834B27">
        <w:rPr>
          <w:rFonts w:ascii="Calibri" w:hAnsi="Calibri" w:cs="Calibri"/>
          <w:lang w:val="ro-RO"/>
        </w:rPr>
        <w:t>ă</w:t>
      </w:r>
      <w:r w:rsidR="00B03A0E" w:rsidRPr="00834B27">
        <w:rPr>
          <w:rFonts w:ascii="Calibri" w:hAnsi="Calibri" w:cs="Calibri"/>
          <w:lang w:val="ro-RO"/>
        </w:rPr>
        <w:t xml:space="preserve"> m</w:t>
      </w:r>
      <w:r w:rsidR="008033B1" w:rsidRPr="00834B27">
        <w:rPr>
          <w:rFonts w:ascii="Calibri" w:hAnsi="Calibri" w:cs="Calibri"/>
          <w:lang w:val="ro-RO"/>
        </w:rPr>
        <w:t>ă</w:t>
      </w:r>
      <w:r w:rsidR="00B03A0E" w:rsidRPr="00834B27">
        <w:rPr>
          <w:rFonts w:ascii="Calibri" w:hAnsi="Calibri" w:cs="Calibri"/>
          <w:lang w:val="ro-RO"/>
        </w:rPr>
        <w:t>sur</w:t>
      </w:r>
      <w:r w:rsidR="0007748A" w:rsidRPr="00834B27">
        <w:rPr>
          <w:rFonts w:ascii="Calibri" w:hAnsi="Calibri" w:cs="Calibri"/>
          <w:lang w:val="ro-RO"/>
        </w:rPr>
        <w:t>ă</w:t>
      </w:r>
      <w:r w:rsidR="00B03A0E" w:rsidRPr="00834B27">
        <w:rPr>
          <w:rFonts w:ascii="Calibri" w:hAnsi="Calibri" w:cs="Calibri"/>
          <w:lang w:val="ro-RO"/>
        </w:rPr>
        <w:t xml:space="preserve"> poate genera cel </w:t>
      </w:r>
      <w:r w:rsidR="008033B1" w:rsidRPr="00834B27">
        <w:rPr>
          <w:rFonts w:ascii="Calibri" w:hAnsi="Calibri" w:cs="Calibri"/>
          <w:lang w:val="ro-RO"/>
        </w:rPr>
        <w:t>pu</w:t>
      </w:r>
      <w:r w:rsidR="00D77C4B" w:rsidRPr="00834B27">
        <w:rPr>
          <w:rFonts w:ascii="Calibri" w:hAnsi="Calibri" w:cs="Calibri"/>
          <w:lang w:val="ro-RO"/>
        </w:rPr>
        <w:t>ț</w:t>
      </w:r>
      <w:r w:rsidR="008033B1" w:rsidRPr="00834B27">
        <w:rPr>
          <w:rFonts w:ascii="Calibri" w:hAnsi="Calibri" w:cs="Calibri"/>
          <w:lang w:val="ro-RO"/>
        </w:rPr>
        <w:t>in</w:t>
      </w:r>
      <w:r w:rsidR="00B03A0E" w:rsidRPr="00834B27">
        <w:rPr>
          <w:rFonts w:ascii="Calibri" w:hAnsi="Calibri" w:cs="Calibri"/>
          <w:lang w:val="ro-RO"/>
        </w:rPr>
        <w:t xml:space="preserve"> dublul </w:t>
      </w:r>
      <w:r w:rsidR="00EB7732" w:rsidRPr="00834B27">
        <w:rPr>
          <w:rFonts w:ascii="Calibri" w:hAnsi="Calibri" w:cs="Calibri"/>
          <w:lang w:val="ro-RO"/>
        </w:rPr>
        <w:t xml:space="preserve">sumelor </w:t>
      </w:r>
      <w:r w:rsidR="008033B1" w:rsidRPr="00834B27">
        <w:rPr>
          <w:rFonts w:ascii="Calibri" w:hAnsi="Calibri" w:cs="Calibri"/>
          <w:lang w:val="ro-RO"/>
        </w:rPr>
        <w:t>men</w:t>
      </w:r>
      <w:r w:rsidR="00D77C4B" w:rsidRPr="00834B27">
        <w:rPr>
          <w:rFonts w:ascii="Calibri" w:hAnsi="Calibri" w:cs="Calibri"/>
          <w:lang w:val="ro-RO"/>
        </w:rPr>
        <w:t>ț</w:t>
      </w:r>
      <w:r w:rsidR="008033B1" w:rsidRPr="00834B27">
        <w:rPr>
          <w:rFonts w:ascii="Calibri" w:hAnsi="Calibri" w:cs="Calibri"/>
          <w:lang w:val="ro-RO"/>
        </w:rPr>
        <w:t>ionate</w:t>
      </w:r>
      <w:r w:rsidR="00EB7732" w:rsidRPr="00834B27">
        <w:rPr>
          <w:rFonts w:ascii="Calibri" w:hAnsi="Calibri" w:cs="Calibri"/>
          <w:lang w:val="ro-RO"/>
        </w:rPr>
        <w:t xml:space="preserve"> anterior</w:t>
      </w:r>
      <w:r w:rsidR="00131C08" w:rsidRPr="00834B27">
        <w:rPr>
          <w:rFonts w:ascii="Calibri" w:hAnsi="Calibri" w:cs="Calibri"/>
          <w:lang w:val="ro-RO"/>
        </w:rPr>
        <w:t xml:space="preserve">. Baza estimării: conform datelor ONRC coroborate cu informațiile ANAF privind tranzacțiile transfrontaliere, numărul rezidenților fiscali români cu participații de control în entități situate în jurisdicții cu impozitare efectivă sub 10% este semnificativ. La o rată medie de impozitare a profiturilor transparentizate de 16%, chiar și o bază modestă de profituri nedistribuite generează venituri substanțiale. Experiența germană cu regulile </w:t>
      </w:r>
      <w:r w:rsidR="00131C08" w:rsidRPr="00834B27">
        <w:rPr>
          <w:rFonts w:ascii="Calibri" w:hAnsi="Calibri" w:cs="Calibri"/>
          <w:i/>
          <w:iCs/>
          <w:lang w:val="ro-RO"/>
        </w:rPr>
        <w:t>Hinzurechnungsbesteuerung</w:t>
      </w:r>
      <w:r w:rsidR="00131C08" w:rsidRPr="00834B27">
        <w:rPr>
          <w:rFonts w:ascii="Calibri" w:hAnsi="Calibri" w:cs="Calibri"/>
          <w:lang w:val="ro-RO"/>
        </w:rPr>
        <w:t xml:space="preserve"> (§ 7–14 AStG), activă din 1972, confirmă eficacitatea acestui instrument.</w:t>
      </w:r>
    </w:p>
    <w:p w14:paraId="5B531411" w14:textId="67ECE27B" w:rsidR="00EB7732" w:rsidRPr="00834B27" w:rsidRDefault="00EB7732" w:rsidP="008033B1">
      <w:pPr>
        <w:pStyle w:val="Listparagraf"/>
        <w:numPr>
          <w:ilvl w:val="0"/>
          <w:numId w:val="1"/>
        </w:numPr>
        <w:tabs>
          <w:tab w:val="left" w:pos="720"/>
        </w:tabs>
        <w:spacing w:line="276" w:lineRule="auto"/>
        <w:contextualSpacing w:val="0"/>
        <w:jc w:val="both"/>
        <w:rPr>
          <w:rFonts w:ascii="Calibri" w:hAnsi="Calibri" w:cs="Calibri"/>
          <w:i/>
          <w:iCs/>
          <w:lang w:val="ro-RO"/>
        </w:rPr>
      </w:pPr>
      <w:r w:rsidRPr="00834B27">
        <w:rPr>
          <w:rFonts w:ascii="Calibri" w:hAnsi="Calibri" w:cs="Calibri"/>
          <w:i/>
          <w:iCs/>
          <w:lang w:val="ro-RO"/>
        </w:rPr>
        <w:t>„Ex</w:t>
      </w:r>
      <w:r w:rsidR="00171EDA" w:rsidRPr="00834B27">
        <w:rPr>
          <w:rFonts w:ascii="Calibri" w:hAnsi="Calibri" w:cs="Calibri"/>
          <w:i/>
          <w:iCs/>
          <w:lang w:val="ro-RO"/>
        </w:rPr>
        <w:t>it</w:t>
      </w:r>
      <w:r w:rsidRPr="00834B27">
        <w:rPr>
          <w:rFonts w:ascii="Calibri" w:hAnsi="Calibri" w:cs="Calibri"/>
          <w:i/>
          <w:iCs/>
          <w:lang w:val="ro-RO"/>
        </w:rPr>
        <w:t xml:space="preserve"> tax”. </w:t>
      </w:r>
      <w:r w:rsidR="00131C08" w:rsidRPr="00834B27">
        <w:rPr>
          <w:rFonts w:ascii="Calibri" w:hAnsi="Calibri" w:cs="Calibri"/>
          <w:lang w:val="ro-RO"/>
        </w:rPr>
        <w:t>Nu estimăm venituri bugetare suplimentare directe, rolul principal al acestei măsuri fiind descurajarea erodării bazei de impunere prin mutarea rezidenței fiscale — fenomen amplificat de majorarea impozitului pe dividende la 16%. Neintroducerea acestei măsuri poate genera însă pierderi bugetare de ordinul miliardelor de euro în anii următori, pe măsură ce tot mai mulți contribuabili cu patrimonii semnificative acumulate în România își mută rezidența în jurisdicții cu impozitare mai favorabilă a câștigurilor de capital</w:t>
      </w:r>
    </w:p>
    <w:p w14:paraId="1261C8E5" w14:textId="3D2DA243" w:rsidR="008033B1" w:rsidRPr="00834B27" w:rsidRDefault="00CB289F" w:rsidP="00792754">
      <w:pPr>
        <w:pStyle w:val="font-claude-response-body"/>
        <w:numPr>
          <w:ilvl w:val="0"/>
          <w:numId w:val="1"/>
        </w:numPr>
        <w:tabs>
          <w:tab w:val="left" w:pos="720"/>
        </w:tabs>
        <w:spacing w:line="276" w:lineRule="auto"/>
        <w:jc w:val="both"/>
        <w:rPr>
          <w:rFonts w:ascii="Calibri" w:hAnsi="Calibri" w:cs="Calibri"/>
          <w:i/>
          <w:iCs/>
          <w:lang w:val="ro-RO"/>
        </w:rPr>
      </w:pPr>
      <w:r w:rsidRPr="00834B27">
        <w:rPr>
          <w:rFonts w:ascii="Calibri" w:hAnsi="Calibri" w:cs="Calibri"/>
          <w:lang w:val="ro-RO"/>
        </w:rPr>
        <w:t xml:space="preserve">Din lipsa </w:t>
      </w:r>
      <w:r w:rsidR="008033B1" w:rsidRPr="00834B27">
        <w:rPr>
          <w:rFonts w:ascii="Calibri" w:hAnsi="Calibri" w:cs="Calibri"/>
          <w:lang w:val="ro-RO"/>
        </w:rPr>
        <w:t>informa</w:t>
      </w:r>
      <w:r w:rsidR="00D77C4B" w:rsidRPr="00834B27">
        <w:rPr>
          <w:rFonts w:ascii="Calibri" w:hAnsi="Calibri" w:cs="Calibri"/>
          <w:lang w:val="ro-RO"/>
        </w:rPr>
        <w:t>ț</w:t>
      </w:r>
      <w:r w:rsidR="008033B1" w:rsidRPr="00834B27">
        <w:rPr>
          <w:rFonts w:ascii="Calibri" w:hAnsi="Calibri" w:cs="Calibri"/>
          <w:lang w:val="ro-RO"/>
        </w:rPr>
        <w:t>iilor</w:t>
      </w:r>
      <w:r w:rsidRPr="00834B27">
        <w:rPr>
          <w:rFonts w:ascii="Calibri" w:hAnsi="Calibri" w:cs="Calibri"/>
          <w:lang w:val="ro-RO"/>
        </w:rPr>
        <w:t xml:space="preserve"> nu am putut calcula impactul </w:t>
      </w:r>
      <w:r w:rsidR="008033B1" w:rsidRPr="00834B27">
        <w:rPr>
          <w:rFonts w:ascii="Calibri" w:hAnsi="Calibri" w:cs="Calibri"/>
          <w:lang w:val="ro-RO"/>
        </w:rPr>
        <w:t>transformării</w:t>
      </w:r>
      <w:r w:rsidRPr="00834B27">
        <w:rPr>
          <w:rFonts w:ascii="Calibri" w:hAnsi="Calibri" w:cs="Calibri"/>
          <w:lang w:val="ro-RO"/>
        </w:rPr>
        <w:t xml:space="preserve"> </w:t>
      </w:r>
      <w:r w:rsidR="008033B1" w:rsidRPr="00834B27">
        <w:rPr>
          <w:rFonts w:ascii="Calibri" w:hAnsi="Calibri" w:cs="Calibri"/>
          <w:lang w:val="ro-RO"/>
        </w:rPr>
        <w:t>microîntreprinderilor în</w:t>
      </w:r>
      <w:r w:rsidR="00E443F9" w:rsidRPr="00834B27">
        <w:rPr>
          <w:rFonts w:ascii="Calibri" w:hAnsi="Calibri" w:cs="Calibri"/>
          <w:lang w:val="ro-RO"/>
        </w:rPr>
        <w:t xml:space="preserve"> </w:t>
      </w:r>
      <w:r w:rsidR="008033B1" w:rsidRPr="00834B27">
        <w:rPr>
          <w:rFonts w:ascii="Calibri" w:hAnsi="Calibri" w:cs="Calibri"/>
          <w:lang w:val="ro-RO"/>
        </w:rPr>
        <w:t>entită</w:t>
      </w:r>
      <w:r w:rsidR="00D77C4B" w:rsidRPr="00834B27">
        <w:rPr>
          <w:rFonts w:ascii="Calibri" w:hAnsi="Calibri" w:cs="Calibri"/>
          <w:lang w:val="ro-RO"/>
        </w:rPr>
        <w:t>ț</w:t>
      </w:r>
      <w:r w:rsidR="008033B1" w:rsidRPr="00834B27">
        <w:rPr>
          <w:rFonts w:ascii="Calibri" w:hAnsi="Calibri" w:cs="Calibri"/>
          <w:lang w:val="ro-RO"/>
        </w:rPr>
        <w:t>i</w:t>
      </w:r>
      <w:r w:rsidR="00E443F9" w:rsidRPr="00834B27">
        <w:rPr>
          <w:rFonts w:ascii="Calibri" w:hAnsi="Calibri" w:cs="Calibri"/>
          <w:lang w:val="ro-RO"/>
        </w:rPr>
        <w:t xml:space="preserve"> transparente fiscal. Estim</w:t>
      </w:r>
      <w:r w:rsidR="008033B1" w:rsidRPr="00834B27">
        <w:rPr>
          <w:rFonts w:ascii="Calibri" w:hAnsi="Calibri" w:cs="Calibri"/>
          <w:lang w:val="ro-RO"/>
        </w:rPr>
        <w:t>ă</w:t>
      </w:r>
      <w:r w:rsidR="00E443F9" w:rsidRPr="00834B27">
        <w:rPr>
          <w:rFonts w:ascii="Calibri" w:hAnsi="Calibri" w:cs="Calibri"/>
          <w:lang w:val="ro-RO"/>
        </w:rPr>
        <w:t xml:space="preserve">m </w:t>
      </w:r>
      <w:r w:rsidR="008033B1" w:rsidRPr="00834B27">
        <w:rPr>
          <w:rFonts w:ascii="Calibri" w:hAnsi="Calibri" w:cs="Calibri"/>
          <w:lang w:val="ro-RO"/>
        </w:rPr>
        <w:t>însă</w:t>
      </w:r>
      <w:r w:rsidR="00E443F9" w:rsidRPr="00834B27">
        <w:rPr>
          <w:rFonts w:ascii="Calibri" w:hAnsi="Calibri" w:cs="Calibri"/>
          <w:lang w:val="ro-RO"/>
        </w:rPr>
        <w:t xml:space="preserve"> c</w:t>
      </w:r>
      <w:r w:rsidR="008033B1" w:rsidRPr="00834B27">
        <w:rPr>
          <w:rFonts w:ascii="Calibri" w:hAnsi="Calibri" w:cs="Calibri"/>
          <w:lang w:val="ro-RO"/>
        </w:rPr>
        <w:t>ă</w:t>
      </w:r>
      <w:r w:rsidR="00E443F9" w:rsidRPr="00834B27">
        <w:rPr>
          <w:rFonts w:ascii="Calibri" w:hAnsi="Calibri" w:cs="Calibri"/>
          <w:lang w:val="ro-RO"/>
        </w:rPr>
        <w:t xml:space="preserve"> aceast</w:t>
      </w:r>
      <w:r w:rsidR="008033B1" w:rsidRPr="00834B27">
        <w:rPr>
          <w:rFonts w:ascii="Calibri" w:hAnsi="Calibri" w:cs="Calibri"/>
          <w:lang w:val="ro-RO"/>
        </w:rPr>
        <w:t>ă</w:t>
      </w:r>
      <w:r w:rsidR="00E443F9" w:rsidRPr="00834B27">
        <w:rPr>
          <w:rFonts w:ascii="Calibri" w:hAnsi="Calibri" w:cs="Calibri"/>
          <w:lang w:val="ro-RO"/>
        </w:rPr>
        <w:t xml:space="preserve"> </w:t>
      </w:r>
      <w:r w:rsidR="008033B1" w:rsidRPr="00834B27">
        <w:rPr>
          <w:rFonts w:ascii="Calibri" w:hAnsi="Calibri" w:cs="Calibri"/>
          <w:lang w:val="ro-RO"/>
        </w:rPr>
        <w:t>măsură</w:t>
      </w:r>
      <w:r w:rsidR="00E443F9" w:rsidRPr="00834B27">
        <w:rPr>
          <w:rFonts w:ascii="Calibri" w:hAnsi="Calibri" w:cs="Calibri"/>
          <w:lang w:val="ro-RO"/>
        </w:rPr>
        <w:t xml:space="preserve">, </w:t>
      </w:r>
      <w:r w:rsidR="00E443F9" w:rsidRPr="00834B27">
        <w:rPr>
          <w:rFonts w:ascii="Calibri" w:hAnsi="Calibri" w:cs="Calibri"/>
          <w:u w:val="single"/>
          <w:lang w:val="ro-RO"/>
        </w:rPr>
        <w:t>coroborat</w:t>
      </w:r>
      <w:r w:rsidR="008033B1" w:rsidRPr="00834B27">
        <w:rPr>
          <w:rFonts w:ascii="Calibri" w:hAnsi="Calibri" w:cs="Calibri"/>
          <w:u w:val="single"/>
          <w:lang w:val="ro-RO"/>
        </w:rPr>
        <w:t>ă</w:t>
      </w:r>
      <w:r w:rsidR="00E443F9" w:rsidRPr="00834B27">
        <w:rPr>
          <w:rFonts w:ascii="Calibri" w:hAnsi="Calibri" w:cs="Calibri"/>
          <w:u w:val="single"/>
          <w:lang w:val="ro-RO"/>
        </w:rPr>
        <w:t xml:space="preserve"> cu m</w:t>
      </w:r>
      <w:r w:rsidR="008033B1" w:rsidRPr="00834B27">
        <w:rPr>
          <w:rFonts w:ascii="Calibri" w:hAnsi="Calibri" w:cs="Calibri"/>
          <w:u w:val="single"/>
          <w:lang w:val="ro-RO"/>
        </w:rPr>
        <w:t>ă</w:t>
      </w:r>
      <w:r w:rsidR="00E443F9" w:rsidRPr="00834B27">
        <w:rPr>
          <w:rFonts w:ascii="Calibri" w:hAnsi="Calibri" w:cs="Calibri"/>
          <w:u w:val="single"/>
          <w:lang w:val="ro-RO"/>
        </w:rPr>
        <w:t>suri care s</w:t>
      </w:r>
      <w:r w:rsidR="008033B1" w:rsidRPr="00834B27">
        <w:rPr>
          <w:rFonts w:ascii="Calibri" w:hAnsi="Calibri" w:cs="Calibri"/>
          <w:u w:val="single"/>
          <w:lang w:val="ro-RO"/>
        </w:rPr>
        <w:t>ă</w:t>
      </w:r>
      <w:r w:rsidR="00E443F9" w:rsidRPr="00834B27">
        <w:rPr>
          <w:rFonts w:ascii="Calibri" w:hAnsi="Calibri" w:cs="Calibri"/>
          <w:u w:val="single"/>
          <w:lang w:val="ro-RO"/>
        </w:rPr>
        <w:t xml:space="preserve"> descurajeze </w:t>
      </w:r>
      <w:r w:rsidR="008033B1" w:rsidRPr="00834B27">
        <w:rPr>
          <w:rFonts w:ascii="Calibri" w:hAnsi="Calibri" w:cs="Calibri"/>
          <w:u w:val="single"/>
          <w:lang w:val="ro-RO"/>
        </w:rPr>
        <w:t>înregistrarea</w:t>
      </w:r>
      <w:r w:rsidR="00E443F9" w:rsidRPr="00834B27">
        <w:rPr>
          <w:rFonts w:ascii="Calibri" w:hAnsi="Calibri" w:cs="Calibri"/>
          <w:u w:val="single"/>
          <w:lang w:val="ro-RO"/>
        </w:rPr>
        <w:t xml:space="preserve"> cheltuielilor personale </w:t>
      </w:r>
      <w:r w:rsidR="005E642D" w:rsidRPr="00834B27">
        <w:rPr>
          <w:rFonts w:ascii="Calibri" w:hAnsi="Calibri" w:cs="Calibri"/>
          <w:u w:val="single"/>
          <w:lang w:val="ro-RO"/>
        </w:rPr>
        <w:t xml:space="preserve">ale </w:t>
      </w:r>
      <w:r w:rsidR="008033B1" w:rsidRPr="00834B27">
        <w:rPr>
          <w:rFonts w:ascii="Calibri" w:hAnsi="Calibri" w:cs="Calibri"/>
          <w:u w:val="single"/>
          <w:lang w:val="ro-RO"/>
        </w:rPr>
        <w:t>asocia</w:t>
      </w:r>
      <w:r w:rsidR="00D77C4B" w:rsidRPr="00834B27">
        <w:rPr>
          <w:rFonts w:ascii="Calibri" w:hAnsi="Calibri" w:cs="Calibri"/>
          <w:u w:val="single"/>
          <w:lang w:val="ro-RO"/>
        </w:rPr>
        <w:t>ț</w:t>
      </w:r>
      <w:r w:rsidR="008033B1" w:rsidRPr="00834B27">
        <w:rPr>
          <w:rFonts w:ascii="Calibri" w:hAnsi="Calibri" w:cs="Calibri"/>
          <w:u w:val="single"/>
          <w:lang w:val="ro-RO"/>
        </w:rPr>
        <w:t>ilor</w:t>
      </w:r>
      <w:r w:rsidR="005E642D" w:rsidRPr="00834B27">
        <w:rPr>
          <w:rFonts w:ascii="Calibri" w:hAnsi="Calibri" w:cs="Calibri"/>
          <w:u w:val="single"/>
          <w:lang w:val="ro-RO"/>
        </w:rPr>
        <w:t xml:space="preserve"> pe companii</w:t>
      </w:r>
      <w:r w:rsidR="008033B1" w:rsidRPr="00834B27">
        <w:rPr>
          <w:rFonts w:ascii="Calibri" w:hAnsi="Calibri" w:cs="Calibri"/>
          <w:lang w:val="ro-RO"/>
        </w:rPr>
        <w:t>,</w:t>
      </w:r>
      <w:r w:rsidR="005E642D" w:rsidRPr="00834B27">
        <w:rPr>
          <w:rFonts w:ascii="Calibri" w:hAnsi="Calibri" w:cs="Calibri"/>
          <w:lang w:val="ro-RO"/>
        </w:rPr>
        <w:t xml:space="preserve"> pentru a putea deduce TVA </w:t>
      </w:r>
      <w:r w:rsidR="008033B1" w:rsidRPr="00834B27">
        <w:rPr>
          <w:rFonts w:ascii="Calibri" w:hAnsi="Calibri" w:cs="Calibri"/>
          <w:lang w:val="ro-RO"/>
        </w:rPr>
        <w:t>ș</w:t>
      </w:r>
      <w:r w:rsidR="005E642D" w:rsidRPr="00834B27">
        <w:rPr>
          <w:rFonts w:ascii="Calibri" w:hAnsi="Calibri" w:cs="Calibri"/>
          <w:lang w:val="ro-RO"/>
        </w:rPr>
        <w:t>i evita plata impozitului pe dividende</w:t>
      </w:r>
      <w:r w:rsidR="008033B1" w:rsidRPr="00834B27">
        <w:rPr>
          <w:rFonts w:ascii="Calibri" w:hAnsi="Calibri" w:cs="Calibri"/>
          <w:lang w:val="ro-RO"/>
        </w:rPr>
        <w:t>,</w:t>
      </w:r>
      <w:r w:rsidR="005E642D" w:rsidRPr="00834B27">
        <w:rPr>
          <w:rFonts w:ascii="Calibri" w:hAnsi="Calibri" w:cs="Calibri"/>
          <w:lang w:val="ro-RO"/>
        </w:rPr>
        <w:t xml:space="preserve"> </w:t>
      </w:r>
      <w:r w:rsidR="00102815" w:rsidRPr="00834B27">
        <w:rPr>
          <w:rFonts w:ascii="Calibri" w:hAnsi="Calibri" w:cs="Calibri"/>
          <w:lang w:val="ro-RO"/>
        </w:rPr>
        <w:t>va fi suficient</w:t>
      </w:r>
      <w:r w:rsidR="008033B1" w:rsidRPr="00834B27">
        <w:rPr>
          <w:rFonts w:ascii="Calibri" w:hAnsi="Calibri" w:cs="Calibri"/>
          <w:lang w:val="ro-RO"/>
        </w:rPr>
        <w:t>ă</w:t>
      </w:r>
      <w:r w:rsidR="00102815" w:rsidRPr="00834B27">
        <w:rPr>
          <w:rFonts w:ascii="Calibri" w:hAnsi="Calibri" w:cs="Calibri"/>
          <w:lang w:val="ro-RO"/>
        </w:rPr>
        <w:t xml:space="preserve"> pentru a compensa </w:t>
      </w:r>
      <w:r w:rsidR="00267B7D" w:rsidRPr="00834B27">
        <w:rPr>
          <w:rFonts w:ascii="Calibri" w:hAnsi="Calibri" w:cs="Calibri"/>
          <w:lang w:val="ro-RO"/>
        </w:rPr>
        <w:t>pierderea de venit rezultat</w:t>
      </w:r>
      <w:r w:rsidR="008033B1" w:rsidRPr="00834B27">
        <w:rPr>
          <w:rFonts w:ascii="Calibri" w:hAnsi="Calibri" w:cs="Calibri"/>
          <w:lang w:val="ro-RO"/>
        </w:rPr>
        <w:t>ă</w:t>
      </w:r>
      <w:r w:rsidR="00267B7D" w:rsidRPr="00834B27">
        <w:rPr>
          <w:rFonts w:ascii="Calibri" w:hAnsi="Calibri" w:cs="Calibri"/>
          <w:lang w:val="ro-RO"/>
        </w:rPr>
        <w:t xml:space="preserve"> din </w:t>
      </w:r>
      <w:r w:rsidR="000106F4" w:rsidRPr="00834B27">
        <w:rPr>
          <w:rFonts w:ascii="Calibri" w:hAnsi="Calibri" w:cs="Calibri"/>
          <w:lang w:val="ro-RO"/>
        </w:rPr>
        <w:t xml:space="preserve">eliminarea dublei impuneri </w:t>
      </w:r>
      <w:r w:rsidR="008033B1" w:rsidRPr="00834B27">
        <w:rPr>
          <w:rFonts w:ascii="Calibri" w:hAnsi="Calibri" w:cs="Calibri"/>
          <w:lang w:val="ro-RO"/>
        </w:rPr>
        <w:t>î</w:t>
      </w:r>
      <w:r w:rsidR="000106F4" w:rsidRPr="00834B27">
        <w:rPr>
          <w:rFonts w:ascii="Calibri" w:hAnsi="Calibri" w:cs="Calibri"/>
          <w:lang w:val="ro-RO"/>
        </w:rPr>
        <w:t>n cazul dividendelor (</w:t>
      </w:r>
      <w:r w:rsidR="003B5D85" w:rsidRPr="00834B27">
        <w:rPr>
          <w:rFonts w:ascii="Calibri" w:hAnsi="Calibri" w:cs="Calibri"/>
          <w:lang w:val="ro-RO"/>
        </w:rPr>
        <w:t xml:space="preserve">impozit pe profit + impozit pe dividende = 16%), </w:t>
      </w:r>
      <w:r w:rsidR="008033B1" w:rsidRPr="00834B27">
        <w:rPr>
          <w:rFonts w:ascii="Calibri" w:hAnsi="Calibri" w:cs="Calibri"/>
          <w:lang w:val="ro-RO"/>
        </w:rPr>
        <w:t>măsură</w:t>
      </w:r>
      <w:r w:rsidR="003B5D85" w:rsidRPr="00834B27">
        <w:rPr>
          <w:rFonts w:ascii="Calibri" w:hAnsi="Calibri" w:cs="Calibri"/>
          <w:lang w:val="ro-RO"/>
        </w:rPr>
        <w:t xml:space="preserve"> c</w:t>
      </w:r>
      <w:r w:rsidR="008033B1" w:rsidRPr="00834B27">
        <w:rPr>
          <w:rFonts w:ascii="Calibri" w:hAnsi="Calibri" w:cs="Calibri"/>
          <w:lang w:val="ro-RO"/>
        </w:rPr>
        <w:t>are</w:t>
      </w:r>
      <w:r w:rsidR="003B5D85" w:rsidRPr="00834B27">
        <w:rPr>
          <w:rFonts w:ascii="Calibri" w:hAnsi="Calibri" w:cs="Calibri"/>
          <w:lang w:val="ro-RO"/>
        </w:rPr>
        <w:t xml:space="preserve"> este</w:t>
      </w:r>
      <w:r w:rsidR="008033B1" w:rsidRPr="00834B27">
        <w:rPr>
          <w:rFonts w:ascii="Calibri" w:hAnsi="Calibri" w:cs="Calibri"/>
          <w:lang w:val="ro-RO"/>
        </w:rPr>
        <w:t>,</w:t>
      </w:r>
      <w:r w:rsidR="003B5D85" w:rsidRPr="00834B27">
        <w:rPr>
          <w:rFonts w:ascii="Calibri" w:hAnsi="Calibri" w:cs="Calibri"/>
          <w:lang w:val="ro-RO"/>
        </w:rPr>
        <w:t xml:space="preserve"> </w:t>
      </w:r>
      <w:r w:rsidR="008033B1" w:rsidRPr="00834B27">
        <w:rPr>
          <w:rFonts w:ascii="Calibri" w:hAnsi="Calibri" w:cs="Calibri"/>
          <w:lang w:val="ro-RO"/>
        </w:rPr>
        <w:t>î</w:t>
      </w:r>
      <w:r w:rsidR="003B5D85" w:rsidRPr="00834B27">
        <w:rPr>
          <w:rFonts w:ascii="Calibri" w:hAnsi="Calibri" w:cs="Calibri"/>
          <w:lang w:val="ro-RO"/>
        </w:rPr>
        <w:t>n sine</w:t>
      </w:r>
      <w:r w:rsidR="008033B1" w:rsidRPr="00834B27">
        <w:rPr>
          <w:rFonts w:ascii="Calibri" w:hAnsi="Calibri" w:cs="Calibri"/>
          <w:lang w:val="ro-RO"/>
        </w:rPr>
        <w:t>,</w:t>
      </w:r>
      <w:r w:rsidR="003B5D85" w:rsidRPr="00834B27">
        <w:rPr>
          <w:rFonts w:ascii="Calibri" w:hAnsi="Calibri" w:cs="Calibri"/>
          <w:lang w:val="ro-RO"/>
        </w:rPr>
        <w:t xml:space="preserve"> una de natur</w:t>
      </w:r>
      <w:r w:rsidR="008033B1" w:rsidRPr="00834B27">
        <w:rPr>
          <w:rFonts w:ascii="Calibri" w:hAnsi="Calibri" w:cs="Calibri"/>
          <w:lang w:val="ro-RO"/>
        </w:rPr>
        <w:t>ă</w:t>
      </w:r>
      <w:r w:rsidR="003B5D85" w:rsidRPr="00834B27">
        <w:rPr>
          <w:rFonts w:ascii="Calibri" w:hAnsi="Calibri" w:cs="Calibri"/>
          <w:lang w:val="ro-RO"/>
        </w:rPr>
        <w:t xml:space="preserve"> a stimula conformarea voluntar</w:t>
      </w:r>
      <w:r w:rsidR="008033B1" w:rsidRPr="00834B27">
        <w:rPr>
          <w:rFonts w:ascii="Calibri" w:hAnsi="Calibri" w:cs="Calibri"/>
          <w:lang w:val="ro-RO"/>
        </w:rPr>
        <w:t>ă</w:t>
      </w:r>
      <w:r w:rsidR="003B5D85" w:rsidRPr="00834B27">
        <w:rPr>
          <w:rFonts w:ascii="Calibri" w:hAnsi="Calibri" w:cs="Calibri"/>
          <w:lang w:val="ro-RO"/>
        </w:rPr>
        <w:t>.</w:t>
      </w:r>
      <w:r w:rsidR="00131C08" w:rsidRPr="00834B27">
        <w:rPr>
          <w:lang w:val="ro-RO"/>
        </w:rPr>
        <w:t xml:space="preserve"> </w:t>
      </w:r>
      <w:r w:rsidR="00131C08" w:rsidRPr="00834B27">
        <w:rPr>
          <w:rFonts w:ascii="Calibri" w:hAnsi="Calibri" w:cs="Calibri"/>
          <w:lang w:val="ro-RO"/>
        </w:rPr>
        <w:t>Logica: dacă cele ~286.000 de microîntreprinderi cu pierderi egale cu cifra de afaceri încep să declare profituri reale — chiar modest, la jumătate din cifra de afaceri — baza impozabilă suplimentară depășește cu mult pierderea din eliminarea dublei impuneri. Eliminarea dublei impuneri este, în sine, o măsură care stimulează conformarea voluntară: un contribuabil care știe că sarcina totală pe circuitul profit–dividende este de 16% (și nu de 29,44% ca în prezent) are un stimulent semnificativ mai redus de a deduce cheltuieli personale.</w:t>
      </w:r>
    </w:p>
    <w:p w14:paraId="0110A774" w14:textId="25FAF5A9" w:rsidR="00FB2018" w:rsidRPr="00834B27" w:rsidRDefault="00FB2018" w:rsidP="00131C08">
      <w:pPr>
        <w:keepNext/>
        <w:tabs>
          <w:tab w:val="left" w:pos="720"/>
        </w:tabs>
        <w:spacing w:line="276" w:lineRule="auto"/>
        <w:jc w:val="both"/>
        <w:rPr>
          <w:rFonts w:ascii="Calibri" w:hAnsi="Calibri" w:cs="Calibri"/>
          <w:lang w:val="ro-RO"/>
        </w:rPr>
      </w:pPr>
      <w:r w:rsidRPr="00834B27">
        <w:rPr>
          <w:rFonts w:ascii="Calibri" w:hAnsi="Calibri" w:cs="Calibri"/>
          <w:lang w:val="ro-RO"/>
        </w:rPr>
        <w:t>Toate acestea conduc la concluzia că marja reală de siguranță a reformei este semnificativ mai mare decât cea prezentată în centralizator</w:t>
      </w:r>
      <w:r w:rsidR="005154F6" w:rsidRPr="00834B27">
        <w:rPr>
          <w:rFonts w:ascii="Calibri" w:hAnsi="Calibri" w:cs="Calibri"/>
          <w:lang w:val="ro-RO"/>
        </w:rPr>
        <w:t>, în situația implementării conjugate a propunerilor</w:t>
      </w:r>
      <w:r w:rsidR="00BD0066" w:rsidRPr="00834B27">
        <w:rPr>
          <w:rFonts w:ascii="Calibri" w:hAnsi="Calibri" w:cs="Calibri"/>
          <w:lang w:val="ro-RO"/>
        </w:rPr>
        <w:t>.</w:t>
      </w:r>
    </w:p>
    <w:p w14:paraId="76F4AC02" w14:textId="77777777" w:rsidR="00FB2018" w:rsidRPr="00834B27" w:rsidRDefault="00FB2018" w:rsidP="00FB2018">
      <w:pPr>
        <w:tabs>
          <w:tab w:val="left" w:pos="720"/>
        </w:tabs>
        <w:spacing w:line="276" w:lineRule="auto"/>
        <w:jc w:val="both"/>
        <w:rPr>
          <w:rFonts w:ascii="Calibri" w:hAnsi="Calibri" w:cs="Calibri"/>
          <w:b/>
          <w:bCs/>
          <w:lang w:val="ro-RO"/>
        </w:rPr>
      </w:pPr>
      <w:r w:rsidRPr="00834B27">
        <w:rPr>
          <w:rFonts w:ascii="Calibri" w:hAnsi="Calibri" w:cs="Calibri"/>
          <w:b/>
          <w:bCs/>
          <w:lang w:val="ro-RO"/>
        </w:rPr>
        <w:t>Important!</w:t>
      </w:r>
    </w:p>
    <w:p w14:paraId="2377C2A3" w14:textId="63868FFB" w:rsidR="00FB2018" w:rsidRPr="00834B27" w:rsidRDefault="00FB2018" w:rsidP="00FB2018">
      <w:pPr>
        <w:pStyle w:val="Listparagraf"/>
        <w:tabs>
          <w:tab w:val="left" w:pos="720"/>
        </w:tabs>
        <w:spacing w:line="276" w:lineRule="auto"/>
        <w:jc w:val="both"/>
        <w:rPr>
          <w:rFonts w:ascii="Calibri" w:hAnsi="Calibri" w:cs="Calibri"/>
          <w:b/>
          <w:bCs/>
          <w:lang w:val="ro-RO"/>
        </w:rPr>
      </w:pPr>
      <w:r w:rsidRPr="00834B27">
        <w:rPr>
          <w:rFonts w:ascii="Calibri" w:hAnsi="Calibri" w:cs="Calibri"/>
          <w:b/>
          <w:bCs/>
          <w:lang w:val="ro-RO"/>
        </w:rPr>
        <w:lastRenderedPageBreak/>
        <w:t xml:space="preserve">Reamintim (a se vedea Nota metodologică) că impactul bugetar este calculat static — presupunând </w:t>
      </w:r>
      <w:r w:rsidR="00C55DE8" w:rsidRPr="00834B27">
        <w:rPr>
          <w:rFonts w:ascii="Calibri" w:hAnsi="Calibri" w:cs="Calibri"/>
          <w:b/>
          <w:bCs/>
          <w:lang w:val="ro-RO"/>
        </w:rPr>
        <w:t xml:space="preserve">un </w:t>
      </w:r>
      <w:r w:rsidRPr="00834B27">
        <w:rPr>
          <w:rFonts w:ascii="Calibri" w:hAnsi="Calibri" w:cs="Calibri"/>
          <w:b/>
          <w:bCs/>
          <w:lang w:val="ro-RO"/>
        </w:rPr>
        <w:t>comportament neschimbat. Această metodologie supraestimează sistematic costurile reformei și subestimează veniturile suplimentare.</w:t>
      </w:r>
    </w:p>
    <w:p w14:paraId="1D2C2CD9" w14:textId="77777777" w:rsidR="005154F6" w:rsidRPr="00834B27" w:rsidRDefault="005154F6" w:rsidP="00FB2018">
      <w:pPr>
        <w:pStyle w:val="Listparagraf"/>
        <w:tabs>
          <w:tab w:val="left" w:pos="720"/>
        </w:tabs>
        <w:spacing w:line="276" w:lineRule="auto"/>
        <w:jc w:val="both"/>
        <w:rPr>
          <w:rFonts w:ascii="Calibri" w:hAnsi="Calibri" w:cs="Calibri"/>
          <w:b/>
          <w:bCs/>
          <w:lang w:val="ro-RO"/>
        </w:rPr>
      </w:pPr>
    </w:p>
    <w:p w14:paraId="59EFB6B3" w14:textId="77777777" w:rsidR="00722916" w:rsidRPr="00834B27" w:rsidRDefault="00722916" w:rsidP="005752DC">
      <w:pPr>
        <w:pStyle w:val="Listparagraf"/>
        <w:keepNext/>
        <w:numPr>
          <w:ilvl w:val="0"/>
          <w:numId w:val="54"/>
        </w:numPr>
        <w:tabs>
          <w:tab w:val="left" w:pos="720"/>
        </w:tabs>
        <w:spacing w:line="276" w:lineRule="auto"/>
        <w:ind w:hanging="720"/>
        <w:jc w:val="both"/>
        <w:rPr>
          <w:rFonts w:ascii="Calibri" w:hAnsi="Calibri" w:cs="Calibri"/>
          <w:b/>
          <w:bCs/>
          <w:lang w:val="ro-RO"/>
        </w:rPr>
      </w:pPr>
      <w:r w:rsidRPr="00834B27">
        <w:rPr>
          <w:rFonts w:ascii="Calibri" w:hAnsi="Calibri" w:cs="Calibri"/>
          <w:b/>
          <w:bCs/>
          <w:lang w:val="ro-RO"/>
        </w:rPr>
        <w:t>Comentarii</w:t>
      </w:r>
    </w:p>
    <w:p w14:paraId="484FBE6A" w14:textId="054549BD" w:rsidR="00722916" w:rsidRPr="00834B27" w:rsidRDefault="00722916" w:rsidP="00A7178A">
      <w:pPr>
        <w:keepNext/>
        <w:tabs>
          <w:tab w:val="left" w:pos="720"/>
        </w:tabs>
        <w:spacing w:line="276" w:lineRule="auto"/>
        <w:jc w:val="both"/>
        <w:rPr>
          <w:rFonts w:ascii="Calibri" w:hAnsi="Calibri" w:cs="Calibri"/>
          <w:lang w:val="ro-RO"/>
        </w:rPr>
      </w:pPr>
      <w:r w:rsidRPr="00834B27">
        <w:rPr>
          <w:rFonts w:ascii="Calibri" w:hAnsi="Calibri" w:cs="Calibri"/>
          <w:lang w:val="ro-RO"/>
        </w:rPr>
        <w:t>Dacă la pensii IV și CASS sunt calculate luând în calcul DP (chiar și în valoarea maximă), oricare dintre scenarii este posibil. Dacă IV și CASS la pensii sunt calculate doar pentru sumele ce depășesc 3.000 lei/lună, considerăm că singura op</w:t>
      </w:r>
      <w:r w:rsidR="00D77C4B" w:rsidRPr="00834B27">
        <w:rPr>
          <w:rFonts w:ascii="Calibri" w:hAnsi="Calibri" w:cs="Calibri"/>
          <w:lang w:val="ro-RO"/>
        </w:rPr>
        <w:t>ț</w:t>
      </w:r>
      <w:r w:rsidRPr="00834B27">
        <w:rPr>
          <w:rFonts w:ascii="Calibri" w:hAnsi="Calibri" w:cs="Calibri"/>
          <w:lang w:val="ro-RO"/>
        </w:rPr>
        <w:t>iune rezonabilă este plafonarea bazei de calcul a CAS, CASS la 7 SM/lună (84 SM/an) în scenariul cu IV 16%/CASS 8,8%/CAS 21,</w:t>
      </w:r>
      <w:r w:rsidR="00EF487E" w:rsidRPr="00834B27">
        <w:rPr>
          <w:rFonts w:ascii="Calibri" w:hAnsi="Calibri" w:cs="Calibri"/>
          <w:lang w:val="ro-RO"/>
        </w:rPr>
        <w:t>7</w:t>
      </w:r>
      <w:r w:rsidRPr="00834B27">
        <w:rPr>
          <w:rFonts w:ascii="Calibri" w:hAnsi="Calibri" w:cs="Calibri"/>
          <w:lang w:val="ro-RO"/>
        </w:rPr>
        <w:t xml:space="preserve">%, unde rezultatul negativ de 3,96 miliarde lei poate fi ușor compensat prin sumele generate suplimentar prin introducerea măsurilor </w:t>
      </w:r>
      <w:r w:rsidR="009D4A3A" w:rsidRPr="00834B27">
        <w:rPr>
          <w:rFonts w:ascii="Calibri" w:hAnsi="Calibri" w:cs="Calibri"/>
          <w:lang w:val="ro-RO"/>
        </w:rPr>
        <w:t xml:space="preserve">de tip </w:t>
      </w:r>
      <w:r w:rsidR="009D4A3A" w:rsidRPr="00834B27">
        <w:rPr>
          <w:rFonts w:ascii="Calibri" w:hAnsi="Calibri" w:cs="Calibri"/>
          <w:i/>
          <w:iCs/>
          <w:lang w:val="ro-RO"/>
        </w:rPr>
        <w:t>CFC Rules focused on the UBO,</w:t>
      </w:r>
      <w:r w:rsidR="009D4A3A" w:rsidRPr="00834B27">
        <w:rPr>
          <w:rFonts w:ascii="Calibri" w:hAnsi="Calibri" w:cs="Calibri"/>
          <w:lang w:val="ro-RO"/>
        </w:rPr>
        <w:t xml:space="preserve"> propuse</w:t>
      </w:r>
      <w:r w:rsidR="005B6AE2" w:rsidRPr="00834B27">
        <w:rPr>
          <w:rFonts w:ascii="Calibri" w:hAnsi="Calibri" w:cs="Calibri"/>
          <w:lang w:val="ro-RO"/>
        </w:rPr>
        <w:t xml:space="preserve"> </w:t>
      </w:r>
      <w:r w:rsidR="009D4A3A" w:rsidRPr="00834B27">
        <w:rPr>
          <w:rFonts w:ascii="Calibri" w:hAnsi="Calibri" w:cs="Calibri"/>
          <w:lang w:val="ro-RO"/>
        </w:rPr>
        <w:t>în secțiunea 6.1 privind veniturile din dividende.</w:t>
      </w:r>
    </w:p>
    <w:p w14:paraId="1A7FCF14" w14:textId="77777777" w:rsidR="0007748A" w:rsidRPr="00834B27" w:rsidRDefault="0007748A" w:rsidP="008A2AB7">
      <w:pPr>
        <w:tabs>
          <w:tab w:val="left" w:pos="720"/>
        </w:tabs>
        <w:spacing w:line="276" w:lineRule="auto"/>
        <w:jc w:val="both"/>
        <w:rPr>
          <w:rFonts w:ascii="Calibri" w:hAnsi="Calibri" w:cs="Calibri"/>
          <w:lang w:val="ro-RO"/>
        </w:rPr>
      </w:pPr>
    </w:p>
    <w:p w14:paraId="131900EA" w14:textId="77777777" w:rsidR="008033B1" w:rsidRPr="00834B27" w:rsidRDefault="008033B1" w:rsidP="008033B1">
      <w:pPr>
        <w:tabs>
          <w:tab w:val="left" w:pos="720"/>
        </w:tabs>
        <w:spacing w:line="276" w:lineRule="auto"/>
        <w:jc w:val="both"/>
        <w:rPr>
          <w:rFonts w:ascii="Calibri" w:hAnsi="Calibri" w:cs="Calibri"/>
          <w:b/>
          <w:bCs/>
          <w:lang w:val="ro-RO"/>
        </w:rPr>
      </w:pPr>
      <w:r w:rsidRPr="00834B27">
        <w:rPr>
          <w:rFonts w:ascii="Calibri" w:hAnsi="Calibri" w:cs="Calibri"/>
          <w:b/>
          <w:bCs/>
          <w:lang w:val="ro-RO"/>
        </w:rPr>
        <w:t>Concluzie:</w:t>
      </w:r>
    </w:p>
    <w:p w14:paraId="4144C934" w14:textId="6CA19A37" w:rsidR="008033B1" w:rsidRPr="00834B27" w:rsidRDefault="008033B1" w:rsidP="008033B1">
      <w:pPr>
        <w:tabs>
          <w:tab w:val="left" w:pos="720"/>
        </w:tabs>
        <w:spacing w:line="276" w:lineRule="auto"/>
        <w:jc w:val="both"/>
        <w:rPr>
          <w:rFonts w:ascii="Calibri" w:hAnsi="Calibri" w:cs="Calibri"/>
          <w:lang w:val="ro-RO"/>
        </w:rPr>
      </w:pPr>
      <w:bookmarkStart w:id="19" w:name="OLE_LINK3"/>
      <w:r w:rsidRPr="00834B27">
        <w:rPr>
          <w:rFonts w:ascii="Calibri" w:hAnsi="Calibri" w:cs="Calibri"/>
          <w:lang w:val="ro-RO"/>
        </w:rPr>
        <w:t xml:space="preserve">Având în vedere </w:t>
      </w:r>
      <w:bookmarkEnd w:id="19"/>
      <w:r w:rsidRPr="00834B27">
        <w:rPr>
          <w:rFonts w:ascii="Calibri" w:hAnsi="Calibri" w:cs="Calibri"/>
          <w:lang w:val="ro-RO"/>
        </w:rPr>
        <w:t>explica</w:t>
      </w:r>
      <w:r w:rsidR="00D77C4B" w:rsidRPr="00834B27">
        <w:rPr>
          <w:rFonts w:ascii="Calibri" w:hAnsi="Calibri" w:cs="Calibri"/>
          <w:lang w:val="ro-RO"/>
        </w:rPr>
        <w:t>ț</w:t>
      </w:r>
      <w:r w:rsidRPr="00834B27">
        <w:rPr>
          <w:rFonts w:ascii="Calibri" w:hAnsi="Calibri" w:cs="Calibri"/>
          <w:lang w:val="ro-RO"/>
        </w:rPr>
        <w:t>iile anterioare,</w:t>
      </w:r>
    </w:p>
    <w:p w14:paraId="06E7B293" w14:textId="188D8D15" w:rsidR="008033B1" w:rsidRPr="00834B27" w:rsidRDefault="008033B1" w:rsidP="008033B1">
      <w:pPr>
        <w:tabs>
          <w:tab w:val="left" w:pos="720"/>
        </w:tabs>
        <w:spacing w:line="276" w:lineRule="auto"/>
        <w:jc w:val="both"/>
        <w:rPr>
          <w:rFonts w:ascii="Calibri" w:hAnsi="Calibri" w:cs="Calibri"/>
          <w:lang w:val="ro-RO"/>
        </w:rPr>
      </w:pPr>
      <w:r w:rsidRPr="00834B27">
        <w:rPr>
          <w:rFonts w:ascii="Calibri" w:hAnsi="Calibri" w:cs="Calibri"/>
          <w:lang w:val="ro-RO"/>
        </w:rPr>
        <w:t xml:space="preserve"> Având în vedere nevoia din ce în ce mai stringentă a unei legisla</w:t>
      </w:r>
      <w:r w:rsidR="00D77C4B" w:rsidRPr="00834B27">
        <w:rPr>
          <w:rFonts w:ascii="Calibri" w:hAnsi="Calibri" w:cs="Calibri"/>
          <w:lang w:val="ro-RO"/>
        </w:rPr>
        <w:t>ț</w:t>
      </w:r>
      <w:r w:rsidRPr="00834B27">
        <w:rPr>
          <w:rFonts w:ascii="Calibri" w:hAnsi="Calibri" w:cs="Calibri"/>
          <w:lang w:val="ro-RO"/>
        </w:rPr>
        <w:t>ii echitabile, fără privilegii sau discriminări,</w:t>
      </w:r>
    </w:p>
    <w:p w14:paraId="01BA6D59" w14:textId="477BAE01" w:rsidR="008033B1" w:rsidRPr="00834B27" w:rsidRDefault="008033B1" w:rsidP="008033B1">
      <w:pPr>
        <w:tabs>
          <w:tab w:val="left" w:pos="720"/>
        </w:tabs>
        <w:spacing w:line="276" w:lineRule="auto"/>
        <w:jc w:val="both"/>
        <w:rPr>
          <w:rFonts w:ascii="Calibri" w:hAnsi="Calibri" w:cs="Calibri"/>
          <w:lang w:val="ro-RO"/>
        </w:rPr>
      </w:pPr>
      <w:r w:rsidRPr="00834B27">
        <w:rPr>
          <w:rFonts w:ascii="Calibri" w:hAnsi="Calibri" w:cs="Calibri"/>
          <w:lang w:val="ro-RO"/>
        </w:rPr>
        <w:t>Având în vedere nevoia de simplificare a legisla</w:t>
      </w:r>
      <w:r w:rsidR="00D77C4B" w:rsidRPr="00834B27">
        <w:rPr>
          <w:rFonts w:ascii="Calibri" w:hAnsi="Calibri" w:cs="Calibri"/>
          <w:lang w:val="ro-RO"/>
        </w:rPr>
        <w:t>ț</w:t>
      </w:r>
      <w:r w:rsidRPr="00834B27">
        <w:rPr>
          <w:rFonts w:ascii="Calibri" w:hAnsi="Calibri" w:cs="Calibri"/>
          <w:lang w:val="ro-RO"/>
        </w:rPr>
        <w:t>iei fiscale pentru a reduce costurile de conformare pentru contribuabili și cele de administrare pentru ANAF,</w:t>
      </w:r>
    </w:p>
    <w:p w14:paraId="6801AECB" w14:textId="77777777" w:rsidR="008033B1" w:rsidRPr="00834B27" w:rsidRDefault="008033B1" w:rsidP="008033B1">
      <w:pPr>
        <w:tabs>
          <w:tab w:val="left" w:pos="720"/>
        </w:tabs>
        <w:spacing w:line="276" w:lineRule="auto"/>
        <w:jc w:val="both"/>
        <w:rPr>
          <w:rFonts w:ascii="Calibri" w:hAnsi="Calibri" w:cs="Calibri"/>
          <w:lang w:val="ro-RO"/>
        </w:rPr>
      </w:pPr>
      <w:r w:rsidRPr="00834B27">
        <w:rPr>
          <w:rFonts w:ascii="Calibri" w:hAnsi="Calibri" w:cs="Calibri"/>
          <w:lang w:val="ro-RO"/>
        </w:rPr>
        <w:t>Având în vedere și nevoia de reducere a deficitului bugetului consolidat,</w:t>
      </w:r>
    </w:p>
    <w:p w14:paraId="239B9C2F" w14:textId="009CD06E" w:rsidR="008033B1" w:rsidRPr="00834B27" w:rsidRDefault="008033B1" w:rsidP="008033B1">
      <w:pPr>
        <w:tabs>
          <w:tab w:val="left" w:pos="720"/>
        </w:tabs>
        <w:spacing w:line="276" w:lineRule="auto"/>
        <w:jc w:val="both"/>
        <w:rPr>
          <w:rFonts w:ascii="Calibri" w:hAnsi="Calibri" w:cs="Calibri"/>
          <w:lang w:val="ro-RO"/>
        </w:rPr>
      </w:pPr>
      <w:r w:rsidRPr="00834B27">
        <w:rPr>
          <w:rFonts w:ascii="Calibri" w:hAnsi="Calibri" w:cs="Calibri"/>
          <w:lang w:val="ro-RO"/>
        </w:rPr>
        <w:t>Având în vedere și nevoia reducerii obliga</w:t>
      </w:r>
      <w:r w:rsidR="00D77C4B" w:rsidRPr="00834B27">
        <w:rPr>
          <w:rFonts w:ascii="Calibri" w:hAnsi="Calibri" w:cs="Calibri"/>
          <w:lang w:val="ro-RO"/>
        </w:rPr>
        <w:t>ț</w:t>
      </w:r>
      <w:r w:rsidRPr="00834B27">
        <w:rPr>
          <w:rFonts w:ascii="Calibri" w:hAnsi="Calibri" w:cs="Calibri"/>
          <w:lang w:val="ro-RO"/>
        </w:rPr>
        <w:t>iilor asumate prin Pilonul I de pensii publice în contextul în care aceste obliga</w:t>
      </w:r>
      <w:r w:rsidR="00D77C4B" w:rsidRPr="00834B27">
        <w:rPr>
          <w:rFonts w:ascii="Calibri" w:hAnsi="Calibri" w:cs="Calibri"/>
          <w:lang w:val="ro-RO"/>
        </w:rPr>
        <w:t>ț</w:t>
      </w:r>
      <w:r w:rsidRPr="00834B27">
        <w:rPr>
          <w:rFonts w:ascii="Calibri" w:hAnsi="Calibri" w:cs="Calibri"/>
          <w:lang w:val="ro-RO"/>
        </w:rPr>
        <w:t>ii vor crește în anii următori ca urmare a pensionării celor născu</w:t>
      </w:r>
      <w:r w:rsidR="00D77C4B" w:rsidRPr="00834B27">
        <w:rPr>
          <w:rFonts w:ascii="Calibri" w:hAnsi="Calibri" w:cs="Calibri"/>
          <w:lang w:val="ro-RO"/>
        </w:rPr>
        <w:t>ț</w:t>
      </w:r>
      <w:r w:rsidRPr="00834B27">
        <w:rPr>
          <w:rFonts w:ascii="Calibri" w:hAnsi="Calibri" w:cs="Calibri"/>
          <w:lang w:val="ro-RO"/>
        </w:rPr>
        <w:t>i în perioada 1967 – 1970 („decre</w:t>
      </w:r>
      <w:r w:rsidR="00D77C4B" w:rsidRPr="00834B27">
        <w:rPr>
          <w:rFonts w:ascii="Calibri" w:hAnsi="Calibri" w:cs="Calibri"/>
          <w:lang w:val="ro-RO"/>
        </w:rPr>
        <w:t>ț</w:t>
      </w:r>
      <w:r w:rsidRPr="00834B27">
        <w:rPr>
          <w:rFonts w:ascii="Calibri" w:hAnsi="Calibri" w:cs="Calibri"/>
          <w:lang w:val="ro-RO"/>
        </w:rPr>
        <w:t>eii”),</w:t>
      </w:r>
    </w:p>
    <w:p w14:paraId="23C379EA" w14:textId="2A49F677" w:rsidR="008033B1" w:rsidRPr="00834B27" w:rsidRDefault="008033B1" w:rsidP="008033B1">
      <w:pPr>
        <w:tabs>
          <w:tab w:val="left" w:pos="720"/>
        </w:tabs>
        <w:spacing w:line="276" w:lineRule="auto"/>
        <w:jc w:val="both"/>
        <w:rPr>
          <w:rFonts w:ascii="Calibri" w:hAnsi="Calibri" w:cs="Calibri"/>
          <w:lang w:val="ro-RO"/>
        </w:rPr>
      </w:pPr>
      <w:r w:rsidRPr="00834B27">
        <w:rPr>
          <w:rFonts w:ascii="Calibri" w:hAnsi="Calibri" w:cs="Calibri"/>
          <w:lang w:val="ro-RO"/>
        </w:rPr>
        <w:t>Având în vedere că stabilirea SFT doar în func</w:t>
      </w:r>
      <w:r w:rsidR="00D77C4B" w:rsidRPr="00834B27">
        <w:rPr>
          <w:rFonts w:ascii="Calibri" w:hAnsi="Calibri" w:cs="Calibri"/>
          <w:lang w:val="ro-RO"/>
        </w:rPr>
        <w:t>ț</w:t>
      </w:r>
      <w:r w:rsidRPr="00834B27">
        <w:rPr>
          <w:rFonts w:ascii="Calibri" w:hAnsi="Calibri" w:cs="Calibri"/>
          <w:lang w:val="ro-RO"/>
        </w:rPr>
        <w:t>ie de mărimea și nu de tipul venitului elimină posibilită</w:t>
      </w:r>
      <w:r w:rsidR="00D77C4B" w:rsidRPr="00834B27">
        <w:rPr>
          <w:rFonts w:ascii="Calibri" w:hAnsi="Calibri" w:cs="Calibri"/>
          <w:lang w:val="ro-RO"/>
        </w:rPr>
        <w:t>ț</w:t>
      </w:r>
      <w:r w:rsidRPr="00834B27">
        <w:rPr>
          <w:rFonts w:ascii="Calibri" w:hAnsi="Calibri" w:cs="Calibri"/>
          <w:lang w:val="ro-RO"/>
        </w:rPr>
        <w:t>ile de arbitraj între diferite tipuri de venituri,</w:t>
      </w:r>
    </w:p>
    <w:p w14:paraId="1D28BA63" w14:textId="57DDF4DB" w:rsidR="008033B1" w:rsidRPr="00834B27" w:rsidRDefault="008033B1" w:rsidP="008033B1">
      <w:pPr>
        <w:tabs>
          <w:tab w:val="left" w:pos="720"/>
        </w:tabs>
        <w:spacing w:line="276" w:lineRule="auto"/>
        <w:jc w:val="both"/>
        <w:rPr>
          <w:rFonts w:ascii="Calibri" w:hAnsi="Calibri" w:cs="Calibri"/>
          <w:lang w:val="ro-RO"/>
        </w:rPr>
      </w:pPr>
      <w:r w:rsidRPr="00834B27">
        <w:rPr>
          <w:rFonts w:ascii="Calibri" w:hAnsi="Calibri" w:cs="Calibri"/>
          <w:lang w:val="ro-RO"/>
        </w:rPr>
        <w:t>Având în vedere că eliminarea posibilită</w:t>
      </w:r>
      <w:r w:rsidR="00D77C4B" w:rsidRPr="00834B27">
        <w:rPr>
          <w:rFonts w:ascii="Calibri" w:hAnsi="Calibri" w:cs="Calibri"/>
          <w:lang w:val="ro-RO"/>
        </w:rPr>
        <w:t>ț</w:t>
      </w:r>
      <w:r w:rsidRPr="00834B27">
        <w:rPr>
          <w:rFonts w:ascii="Calibri" w:hAnsi="Calibri" w:cs="Calibri"/>
          <w:lang w:val="ro-RO"/>
        </w:rPr>
        <w:t>ilor de arbitraj elimină și nevoia controalelor fiscale în scopul încadrării în diverse tipuri de venituri cu SFT mai mică decât SFT pentru veniturile din salarii, ceea ce elimină și costurile de solu</w:t>
      </w:r>
      <w:r w:rsidR="00D77C4B" w:rsidRPr="00834B27">
        <w:rPr>
          <w:rFonts w:ascii="Calibri" w:hAnsi="Calibri" w:cs="Calibri"/>
          <w:lang w:val="ro-RO"/>
        </w:rPr>
        <w:t>ț</w:t>
      </w:r>
      <w:r w:rsidRPr="00834B27">
        <w:rPr>
          <w:rFonts w:ascii="Calibri" w:hAnsi="Calibri" w:cs="Calibri"/>
          <w:lang w:val="ro-RO"/>
        </w:rPr>
        <w:t>ionare a contesta</w:t>
      </w:r>
      <w:r w:rsidR="00D77C4B" w:rsidRPr="00834B27">
        <w:rPr>
          <w:rFonts w:ascii="Calibri" w:hAnsi="Calibri" w:cs="Calibri"/>
          <w:lang w:val="ro-RO"/>
        </w:rPr>
        <w:t>ț</w:t>
      </w:r>
      <w:r w:rsidRPr="00834B27">
        <w:rPr>
          <w:rFonts w:ascii="Calibri" w:hAnsi="Calibri" w:cs="Calibri"/>
          <w:lang w:val="ro-RO"/>
        </w:rPr>
        <w:t>iilor, precum și a litigiilor fiscale,</w:t>
      </w:r>
    </w:p>
    <w:p w14:paraId="3E831A2B" w14:textId="5AFD6521" w:rsidR="008033B1" w:rsidRPr="00834B27" w:rsidRDefault="008033B1" w:rsidP="008033B1">
      <w:pPr>
        <w:tabs>
          <w:tab w:val="left" w:pos="720"/>
        </w:tabs>
        <w:spacing w:line="276" w:lineRule="auto"/>
        <w:jc w:val="both"/>
        <w:rPr>
          <w:rFonts w:ascii="Calibri" w:hAnsi="Calibri" w:cs="Calibri"/>
          <w:lang w:val="ro-RO"/>
        </w:rPr>
      </w:pPr>
      <w:r w:rsidRPr="00834B27">
        <w:rPr>
          <w:rFonts w:ascii="Calibri" w:hAnsi="Calibri" w:cs="Calibri"/>
          <w:lang w:val="ro-RO"/>
        </w:rPr>
        <w:t>Având în vedere și nevoia așezării în mod rezonabil a SFT, într-un mod ușor de în</w:t>
      </w:r>
      <w:r w:rsidR="00D77C4B" w:rsidRPr="00834B27">
        <w:rPr>
          <w:rFonts w:ascii="Calibri" w:hAnsi="Calibri" w:cs="Calibri"/>
          <w:lang w:val="ro-RO"/>
        </w:rPr>
        <w:t>ț</w:t>
      </w:r>
      <w:r w:rsidRPr="00834B27">
        <w:rPr>
          <w:rFonts w:ascii="Calibri" w:hAnsi="Calibri" w:cs="Calibri"/>
          <w:lang w:val="ro-RO"/>
        </w:rPr>
        <w:t xml:space="preserve">eles </w:t>
      </w:r>
      <w:r w:rsidR="0007748A" w:rsidRPr="00834B27">
        <w:rPr>
          <w:rFonts w:ascii="Calibri" w:hAnsi="Calibri" w:cs="Calibri"/>
          <w:lang w:val="ro-RO"/>
        </w:rPr>
        <w:t>ș</w:t>
      </w:r>
      <w:r w:rsidRPr="00834B27">
        <w:rPr>
          <w:rFonts w:ascii="Calibri" w:hAnsi="Calibri" w:cs="Calibri"/>
          <w:lang w:val="ro-RO"/>
        </w:rPr>
        <w:t>i acceptat de către contribuabili,</w:t>
      </w:r>
    </w:p>
    <w:p w14:paraId="468FB1EC" w14:textId="301C0A3C" w:rsidR="008033B1" w:rsidRPr="00834B27" w:rsidRDefault="008033B1" w:rsidP="008033B1">
      <w:pPr>
        <w:tabs>
          <w:tab w:val="left" w:pos="720"/>
        </w:tabs>
        <w:spacing w:line="276" w:lineRule="auto"/>
        <w:jc w:val="both"/>
        <w:rPr>
          <w:rFonts w:ascii="Calibri" w:hAnsi="Calibri" w:cs="Calibri"/>
          <w:lang w:val="ro-RO"/>
        </w:rPr>
      </w:pPr>
      <w:r w:rsidRPr="00834B27">
        <w:rPr>
          <w:rFonts w:ascii="Calibri" w:hAnsi="Calibri" w:cs="Calibri"/>
          <w:lang w:val="ro-RO"/>
        </w:rPr>
        <w:t xml:space="preserve">Având în vedere nevoia de a păstra în </w:t>
      </w:r>
      <w:r w:rsidR="00D77C4B" w:rsidRPr="00834B27">
        <w:rPr>
          <w:rFonts w:ascii="Calibri" w:hAnsi="Calibri" w:cs="Calibri"/>
          <w:lang w:val="ro-RO"/>
        </w:rPr>
        <w:t>ț</w:t>
      </w:r>
      <w:r w:rsidRPr="00834B27">
        <w:rPr>
          <w:rFonts w:ascii="Calibri" w:hAnsi="Calibri" w:cs="Calibri"/>
          <w:lang w:val="ro-RO"/>
        </w:rPr>
        <w:t>ară capitalurile și a impozita corect capitalurile acumulate în companii străine, în special în state cu impozitare redusă sau zero,</w:t>
      </w:r>
    </w:p>
    <w:p w14:paraId="2E3EB95D" w14:textId="20C1B4CF" w:rsidR="008033B1" w:rsidRPr="00834B27" w:rsidRDefault="008033B1" w:rsidP="00792754">
      <w:pPr>
        <w:tabs>
          <w:tab w:val="left" w:pos="720"/>
        </w:tabs>
        <w:spacing w:line="276" w:lineRule="auto"/>
        <w:jc w:val="both"/>
        <w:rPr>
          <w:rFonts w:ascii="Calibri" w:hAnsi="Calibri" w:cs="Calibri"/>
          <w:lang w:val="ro-RO"/>
        </w:rPr>
      </w:pPr>
      <w:r w:rsidRPr="00834B27">
        <w:rPr>
          <w:rFonts w:ascii="Calibri" w:hAnsi="Calibri" w:cs="Calibri"/>
          <w:lang w:val="ro-RO"/>
        </w:rPr>
        <w:lastRenderedPageBreak/>
        <w:t>Având în vedere și nevoia de a crește gradul de conformare,</w:t>
      </w:r>
    </w:p>
    <w:p w14:paraId="4FD72ED9" w14:textId="01803A6A" w:rsidR="00841680" w:rsidRPr="00834B27" w:rsidRDefault="008033B1" w:rsidP="00792754">
      <w:pPr>
        <w:tabs>
          <w:tab w:val="left" w:pos="720"/>
        </w:tabs>
        <w:spacing w:line="276" w:lineRule="auto"/>
        <w:jc w:val="both"/>
        <w:rPr>
          <w:rFonts w:ascii="Calibri" w:hAnsi="Calibri" w:cs="Calibri"/>
          <w:lang w:val="ro-RO"/>
        </w:rPr>
      </w:pPr>
      <w:r w:rsidRPr="00834B27">
        <w:rPr>
          <w:rFonts w:ascii="Calibri" w:hAnsi="Calibri" w:cs="Calibri"/>
          <w:lang w:val="ro-RO"/>
        </w:rPr>
        <w:t>Propunem următorul pachet de reformă a impozitării veniturilor personale:</w:t>
      </w:r>
    </w:p>
    <w:p w14:paraId="7CB86C52" w14:textId="403BD2D5" w:rsidR="00B27811" w:rsidRPr="00834B27" w:rsidRDefault="00B16370" w:rsidP="005752DC">
      <w:pPr>
        <w:pStyle w:val="Listparagraf"/>
        <w:numPr>
          <w:ilvl w:val="0"/>
          <w:numId w:val="38"/>
        </w:numPr>
        <w:tabs>
          <w:tab w:val="left" w:pos="720"/>
        </w:tabs>
        <w:spacing w:line="276" w:lineRule="auto"/>
        <w:ind w:hanging="720"/>
        <w:contextualSpacing w:val="0"/>
        <w:jc w:val="both"/>
        <w:rPr>
          <w:rFonts w:ascii="Calibri" w:hAnsi="Calibri" w:cs="Calibri"/>
          <w:lang w:val="ro-RO"/>
        </w:rPr>
      </w:pPr>
      <w:r w:rsidRPr="00834B27">
        <w:rPr>
          <w:rFonts w:ascii="Calibri" w:hAnsi="Calibri" w:cs="Calibri"/>
          <w:lang w:val="ro-RO"/>
        </w:rPr>
        <w:t>Păstrarea</w:t>
      </w:r>
      <w:r w:rsidR="004E2CAA" w:rsidRPr="00834B27">
        <w:rPr>
          <w:rFonts w:ascii="Calibri" w:hAnsi="Calibri" w:cs="Calibri"/>
          <w:lang w:val="ro-RO"/>
        </w:rPr>
        <w:t xml:space="preserve"> sistemului de impunere cu cot</w:t>
      </w:r>
      <w:r w:rsidR="00792754" w:rsidRPr="00834B27">
        <w:rPr>
          <w:rFonts w:ascii="Calibri" w:hAnsi="Calibri" w:cs="Calibri"/>
          <w:lang w:val="ro-RO"/>
        </w:rPr>
        <w:t>ă</w:t>
      </w:r>
      <w:r w:rsidR="004E2CAA" w:rsidRPr="00834B27">
        <w:rPr>
          <w:rFonts w:ascii="Calibri" w:hAnsi="Calibri" w:cs="Calibri"/>
          <w:lang w:val="ro-RO"/>
        </w:rPr>
        <w:t xml:space="preserve"> unic</w:t>
      </w:r>
      <w:r w:rsidRPr="00834B27">
        <w:rPr>
          <w:rFonts w:ascii="Calibri" w:hAnsi="Calibri" w:cs="Calibri"/>
          <w:lang w:val="ro-RO"/>
        </w:rPr>
        <w:t>ă</w:t>
      </w:r>
      <w:r w:rsidR="004E2CAA" w:rsidRPr="00834B27">
        <w:rPr>
          <w:rFonts w:ascii="Calibri" w:hAnsi="Calibri" w:cs="Calibri"/>
          <w:lang w:val="ro-RO"/>
        </w:rPr>
        <w:t>, dar revenirea la cota unic</w:t>
      </w:r>
      <w:r w:rsidRPr="00834B27">
        <w:rPr>
          <w:rFonts w:ascii="Calibri" w:hAnsi="Calibri" w:cs="Calibri"/>
          <w:lang w:val="ro-RO"/>
        </w:rPr>
        <w:t>ă</w:t>
      </w:r>
      <w:r w:rsidR="004E2CAA" w:rsidRPr="00834B27">
        <w:rPr>
          <w:rFonts w:ascii="Calibri" w:hAnsi="Calibri" w:cs="Calibri"/>
          <w:lang w:val="ro-RO"/>
        </w:rPr>
        <w:t xml:space="preserve"> de impozit de 16%</w:t>
      </w:r>
      <w:r w:rsidR="00B27811" w:rsidRPr="00834B27">
        <w:rPr>
          <w:rFonts w:ascii="Calibri" w:hAnsi="Calibri" w:cs="Calibri"/>
          <w:lang w:val="ro-RO"/>
        </w:rPr>
        <w:t>, pentru toate tipurile de venit</w:t>
      </w:r>
      <w:r w:rsidR="00AC65B4" w:rsidRPr="00834B27">
        <w:rPr>
          <w:rFonts w:ascii="Calibri" w:hAnsi="Calibri" w:cs="Calibri"/>
          <w:lang w:val="ro-RO"/>
        </w:rPr>
        <w:t>,</w:t>
      </w:r>
    </w:p>
    <w:p w14:paraId="30ADFC0D" w14:textId="3ADC5192" w:rsidR="00D36EC6" w:rsidRPr="00834B27" w:rsidRDefault="00B16370" w:rsidP="005752DC">
      <w:pPr>
        <w:pStyle w:val="Listparagraf"/>
        <w:numPr>
          <w:ilvl w:val="0"/>
          <w:numId w:val="38"/>
        </w:numPr>
        <w:tabs>
          <w:tab w:val="left" w:pos="720"/>
        </w:tabs>
        <w:spacing w:line="276" w:lineRule="auto"/>
        <w:ind w:hanging="720"/>
        <w:contextualSpacing w:val="0"/>
        <w:jc w:val="both"/>
        <w:rPr>
          <w:rFonts w:ascii="Calibri" w:hAnsi="Calibri" w:cs="Calibri"/>
          <w:lang w:val="ro-RO"/>
        </w:rPr>
      </w:pPr>
      <w:r w:rsidRPr="00834B27">
        <w:rPr>
          <w:rFonts w:ascii="Calibri" w:hAnsi="Calibri" w:cs="Calibri"/>
          <w:lang w:val="ro-RO"/>
        </w:rPr>
        <w:t>Păstrarea</w:t>
      </w:r>
      <w:r w:rsidR="002A1FD2" w:rsidRPr="00834B27">
        <w:rPr>
          <w:rFonts w:ascii="Calibri" w:hAnsi="Calibri" w:cs="Calibri"/>
          <w:lang w:val="ro-RO"/>
        </w:rPr>
        <w:t xml:space="preserve"> actualul sistem de </w:t>
      </w:r>
      <w:r w:rsidR="00CA280D" w:rsidRPr="00834B27">
        <w:rPr>
          <w:rFonts w:ascii="Calibri" w:hAnsi="Calibri" w:cs="Calibri"/>
          <w:lang w:val="ro-RO"/>
        </w:rPr>
        <w:t xml:space="preserve">DP pentru veniturile din salarii </w:t>
      </w:r>
      <w:r w:rsidRPr="00834B27">
        <w:rPr>
          <w:rFonts w:ascii="Calibri" w:hAnsi="Calibri" w:cs="Calibri"/>
          <w:lang w:val="ro-RO"/>
        </w:rPr>
        <w:t>ș</w:t>
      </w:r>
      <w:r w:rsidR="00CA280D" w:rsidRPr="00834B27">
        <w:rPr>
          <w:rFonts w:ascii="Calibri" w:hAnsi="Calibri" w:cs="Calibri"/>
          <w:lang w:val="ro-RO"/>
        </w:rPr>
        <w:t xml:space="preserve">i introducerea </w:t>
      </w:r>
      <w:r w:rsidRPr="00834B27">
        <w:rPr>
          <w:rFonts w:ascii="Calibri" w:hAnsi="Calibri" w:cs="Calibri"/>
          <w:lang w:val="ro-RO"/>
        </w:rPr>
        <w:t>aceluiași</w:t>
      </w:r>
      <w:r w:rsidR="00CA280D" w:rsidRPr="00834B27">
        <w:rPr>
          <w:rFonts w:ascii="Calibri" w:hAnsi="Calibri" w:cs="Calibri"/>
          <w:lang w:val="ro-RO"/>
        </w:rPr>
        <w:t xml:space="preserve"> sistem</w:t>
      </w:r>
      <w:r w:rsidR="002C016C" w:rsidRPr="00834B27">
        <w:rPr>
          <w:rFonts w:ascii="Calibri" w:hAnsi="Calibri" w:cs="Calibri"/>
          <w:lang w:val="ro-RO"/>
        </w:rPr>
        <w:t xml:space="preserve"> de DP </w:t>
      </w:r>
      <w:r w:rsidRPr="00834B27">
        <w:rPr>
          <w:rFonts w:ascii="Calibri" w:hAnsi="Calibri" w:cs="Calibri"/>
          <w:lang w:val="ro-RO"/>
        </w:rPr>
        <w:t>ș</w:t>
      </w:r>
      <w:r w:rsidR="002C016C" w:rsidRPr="00834B27">
        <w:rPr>
          <w:rFonts w:ascii="Calibri" w:hAnsi="Calibri" w:cs="Calibri"/>
          <w:lang w:val="ro-RO"/>
        </w:rPr>
        <w:t>i pentru veniturile din pensii, dar la nivelul maxim</w:t>
      </w:r>
      <w:r w:rsidR="00D84F83" w:rsidRPr="00834B27">
        <w:rPr>
          <w:rFonts w:ascii="Calibri" w:hAnsi="Calibri" w:cs="Calibri"/>
          <w:lang w:val="ro-RO"/>
        </w:rPr>
        <w:t xml:space="preserve"> al DP</w:t>
      </w:r>
      <w:r w:rsidR="00E77D9B" w:rsidRPr="00834B27">
        <w:rPr>
          <w:rFonts w:ascii="Calibri" w:hAnsi="Calibri" w:cs="Calibri"/>
          <w:lang w:val="ro-RO"/>
        </w:rPr>
        <w:t xml:space="preserve"> pentru a reduce impactul asupra pensiilor mici </w:t>
      </w:r>
      <w:r w:rsidRPr="00834B27">
        <w:rPr>
          <w:rFonts w:ascii="Calibri" w:hAnsi="Calibri" w:cs="Calibri"/>
          <w:lang w:val="ro-RO"/>
        </w:rPr>
        <w:t>ș</w:t>
      </w:r>
      <w:r w:rsidR="00E77D9B" w:rsidRPr="00834B27">
        <w:rPr>
          <w:rFonts w:ascii="Calibri" w:hAnsi="Calibri" w:cs="Calibri"/>
          <w:lang w:val="ro-RO"/>
        </w:rPr>
        <w:t>i foarte mici</w:t>
      </w:r>
      <w:r w:rsidR="00D84F83" w:rsidRPr="00834B27">
        <w:rPr>
          <w:rFonts w:ascii="Calibri" w:hAnsi="Calibri" w:cs="Calibri"/>
          <w:lang w:val="ro-RO"/>
        </w:rPr>
        <w:t>,</w:t>
      </w:r>
    </w:p>
    <w:p w14:paraId="2D77C621" w14:textId="1C78D584" w:rsidR="006108B0" w:rsidRPr="00834B27" w:rsidRDefault="00DB40A2" w:rsidP="005752DC">
      <w:pPr>
        <w:pStyle w:val="Listparagraf"/>
        <w:numPr>
          <w:ilvl w:val="0"/>
          <w:numId w:val="38"/>
        </w:numPr>
        <w:tabs>
          <w:tab w:val="left" w:pos="720"/>
        </w:tabs>
        <w:spacing w:line="276" w:lineRule="auto"/>
        <w:ind w:hanging="720"/>
        <w:contextualSpacing w:val="0"/>
        <w:jc w:val="both"/>
        <w:rPr>
          <w:rFonts w:ascii="Calibri" w:hAnsi="Calibri" w:cs="Calibri"/>
          <w:lang w:val="ro-RO"/>
        </w:rPr>
      </w:pPr>
      <w:r w:rsidRPr="00834B27">
        <w:rPr>
          <w:rFonts w:ascii="Calibri" w:hAnsi="Calibri" w:cs="Calibri"/>
          <w:lang w:val="ro-RO"/>
        </w:rPr>
        <w:t>Plafonarea bazei de calcul al CAS</w:t>
      </w:r>
      <w:r w:rsidR="002177EA" w:rsidRPr="00834B27">
        <w:rPr>
          <w:rFonts w:ascii="Calibri" w:hAnsi="Calibri" w:cs="Calibri"/>
          <w:lang w:val="ro-RO"/>
        </w:rPr>
        <w:t xml:space="preserve"> la 6 SM/lun</w:t>
      </w:r>
      <w:r w:rsidR="00792754" w:rsidRPr="00834B27">
        <w:rPr>
          <w:rFonts w:ascii="Calibri" w:hAnsi="Calibri" w:cs="Calibri"/>
          <w:lang w:val="ro-RO"/>
        </w:rPr>
        <w:t>ă</w:t>
      </w:r>
      <w:r w:rsidR="002177EA" w:rsidRPr="00834B27">
        <w:rPr>
          <w:rFonts w:ascii="Calibri" w:hAnsi="Calibri" w:cs="Calibri"/>
          <w:lang w:val="ro-RO"/>
        </w:rPr>
        <w:t xml:space="preserve"> (72 SM/an), pe suma veniturilor din munc</w:t>
      </w:r>
      <w:r w:rsidR="00B16370" w:rsidRPr="00834B27">
        <w:rPr>
          <w:rFonts w:ascii="Calibri" w:hAnsi="Calibri" w:cs="Calibri"/>
          <w:lang w:val="ro-RO"/>
        </w:rPr>
        <w:t>ă</w:t>
      </w:r>
      <w:r w:rsidR="002177EA" w:rsidRPr="00834B27">
        <w:rPr>
          <w:rFonts w:ascii="Calibri" w:hAnsi="Calibri" w:cs="Calibri"/>
          <w:lang w:val="ro-RO"/>
        </w:rPr>
        <w:t xml:space="preserve"> (venituri din salarii </w:t>
      </w:r>
      <w:r w:rsidR="00B16370" w:rsidRPr="00834B27">
        <w:rPr>
          <w:rFonts w:ascii="Calibri" w:hAnsi="Calibri" w:cs="Calibri"/>
          <w:lang w:val="ro-RO"/>
        </w:rPr>
        <w:t>ș</w:t>
      </w:r>
      <w:r w:rsidR="002177EA" w:rsidRPr="00834B27">
        <w:rPr>
          <w:rFonts w:ascii="Calibri" w:hAnsi="Calibri" w:cs="Calibri"/>
          <w:lang w:val="ro-RO"/>
        </w:rPr>
        <w:t xml:space="preserve">i asimilate salariilor, venituri din </w:t>
      </w:r>
      <w:r w:rsidR="00B16370" w:rsidRPr="00834B27">
        <w:rPr>
          <w:rFonts w:ascii="Calibri" w:hAnsi="Calibri" w:cs="Calibri"/>
          <w:lang w:val="ro-RO"/>
        </w:rPr>
        <w:t>activită</w:t>
      </w:r>
      <w:r w:rsidR="00D77C4B" w:rsidRPr="00834B27">
        <w:rPr>
          <w:rFonts w:ascii="Calibri" w:hAnsi="Calibri" w:cs="Calibri"/>
          <w:lang w:val="ro-RO"/>
        </w:rPr>
        <w:t>ț</w:t>
      </w:r>
      <w:r w:rsidR="00B16370" w:rsidRPr="00834B27">
        <w:rPr>
          <w:rFonts w:ascii="Calibri" w:hAnsi="Calibri" w:cs="Calibri"/>
          <w:lang w:val="ro-RO"/>
        </w:rPr>
        <w:t>i</w:t>
      </w:r>
      <w:r w:rsidR="002177EA" w:rsidRPr="00834B27">
        <w:rPr>
          <w:rFonts w:ascii="Calibri" w:hAnsi="Calibri" w:cs="Calibri"/>
          <w:lang w:val="ro-RO"/>
        </w:rPr>
        <w:t xml:space="preserve"> independe</w:t>
      </w:r>
      <w:r w:rsidR="004F1EAE" w:rsidRPr="00834B27">
        <w:rPr>
          <w:rFonts w:ascii="Calibri" w:hAnsi="Calibri" w:cs="Calibri"/>
          <w:lang w:val="ro-RO"/>
        </w:rPr>
        <w:t xml:space="preserve">nte, </w:t>
      </w:r>
      <w:r w:rsidR="00A12612" w:rsidRPr="00834B27">
        <w:rPr>
          <w:rFonts w:ascii="Calibri" w:hAnsi="Calibri" w:cs="Calibri"/>
          <w:lang w:val="ro-RO"/>
        </w:rPr>
        <w:t>venituri din cedarea drepturilor de proprietate inte</w:t>
      </w:r>
      <w:r w:rsidR="00AC65B4" w:rsidRPr="00834B27">
        <w:rPr>
          <w:rFonts w:ascii="Calibri" w:hAnsi="Calibri" w:cs="Calibri"/>
          <w:lang w:val="ro-RO"/>
        </w:rPr>
        <w:t>lectual</w:t>
      </w:r>
      <w:r w:rsidR="00B16370" w:rsidRPr="00834B27">
        <w:rPr>
          <w:rFonts w:ascii="Calibri" w:hAnsi="Calibri" w:cs="Calibri"/>
          <w:lang w:val="ro-RO"/>
        </w:rPr>
        <w:t>ă</w:t>
      </w:r>
      <w:r w:rsidR="00AC65B4" w:rsidRPr="00834B27">
        <w:rPr>
          <w:rFonts w:ascii="Calibri" w:hAnsi="Calibri" w:cs="Calibri"/>
          <w:lang w:val="ro-RO"/>
        </w:rPr>
        <w:t>, veniturile din contracte sportive),</w:t>
      </w:r>
    </w:p>
    <w:p w14:paraId="42F20D3E" w14:textId="2E01B565" w:rsidR="00ED2B7E" w:rsidRPr="00834B27" w:rsidRDefault="00ED2B7E" w:rsidP="005752DC">
      <w:pPr>
        <w:pStyle w:val="Listparagraf"/>
        <w:numPr>
          <w:ilvl w:val="0"/>
          <w:numId w:val="38"/>
        </w:numPr>
        <w:tabs>
          <w:tab w:val="left" w:pos="720"/>
        </w:tabs>
        <w:spacing w:line="276" w:lineRule="auto"/>
        <w:ind w:hanging="720"/>
        <w:contextualSpacing w:val="0"/>
        <w:jc w:val="both"/>
        <w:rPr>
          <w:rFonts w:ascii="Calibri" w:hAnsi="Calibri" w:cs="Calibri"/>
          <w:lang w:val="ro-RO"/>
        </w:rPr>
      </w:pPr>
      <w:r w:rsidRPr="00834B27">
        <w:rPr>
          <w:rFonts w:ascii="Calibri" w:hAnsi="Calibri" w:cs="Calibri"/>
          <w:lang w:val="ro-RO"/>
        </w:rPr>
        <w:t>Pentru veniturile de natur</w:t>
      </w:r>
      <w:r w:rsidR="00B16370" w:rsidRPr="00834B27">
        <w:rPr>
          <w:rFonts w:ascii="Calibri" w:hAnsi="Calibri" w:cs="Calibri"/>
          <w:lang w:val="ro-RO"/>
        </w:rPr>
        <w:t>ă</w:t>
      </w:r>
      <w:r w:rsidRPr="00834B27">
        <w:rPr>
          <w:rFonts w:ascii="Calibri" w:hAnsi="Calibri" w:cs="Calibri"/>
          <w:lang w:val="ro-RO"/>
        </w:rPr>
        <w:t xml:space="preserve"> salarial</w:t>
      </w:r>
      <w:r w:rsidR="00B16370" w:rsidRPr="00834B27">
        <w:rPr>
          <w:rFonts w:ascii="Calibri" w:hAnsi="Calibri" w:cs="Calibri"/>
          <w:lang w:val="ro-RO"/>
        </w:rPr>
        <w:t>ă</w:t>
      </w:r>
      <w:r w:rsidR="00E77D9B" w:rsidRPr="00834B27">
        <w:rPr>
          <w:rFonts w:ascii="Calibri" w:hAnsi="Calibri" w:cs="Calibri"/>
          <w:lang w:val="ro-RO"/>
        </w:rPr>
        <w:t xml:space="preserve"> </w:t>
      </w:r>
      <w:r w:rsidR="00B16370" w:rsidRPr="00834B27">
        <w:rPr>
          <w:rFonts w:ascii="Calibri" w:hAnsi="Calibri" w:cs="Calibri"/>
          <w:lang w:val="ro-RO"/>
        </w:rPr>
        <w:t>ș</w:t>
      </w:r>
      <w:r w:rsidR="00E77D9B" w:rsidRPr="00834B27">
        <w:rPr>
          <w:rFonts w:ascii="Calibri" w:hAnsi="Calibri" w:cs="Calibri"/>
          <w:lang w:val="ro-RO"/>
        </w:rPr>
        <w:t xml:space="preserve">i pensii, DP </w:t>
      </w:r>
      <w:r w:rsidR="00B16370" w:rsidRPr="00834B27">
        <w:rPr>
          <w:rFonts w:ascii="Calibri" w:hAnsi="Calibri" w:cs="Calibri"/>
          <w:lang w:val="ro-RO"/>
        </w:rPr>
        <w:t>scăzută</w:t>
      </w:r>
      <w:r w:rsidR="00E77D9B" w:rsidRPr="00834B27">
        <w:rPr>
          <w:rFonts w:ascii="Calibri" w:hAnsi="Calibri" w:cs="Calibri"/>
          <w:lang w:val="ro-RO"/>
        </w:rPr>
        <w:t xml:space="preserve"> </w:t>
      </w:r>
      <w:r w:rsidR="00B16370" w:rsidRPr="00834B27">
        <w:rPr>
          <w:rFonts w:ascii="Calibri" w:hAnsi="Calibri" w:cs="Calibri"/>
          <w:lang w:val="ro-RO"/>
        </w:rPr>
        <w:t>ș</w:t>
      </w:r>
      <w:r w:rsidR="00E77D9B" w:rsidRPr="00834B27">
        <w:rPr>
          <w:rFonts w:ascii="Calibri" w:hAnsi="Calibri" w:cs="Calibri"/>
          <w:lang w:val="ro-RO"/>
        </w:rPr>
        <w:t>i din baza de calcul al CASS, nu numai a impozitului pe venit,</w:t>
      </w:r>
    </w:p>
    <w:p w14:paraId="129306C7" w14:textId="2F579943" w:rsidR="006108B0" w:rsidRPr="00834B27" w:rsidRDefault="006108B0" w:rsidP="005752DC">
      <w:pPr>
        <w:pStyle w:val="Listparagraf"/>
        <w:numPr>
          <w:ilvl w:val="0"/>
          <w:numId w:val="38"/>
        </w:numPr>
        <w:tabs>
          <w:tab w:val="left" w:pos="720"/>
        </w:tabs>
        <w:spacing w:line="276" w:lineRule="auto"/>
        <w:ind w:hanging="720"/>
        <w:contextualSpacing w:val="0"/>
        <w:jc w:val="both"/>
        <w:rPr>
          <w:rFonts w:ascii="Calibri" w:hAnsi="Calibri" w:cs="Calibri"/>
          <w:lang w:val="ro-RO"/>
        </w:rPr>
      </w:pPr>
      <w:r w:rsidRPr="00834B27">
        <w:rPr>
          <w:rFonts w:ascii="Calibri" w:hAnsi="Calibri" w:cs="Calibri"/>
          <w:lang w:val="ro-RO"/>
        </w:rPr>
        <w:t>Cota individual</w:t>
      </w:r>
      <w:r w:rsidR="00B16370" w:rsidRPr="00834B27">
        <w:rPr>
          <w:rFonts w:ascii="Calibri" w:hAnsi="Calibri" w:cs="Calibri"/>
          <w:lang w:val="ro-RO"/>
        </w:rPr>
        <w:t>ă</w:t>
      </w:r>
      <w:r w:rsidRPr="00834B27">
        <w:rPr>
          <w:rFonts w:ascii="Calibri" w:hAnsi="Calibri" w:cs="Calibri"/>
          <w:lang w:val="ro-RO"/>
        </w:rPr>
        <w:t xml:space="preserve"> de CAS stabilit</w:t>
      </w:r>
      <w:r w:rsidR="00B16370" w:rsidRPr="00834B27">
        <w:rPr>
          <w:rFonts w:ascii="Calibri" w:hAnsi="Calibri" w:cs="Calibri"/>
          <w:lang w:val="ro-RO"/>
        </w:rPr>
        <w:t>ă</w:t>
      </w:r>
      <w:r w:rsidRPr="00834B27">
        <w:rPr>
          <w:rFonts w:ascii="Calibri" w:hAnsi="Calibri" w:cs="Calibri"/>
          <w:lang w:val="ro-RO"/>
        </w:rPr>
        <w:t xml:space="preserve"> la 21,</w:t>
      </w:r>
      <w:r w:rsidR="00EF487E" w:rsidRPr="00834B27">
        <w:rPr>
          <w:rFonts w:ascii="Calibri" w:hAnsi="Calibri" w:cs="Calibri"/>
          <w:lang w:val="ro-RO"/>
        </w:rPr>
        <w:t>7</w:t>
      </w:r>
      <w:r w:rsidRPr="00834B27">
        <w:rPr>
          <w:rFonts w:ascii="Calibri" w:hAnsi="Calibri" w:cs="Calibri"/>
          <w:lang w:val="ro-RO"/>
        </w:rPr>
        <w:t>%</w:t>
      </w:r>
      <w:r w:rsidR="0011780C" w:rsidRPr="00834B27">
        <w:rPr>
          <w:rFonts w:ascii="Calibri" w:hAnsi="Calibri" w:cs="Calibri"/>
          <w:lang w:val="ro-RO"/>
        </w:rPr>
        <w:t xml:space="preserve"> iar cea de CASS la 8,8%</w:t>
      </w:r>
      <w:r w:rsidR="00F12A73" w:rsidRPr="00834B27">
        <w:rPr>
          <w:rFonts w:ascii="Calibri" w:hAnsi="Calibri" w:cs="Calibri"/>
          <w:lang w:val="ro-RO"/>
        </w:rPr>
        <w:t>,</w:t>
      </w:r>
    </w:p>
    <w:p w14:paraId="35C00337" w14:textId="0AC7862C" w:rsidR="004B0D63" w:rsidRPr="00834B27" w:rsidRDefault="00FF75C1" w:rsidP="005752DC">
      <w:pPr>
        <w:pStyle w:val="Listparagraf"/>
        <w:numPr>
          <w:ilvl w:val="0"/>
          <w:numId w:val="38"/>
        </w:numPr>
        <w:tabs>
          <w:tab w:val="left" w:pos="720"/>
        </w:tabs>
        <w:spacing w:line="276" w:lineRule="auto"/>
        <w:ind w:hanging="720"/>
        <w:contextualSpacing w:val="0"/>
        <w:jc w:val="both"/>
        <w:rPr>
          <w:rFonts w:ascii="Calibri" w:hAnsi="Calibri" w:cs="Calibri"/>
          <w:lang w:val="ro-RO"/>
        </w:rPr>
      </w:pPr>
      <w:r w:rsidRPr="00834B27">
        <w:rPr>
          <w:rFonts w:ascii="Calibri" w:hAnsi="Calibri" w:cs="Calibri"/>
          <w:lang w:val="ro-RO"/>
        </w:rPr>
        <w:t xml:space="preserve">Calcularea contribuției la Pilonul II pe venitul brut integral, fără plafon, deoarece aceasta alimentează conturi individuale private și nu generează obligații pentru bugetul public </w:t>
      </w:r>
      <w:r w:rsidR="00C268E7" w:rsidRPr="00834B27">
        <w:rPr>
          <w:rFonts w:ascii="Calibri" w:hAnsi="Calibri" w:cs="Calibri"/>
          <w:lang w:val="ro-RO"/>
        </w:rPr>
        <w:t>,</w:t>
      </w:r>
    </w:p>
    <w:p w14:paraId="5D1E007F" w14:textId="4E6D0076" w:rsidR="00AC65B4" w:rsidRPr="00834B27" w:rsidRDefault="00AC65B4" w:rsidP="005752DC">
      <w:pPr>
        <w:pStyle w:val="Listparagraf"/>
        <w:numPr>
          <w:ilvl w:val="0"/>
          <w:numId w:val="38"/>
        </w:numPr>
        <w:tabs>
          <w:tab w:val="left" w:pos="720"/>
        </w:tabs>
        <w:spacing w:line="276" w:lineRule="auto"/>
        <w:ind w:hanging="720"/>
        <w:contextualSpacing w:val="0"/>
        <w:jc w:val="both"/>
        <w:rPr>
          <w:rFonts w:ascii="Calibri" w:hAnsi="Calibri" w:cs="Calibri"/>
          <w:lang w:val="ro-RO"/>
        </w:rPr>
      </w:pPr>
      <w:r w:rsidRPr="00834B27">
        <w:rPr>
          <w:rFonts w:ascii="Calibri" w:hAnsi="Calibri" w:cs="Calibri"/>
          <w:lang w:val="ro-RO"/>
        </w:rPr>
        <w:t xml:space="preserve">Plafonarea bazei de calcul al CASS </w:t>
      </w:r>
      <w:r w:rsidR="00987888" w:rsidRPr="00834B27">
        <w:rPr>
          <w:rFonts w:ascii="Calibri" w:hAnsi="Calibri" w:cs="Calibri"/>
          <w:lang w:val="ro-RO"/>
        </w:rPr>
        <w:t>la 6 SM/lun</w:t>
      </w:r>
      <w:r w:rsidR="00B16370" w:rsidRPr="00834B27">
        <w:rPr>
          <w:rFonts w:ascii="Calibri" w:hAnsi="Calibri" w:cs="Calibri"/>
          <w:lang w:val="ro-RO"/>
        </w:rPr>
        <w:t>ă</w:t>
      </w:r>
      <w:r w:rsidR="00987888" w:rsidRPr="00834B27">
        <w:rPr>
          <w:rFonts w:ascii="Calibri" w:hAnsi="Calibri" w:cs="Calibri"/>
          <w:lang w:val="ro-RO"/>
        </w:rPr>
        <w:t xml:space="preserve"> (72</w:t>
      </w:r>
      <w:r w:rsidR="00D36EC6" w:rsidRPr="00834B27">
        <w:rPr>
          <w:rFonts w:ascii="Calibri" w:hAnsi="Calibri" w:cs="Calibri"/>
          <w:lang w:val="ro-RO"/>
        </w:rPr>
        <w:t xml:space="preserve"> SM/an)</w:t>
      </w:r>
      <w:r w:rsidR="00D34BC0" w:rsidRPr="00834B27">
        <w:rPr>
          <w:rFonts w:ascii="Calibri" w:hAnsi="Calibri" w:cs="Calibri"/>
          <w:lang w:val="ro-RO"/>
        </w:rPr>
        <w:t>, pe suma tuturor veniturilor, inclusiv din pensii</w:t>
      </w:r>
      <w:r w:rsidR="00561D19" w:rsidRPr="00834B27">
        <w:rPr>
          <w:rFonts w:ascii="Calibri" w:hAnsi="Calibri" w:cs="Calibri"/>
          <w:lang w:val="ro-RO"/>
        </w:rPr>
        <w:t>,</w:t>
      </w:r>
    </w:p>
    <w:p w14:paraId="289D4E20" w14:textId="08AB68F3" w:rsidR="00E77D9B" w:rsidRPr="00834B27" w:rsidRDefault="00B16370" w:rsidP="005752DC">
      <w:pPr>
        <w:pStyle w:val="Listparagraf"/>
        <w:numPr>
          <w:ilvl w:val="0"/>
          <w:numId w:val="38"/>
        </w:numPr>
        <w:tabs>
          <w:tab w:val="left" w:pos="720"/>
        </w:tabs>
        <w:spacing w:line="276" w:lineRule="auto"/>
        <w:ind w:hanging="720"/>
        <w:contextualSpacing w:val="0"/>
        <w:jc w:val="both"/>
        <w:rPr>
          <w:rFonts w:ascii="Calibri" w:hAnsi="Calibri" w:cs="Calibri"/>
          <w:lang w:val="ro-RO"/>
        </w:rPr>
      </w:pPr>
      <w:r w:rsidRPr="00834B27">
        <w:rPr>
          <w:rFonts w:ascii="Calibri" w:hAnsi="Calibri" w:cs="Calibri"/>
          <w:lang w:val="ro-RO"/>
        </w:rPr>
        <w:t>Scăderea</w:t>
      </w:r>
      <w:r w:rsidR="00E77D9B" w:rsidRPr="00834B27">
        <w:rPr>
          <w:rFonts w:ascii="Calibri" w:hAnsi="Calibri" w:cs="Calibri"/>
          <w:lang w:val="ro-RO"/>
        </w:rPr>
        <w:t xml:space="preserve"> CASS din baza de calcul al IV, pentru toate veniturile,</w:t>
      </w:r>
    </w:p>
    <w:p w14:paraId="1FA8EE23" w14:textId="5C1337BB" w:rsidR="00561D19" w:rsidRPr="00834B27" w:rsidRDefault="00534F1A" w:rsidP="005752DC">
      <w:pPr>
        <w:pStyle w:val="Listparagraf"/>
        <w:numPr>
          <w:ilvl w:val="0"/>
          <w:numId w:val="38"/>
        </w:numPr>
        <w:tabs>
          <w:tab w:val="left" w:pos="720"/>
        </w:tabs>
        <w:spacing w:line="276" w:lineRule="auto"/>
        <w:ind w:hanging="720"/>
        <w:contextualSpacing w:val="0"/>
        <w:jc w:val="both"/>
        <w:rPr>
          <w:rFonts w:ascii="Calibri" w:hAnsi="Calibri" w:cs="Calibri"/>
          <w:lang w:val="ro-RO"/>
        </w:rPr>
      </w:pPr>
      <w:r w:rsidRPr="00834B27">
        <w:rPr>
          <w:rFonts w:ascii="Calibri" w:hAnsi="Calibri" w:cs="Calibri"/>
          <w:lang w:val="ro-RO"/>
        </w:rPr>
        <w:t>Eliminarea dublei impuneri a veniturilor din dividende</w:t>
      </w:r>
      <w:r w:rsidR="00124AFD" w:rsidRPr="00834B27">
        <w:rPr>
          <w:rFonts w:ascii="Calibri" w:hAnsi="Calibri" w:cs="Calibri"/>
          <w:lang w:val="ro-RO"/>
        </w:rPr>
        <w:t xml:space="preserve">, </w:t>
      </w:r>
      <w:r w:rsidR="00B16370" w:rsidRPr="00834B27">
        <w:rPr>
          <w:rFonts w:ascii="Calibri" w:hAnsi="Calibri" w:cs="Calibri"/>
          <w:lang w:val="ro-RO"/>
        </w:rPr>
        <w:t>luând</w:t>
      </w:r>
      <w:r w:rsidR="00387CA5" w:rsidRPr="00834B27">
        <w:rPr>
          <w:rFonts w:ascii="Calibri" w:hAnsi="Calibri" w:cs="Calibri"/>
          <w:lang w:val="ro-RO"/>
        </w:rPr>
        <w:t xml:space="preserve"> </w:t>
      </w:r>
      <w:r w:rsidR="00B16370" w:rsidRPr="00834B27">
        <w:rPr>
          <w:rFonts w:ascii="Calibri" w:hAnsi="Calibri" w:cs="Calibri"/>
          <w:lang w:val="ro-RO"/>
        </w:rPr>
        <w:t>î</w:t>
      </w:r>
      <w:r w:rsidR="00387CA5" w:rsidRPr="00834B27">
        <w:rPr>
          <w:rFonts w:ascii="Calibri" w:hAnsi="Calibri" w:cs="Calibri"/>
          <w:lang w:val="ro-RO"/>
        </w:rPr>
        <w:t xml:space="preserve">n considerare </w:t>
      </w:r>
      <w:r w:rsidR="00B16370" w:rsidRPr="00834B27">
        <w:rPr>
          <w:rFonts w:ascii="Calibri" w:hAnsi="Calibri" w:cs="Calibri"/>
          <w:lang w:val="ro-RO"/>
        </w:rPr>
        <w:t>ș</w:t>
      </w:r>
      <w:r w:rsidR="00387CA5" w:rsidRPr="00834B27">
        <w:rPr>
          <w:rFonts w:ascii="Calibri" w:hAnsi="Calibri" w:cs="Calibri"/>
          <w:lang w:val="ro-RO"/>
        </w:rPr>
        <w:t>i impozitul pe profit pl</w:t>
      </w:r>
      <w:r w:rsidR="00B16370" w:rsidRPr="00834B27">
        <w:rPr>
          <w:rFonts w:ascii="Calibri" w:hAnsi="Calibri" w:cs="Calibri"/>
          <w:lang w:val="ro-RO"/>
        </w:rPr>
        <w:t>ă</w:t>
      </w:r>
      <w:r w:rsidR="00387CA5" w:rsidRPr="00834B27">
        <w:rPr>
          <w:rFonts w:ascii="Calibri" w:hAnsi="Calibri" w:cs="Calibri"/>
          <w:lang w:val="ro-RO"/>
        </w:rPr>
        <w:t xml:space="preserve">tit de compania </w:t>
      </w:r>
      <w:r w:rsidR="00022D5B" w:rsidRPr="00834B27">
        <w:rPr>
          <w:rFonts w:ascii="Calibri" w:hAnsi="Calibri" w:cs="Calibri"/>
          <w:lang w:val="ro-RO"/>
        </w:rPr>
        <w:t xml:space="preserve">care distribuie dividendul, astfel </w:t>
      </w:r>
      <w:r w:rsidR="00B16370" w:rsidRPr="00834B27">
        <w:rPr>
          <w:rFonts w:ascii="Calibri" w:hAnsi="Calibri" w:cs="Calibri"/>
          <w:lang w:val="ro-RO"/>
        </w:rPr>
        <w:t>încât</w:t>
      </w:r>
      <w:r w:rsidR="00022D5B" w:rsidRPr="00834B27">
        <w:rPr>
          <w:rFonts w:ascii="Calibri" w:hAnsi="Calibri" w:cs="Calibri"/>
          <w:lang w:val="ro-RO"/>
        </w:rPr>
        <w:t xml:space="preserve"> impozitul pe profit + impozitul pe dividende s</w:t>
      </w:r>
      <w:r w:rsidR="00B16370" w:rsidRPr="00834B27">
        <w:rPr>
          <w:rFonts w:ascii="Calibri" w:hAnsi="Calibri" w:cs="Calibri"/>
          <w:lang w:val="ro-RO"/>
        </w:rPr>
        <w:t>ă</w:t>
      </w:r>
      <w:r w:rsidR="00022D5B" w:rsidRPr="00834B27">
        <w:rPr>
          <w:rFonts w:ascii="Calibri" w:hAnsi="Calibri" w:cs="Calibri"/>
          <w:lang w:val="ro-RO"/>
        </w:rPr>
        <w:t xml:space="preserve"> fie egal cu 1</w:t>
      </w:r>
      <w:r w:rsidR="00680313" w:rsidRPr="00834B27">
        <w:rPr>
          <w:rFonts w:ascii="Calibri" w:hAnsi="Calibri" w:cs="Calibri"/>
          <w:lang w:val="ro-RO"/>
        </w:rPr>
        <w:t>6%,</w:t>
      </w:r>
    </w:p>
    <w:p w14:paraId="6A45E366" w14:textId="2C960F6B" w:rsidR="00614DB6" w:rsidRPr="00834B27" w:rsidRDefault="00614DB6" w:rsidP="005752DC">
      <w:pPr>
        <w:pStyle w:val="Listparagraf"/>
        <w:numPr>
          <w:ilvl w:val="0"/>
          <w:numId w:val="38"/>
        </w:numPr>
        <w:tabs>
          <w:tab w:val="left" w:pos="720"/>
        </w:tabs>
        <w:spacing w:line="276" w:lineRule="auto"/>
        <w:ind w:hanging="720"/>
        <w:contextualSpacing w:val="0"/>
        <w:jc w:val="both"/>
        <w:rPr>
          <w:rFonts w:ascii="Calibri" w:hAnsi="Calibri" w:cs="Calibri"/>
          <w:lang w:val="ro-RO"/>
        </w:rPr>
      </w:pPr>
      <w:r w:rsidRPr="00834B27">
        <w:rPr>
          <w:rFonts w:ascii="Calibri" w:hAnsi="Calibri" w:cs="Calibri"/>
          <w:lang w:val="ro-RO"/>
        </w:rPr>
        <w:t xml:space="preserve">Eliminarea </w:t>
      </w:r>
      <w:r w:rsidR="006A3C1A" w:rsidRPr="00834B27">
        <w:rPr>
          <w:rFonts w:ascii="Calibri" w:hAnsi="Calibri" w:cs="Calibri"/>
          <w:lang w:val="ro-RO"/>
        </w:rPr>
        <w:t>impozitului pe venitul obținut din transferul bunurilor imobile din patrimoniul personal și înlocuirea cu impozit pe câștigul din transferul unor astfel de bunuri,</w:t>
      </w:r>
    </w:p>
    <w:p w14:paraId="02574CBB" w14:textId="42D37F11" w:rsidR="00680313" w:rsidRPr="00834B27" w:rsidRDefault="00680313" w:rsidP="005752DC">
      <w:pPr>
        <w:pStyle w:val="Listparagraf"/>
        <w:numPr>
          <w:ilvl w:val="0"/>
          <w:numId w:val="38"/>
        </w:numPr>
        <w:tabs>
          <w:tab w:val="left" w:pos="720"/>
        </w:tabs>
        <w:spacing w:line="276" w:lineRule="auto"/>
        <w:ind w:hanging="720"/>
        <w:contextualSpacing w:val="0"/>
        <w:jc w:val="both"/>
        <w:rPr>
          <w:rFonts w:ascii="Calibri" w:hAnsi="Calibri" w:cs="Calibri"/>
          <w:lang w:val="ro-RO"/>
        </w:rPr>
      </w:pPr>
      <w:r w:rsidRPr="00834B27">
        <w:rPr>
          <w:rFonts w:ascii="Calibri" w:hAnsi="Calibri" w:cs="Calibri"/>
          <w:lang w:val="ro-RO"/>
        </w:rPr>
        <w:t xml:space="preserve">Transparentizarea </w:t>
      </w:r>
      <w:r w:rsidR="00B16370" w:rsidRPr="00834B27">
        <w:rPr>
          <w:rFonts w:ascii="Calibri" w:hAnsi="Calibri" w:cs="Calibri"/>
          <w:lang w:val="ro-RO"/>
        </w:rPr>
        <w:t>î</w:t>
      </w:r>
      <w:r w:rsidRPr="00834B27">
        <w:rPr>
          <w:rFonts w:ascii="Calibri" w:hAnsi="Calibri" w:cs="Calibri"/>
          <w:lang w:val="ro-RO"/>
        </w:rPr>
        <w:t xml:space="preserve">n scop fiscal a profiturilor nedistribuite din companii aflate </w:t>
      </w:r>
      <w:r w:rsidR="00B16370" w:rsidRPr="00834B27">
        <w:rPr>
          <w:rFonts w:ascii="Calibri" w:hAnsi="Calibri" w:cs="Calibri"/>
          <w:lang w:val="ro-RO"/>
        </w:rPr>
        <w:t>î</w:t>
      </w:r>
      <w:r w:rsidRPr="00834B27">
        <w:rPr>
          <w:rFonts w:ascii="Calibri" w:hAnsi="Calibri" w:cs="Calibri"/>
          <w:lang w:val="ro-RO"/>
        </w:rPr>
        <w:t>n</w:t>
      </w:r>
      <w:r w:rsidR="00F068B7" w:rsidRPr="00834B27">
        <w:rPr>
          <w:rFonts w:ascii="Calibri" w:hAnsi="Calibri" w:cs="Calibri"/>
          <w:lang w:val="ro-RO"/>
        </w:rPr>
        <w:t xml:space="preserve"> </w:t>
      </w:r>
      <w:r w:rsidR="00B16370" w:rsidRPr="00834B27">
        <w:rPr>
          <w:rFonts w:ascii="Calibri" w:hAnsi="Calibri" w:cs="Calibri"/>
          <w:lang w:val="ro-RO"/>
        </w:rPr>
        <w:t>jurisdic</w:t>
      </w:r>
      <w:r w:rsidR="00D77C4B" w:rsidRPr="00834B27">
        <w:rPr>
          <w:rFonts w:ascii="Calibri" w:hAnsi="Calibri" w:cs="Calibri"/>
          <w:lang w:val="ro-RO"/>
        </w:rPr>
        <w:t>ț</w:t>
      </w:r>
      <w:r w:rsidR="00B16370" w:rsidRPr="00834B27">
        <w:rPr>
          <w:rFonts w:ascii="Calibri" w:hAnsi="Calibri" w:cs="Calibri"/>
          <w:lang w:val="ro-RO"/>
        </w:rPr>
        <w:t>ii</w:t>
      </w:r>
      <w:r w:rsidR="00F068B7" w:rsidRPr="00834B27">
        <w:rPr>
          <w:rFonts w:ascii="Calibri" w:hAnsi="Calibri" w:cs="Calibri"/>
          <w:lang w:val="ro-RO"/>
        </w:rPr>
        <w:t xml:space="preserve"> unde impozitul pe profit este mai mic de 10%</w:t>
      </w:r>
      <w:r w:rsidR="00B06046" w:rsidRPr="00834B27">
        <w:rPr>
          <w:rFonts w:ascii="Calibri" w:hAnsi="Calibri" w:cs="Calibri"/>
          <w:lang w:val="ro-RO"/>
        </w:rPr>
        <w:t xml:space="preserve">, pentru a descuraja erodarea bazei de impunere </w:t>
      </w:r>
      <w:r w:rsidR="00B16370" w:rsidRPr="00834B27">
        <w:rPr>
          <w:rFonts w:ascii="Calibri" w:hAnsi="Calibri" w:cs="Calibri"/>
          <w:lang w:val="ro-RO"/>
        </w:rPr>
        <w:t>î</w:t>
      </w:r>
      <w:r w:rsidR="00B06046" w:rsidRPr="00834B27">
        <w:rPr>
          <w:rFonts w:ascii="Calibri" w:hAnsi="Calibri" w:cs="Calibri"/>
          <w:lang w:val="ro-RO"/>
        </w:rPr>
        <w:t>n Rom</w:t>
      </w:r>
      <w:r w:rsidR="00B16370" w:rsidRPr="00834B27">
        <w:rPr>
          <w:rFonts w:ascii="Calibri" w:hAnsi="Calibri" w:cs="Calibri"/>
          <w:lang w:val="ro-RO"/>
        </w:rPr>
        <w:t>â</w:t>
      </w:r>
      <w:r w:rsidR="00B06046" w:rsidRPr="00834B27">
        <w:rPr>
          <w:rFonts w:ascii="Calibri" w:hAnsi="Calibri" w:cs="Calibri"/>
          <w:lang w:val="ro-RO"/>
        </w:rPr>
        <w:t>nia</w:t>
      </w:r>
      <w:r w:rsidR="00F068B7" w:rsidRPr="00834B27">
        <w:rPr>
          <w:rFonts w:ascii="Calibri" w:hAnsi="Calibri" w:cs="Calibri"/>
          <w:lang w:val="ro-RO"/>
        </w:rPr>
        <w:t>,</w:t>
      </w:r>
    </w:p>
    <w:p w14:paraId="5827782E" w14:textId="13BB513C" w:rsidR="00A32B41" w:rsidRPr="00834B27" w:rsidRDefault="005A08D9" w:rsidP="005752DC">
      <w:pPr>
        <w:pStyle w:val="Listparagraf"/>
        <w:numPr>
          <w:ilvl w:val="0"/>
          <w:numId w:val="38"/>
        </w:numPr>
        <w:tabs>
          <w:tab w:val="left" w:pos="720"/>
        </w:tabs>
        <w:spacing w:line="276" w:lineRule="auto"/>
        <w:ind w:hanging="720"/>
        <w:contextualSpacing w:val="0"/>
        <w:jc w:val="both"/>
        <w:rPr>
          <w:rFonts w:ascii="Calibri" w:hAnsi="Calibri" w:cs="Calibri"/>
          <w:lang w:val="ro-RO"/>
        </w:rPr>
      </w:pPr>
      <w:r w:rsidRPr="00834B27">
        <w:rPr>
          <w:rFonts w:ascii="Calibri" w:hAnsi="Calibri" w:cs="Calibri"/>
          <w:lang w:val="ro-RO"/>
        </w:rPr>
        <w:t>Asimilarea cheltuielilor</w:t>
      </w:r>
      <w:r w:rsidR="0080263B" w:rsidRPr="00834B27">
        <w:rPr>
          <w:rFonts w:ascii="Calibri" w:hAnsi="Calibri" w:cs="Calibri"/>
          <w:lang w:val="ro-RO"/>
        </w:rPr>
        <w:t xml:space="preserve"> </w:t>
      </w:r>
      <w:r w:rsidR="00B16370" w:rsidRPr="00834B27">
        <w:rPr>
          <w:rFonts w:ascii="Calibri" w:hAnsi="Calibri" w:cs="Calibri"/>
          <w:lang w:val="ro-RO"/>
        </w:rPr>
        <w:t>făcute</w:t>
      </w:r>
      <w:r w:rsidR="0080263B" w:rsidRPr="00834B27">
        <w:rPr>
          <w:rFonts w:ascii="Calibri" w:hAnsi="Calibri" w:cs="Calibri"/>
          <w:lang w:val="ro-RO"/>
        </w:rPr>
        <w:t xml:space="preserve"> de companii </w:t>
      </w:r>
      <w:r w:rsidR="00B16370" w:rsidRPr="00834B27">
        <w:rPr>
          <w:rFonts w:ascii="Calibri" w:hAnsi="Calibri" w:cs="Calibri"/>
          <w:lang w:val="ro-RO"/>
        </w:rPr>
        <w:t>î</w:t>
      </w:r>
      <w:r w:rsidR="0080263B" w:rsidRPr="00834B27">
        <w:rPr>
          <w:rFonts w:ascii="Calibri" w:hAnsi="Calibri" w:cs="Calibri"/>
          <w:lang w:val="ro-RO"/>
        </w:rPr>
        <w:t xml:space="preserve">n favoarea </w:t>
      </w:r>
      <w:r w:rsidR="00B16370" w:rsidRPr="00834B27">
        <w:rPr>
          <w:rFonts w:ascii="Calibri" w:hAnsi="Calibri" w:cs="Calibri"/>
          <w:lang w:val="ro-RO"/>
        </w:rPr>
        <w:t>ac</w:t>
      </w:r>
      <w:r w:rsidR="00D77C4B" w:rsidRPr="00834B27">
        <w:rPr>
          <w:rFonts w:ascii="Calibri" w:hAnsi="Calibri" w:cs="Calibri"/>
          <w:lang w:val="ro-RO"/>
        </w:rPr>
        <w:t>ț</w:t>
      </w:r>
      <w:r w:rsidR="00B16370" w:rsidRPr="00834B27">
        <w:rPr>
          <w:rFonts w:ascii="Calibri" w:hAnsi="Calibri" w:cs="Calibri"/>
          <w:lang w:val="ro-RO"/>
        </w:rPr>
        <w:t>ionarilor</w:t>
      </w:r>
      <w:r w:rsidR="0080263B" w:rsidRPr="00834B27">
        <w:rPr>
          <w:rFonts w:ascii="Calibri" w:hAnsi="Calibri" w:cs="Calibri"/>
          <w:lang w:val="ro-RO"/>
        </w:rPr>
        <w:t xml:space="preserve"> cu veniturile d</w:t>
      </w:r>
      <w:r w:rsidR="00A32B41" w:rsidRPr="00834B27">
        <w:rPr>
          <w:rFonts w:ascii="Calibri" w:hAnsi="Calibri" w:cs="Calibri"/>
          <w:lang w:val="ro-RO"/>
        </w:rPr>
        <w:t>in dividende sau chiar cu venituri</w:t>
      </w:r>
      <w:r w:rsidR="00756F34" w:rsidRPr="00834B27">
        <w:rPr>
          <w:rFonts w:ascii="Calibri" w:hAnsi="Calibri" w:cs="Calibri"/>
          <w:lang w:val="ro-RO"/>
        </w:rPr>
        <w:t>le</w:t>
      </w:r>
      <w:r w:rsidR="00A32B41" w:rsidRPr="00834B27">
        <w:rPr>
          <w:rFonts w:ascii="Calibri" w:hAnsi="Calibri" w:cs="Calibri"/>
          <w:lang w:val="ro-RO"/>
        </w:rPr>
        <w:t xml:space="preserve"> de natur</w:t>
      </w:r>
      <w:r w:rsidR="00B16370" w:rsidRPr="00834B27">
        <w:rPr>
          <w:rFonts w:ascii="Calibri" w:hAnsi="Calibri" w:cs="Calibri"/>
          <w:lang w:val="ro-RO"/>
        </w:rPr>
        <w:t>ă</w:t>
      </w:r>
      <w:r w:rsidR="00A32B41" w:rsidRPr="00834B27">
        <w:rPr>
          <w:rFonts w:ascii="Calibri" w:hAnsi="Calibri" w:cs="Calibri"/>
          <w:lang w:val="ro-RO"/>
        </w:rPr>
        <w:t xml:space="preserve"> salarial</w:t>
      </w:r>
      <w:r w:rsidR="00B16370" w:rsidRPr="00834B27">
        <w:rPr>
          <w:rFonts w:ascii="Calibri" w:hAnsi="Calibri" w:cs="Calibri"/>
          <w:lang w:val="ro-RO"/>
        </w:rPr>
        <w:t>ă</w:t>
      </w:r>
      <w:r w:rsidR="00ED2B7E" w:rsidRPr="00834B27">
        <w:rPr>
          <w:rFonts w:ascii="Calibri" w:hAnsi="Calibri" w:cs="Calibri"/>
          <w:lang w:val="ro-RO"/>
        </w:rPr>
        <w:t xml:space="preserve">, </w:t>
      </w:r>
      <w:r w:rsidR="00B16370" w:rsidRPr="00834B27">
        <w:rPr>
          <w:rFonts w:ascii="Calibri" w:hAnsi="Calibri" w:cs="Calibri"/>
          <w:lang w:val="ro-RO"/>
        </w:rPr>
        <w:t>î</w:t>
      </w:r>
      <w:r w:rsidR="00ED2B7E" w:rsidRPr="00834B27">
        <w:rPr>
          <w:rFonts w:ascii="Calibri" w:hAnsi="Calibri" w:cs="Calibri"/>
          <w:lang w:val="ro-RO"/>
        </w:rPr>
        <w:t>n</w:t>
      </w:r>
      <w:r w:rsidR="00EA1EB6" w:rsidRPr="00834B27">
        <w:rPr>
          <w:rFonts w:ascii="Calibri" w:hAnsi="Calibri" w:cs="Calibri"/>
          <w:lang w:val="ro-RO"/>
        </w:rPr>
        <w:t xml:space="preserve"> </w:t>
      </w:r>
      <w:r w:rsidR="00ED2B7E" w:rsidRPr="00834B27">
        <w:rPr>
          <w:rFonts w:ascii="Calibri" w:hAnsi="Calibri" w:cs="Calibri"/>
          <w:lang w:val="ro-RO"/>
        </w:rPr>
        <w:t xml:space="preserve">scopul </w:t>
      </w:r>
      <w:r w:rsidR="00B16370" w:rsidRPr="00834B27">
        <w:rPr>
          <w:rFonts w:ascii="Calibri" w:hAnsi="Calibri" w:cs="Calibri"/>
          <w:lang w:val="ro-RO"/>
        </w:rPr>
        <w:t>descurajării</w:t>
      </w:r>
      <w:r w:rsidR="00ED2B7E" w:rsidRPr="00834B27">
        <w:rPr>
          <w:rFonts w:ascii="Calibri" w:hAnsi="Calibri" w:cs="Calibri"/>
          <w:lang w:val="ro-RO"/>
        </w:rPr>
        <w:t xml:space="preserve"> acestor practici,</w:t>
      </w:r>
    </w:p>
    <w:p w14:paraId="1084D0DD" w14:textId="64ECD4C5" w:rsidR="00B06046" w:rsidRPr="00834B27" w:rsidRDefault="00B06046" w:rsidP="005752DC">
      <w:pPr>
        <w:pStyle w:val="Listparagraf"/>
        <w:numPr>
          <w:ilvl w:val="0"/>
          <w:numId w:val="38"/>
        </w:numPr>
        <w:tabs>
          <w:tab w:val="left" w:pos="720"/>
        </w:tabs>
        <w:spacing w:line="276" w:lineRule="auto"/>
        <w:ind w:hanging="720"/>
        <w:contextualSpacing w:val="0"/>
        <w:jc w:val="both"/>
        <w:rPr>
          <w:rFonts w:ascii="Calibri" w:hAnsi="Calibri" w:cs="Calibri"/>
          <w:lang w:val="ro-RO"/>
        </w:rPr>
      </w:pPr>
      <w:r w:rsidRPr="00834B27">
        <w:rPr>
          <w:rFonts w:ascii="Calibri" w:hAnsi="Calibri" w:cs="Calibri"/>
          <w:lang w:val="ro-RO"/>
        </w:rPr>
        <w:t>I</w:t>
      </w:r>
      <w:r w:rsidR="00405673" w:rsidRPr="00834B27">
        <w:rPr>
          <w:rFonts w:ascii="Calibri" w:hAnsi="Calibri" w:cs="Calibri"/>
          <w:lang w:val="ro-RO"/>
        </w:rPr>
        <w:t xml:space="preserve">mpozitarea sumelor ce nu pot fi justificate prin introducerea unui „moment zero” conform </w:t>
      </w:r>
      <w:r w:rsidR="00B16370" w:rsidRPr="00834B27">
        <w:rPr>
          <w:rFonts w:ascii="Calibri" w:hAnsi="Calibri" w:cs="Calibri"/>
          <w:lang w:val="ro-RO"/>
        </w:rPr>
        <w:t>solu</w:t>
      </w:r>
      <w:r w:rsidR="00D77C4B" w:rsidRPr="00834B27">
        <w:rPr>
          <w:rFonts w:ascii="Calibri" w:hAnsi="Calibri" w:cs="Calibri"/>
          <w:lang w:val="ro-RO"/>
        </w:rPr>
        <w:t>ț</w:t>
      </w:r>
      <w:r w:rsidR="00B16370" w:rsidRPr="00834B27">
        <w:rPr>
          <w:rFonts w:ascii="Calibri" w:hAnsi="Calibri" w:cs="Calibri"/>
          <w:lang w:val="ro-RO"/>
        </w:rPr>
        <w:t>iei</w:t>
      </w:r>
      <w:r w:rsidR="00405673" w:rsidRPr="00834B27">
        <w:rPr>
          <w:rFonts w:ascii="Calibri" w:hAnsi="Calibri" w:cs="Calibri"/>
          <w:lang w:val="ro-RO"/>
        </w:rPr>
        <w:t xml:space="preserve"> prezentate </w:t>
      </w:r>
      <w:r w:rsidR="00280322" w:rsidRPr="00834B27">
        <w:rPr>
          <w:rFonts w:ascii="Calibri" w:hAnsi="Calibri" w:cs="Calibri"/>
          <w:lang w:val="ro-RO"/>
        </w:rPr>
        <w:t>anterior</w:t>
      </w:r>
      <w:r w:rsidR="00405673" w:rsidRPr="00834B27">
        <w:rPr>
          <w:rFonts w:ascii="Calibri" w:hAnsi="Calibri" w:cs="Calibri"/>
          <w:lang w:val="ro-RO"/>
        </w:rPr>
        <w:t>,</w:t>
      </w:r>
    </w:p>
    <w:p w14:paraId="3E56B254" w14:textId="04A2E186" w:rsidR="00405673" w:rsidRPr="00834B27" w:rsidRDefault="00B16370" w:rsidP="005752DC">
      <w:pPr>
        <w:pStyle w:val="Listparagraf"/>
        <w:numPr>
          <w:ilvl w:val="0"/>
          <w:numId w:val="38"/>
        </w:numPr>
        <w:tabs>
          <w:tab w:val="left" w:pos="720"/>
        </w:tabs>
        <w:spacing w:line="276" w:lineRule="auto"/>
        <w:ind w:hanging="720"/>
        <w:contextualSpacing w:val="0"/>
        <w:jc w:val="both"/>
        <w:rPr>
          <w:rFonts w:ascii="Calibri" w:hAnsi="Calibri" w:cs="Calibri"/>
          <w:lang w:val="ro-RO"/>
        </w:rPr>
      </w:pPr>
      <w:r w:rsidRPr="00834B27">
        <w:rPr>
          <w:rFonts w:ascii="Calibri" w:hAnsi="Calibri" w:cs="Calibri"/>
          <w:lang w:val="ro-RO"/>
        </w:rPr>
        <w:lastRenderedPageBreak/>
        <w:t>Renun</w:t>
      </w:r>
      <w:r w:rsidR="00D77C4B" w:rsidRPr="00834B27">
        <w:rPr>
          <w:rFonts w:ascii="Calibri" w:hAnsi="Calibri" w:cs="Calibri"/>
          <w:lang w:val="ro-RO"/>
        </w:rPr>
        <w:t>ț</w:t>
      </w:r>
      <w:r w:rsidRPr="00834B27">
        <w:rPr>
          <w:rFonts w:ascii="Calibri" w:hAnsi="Calibri" w:cs="Calibri"/>
          <w:lang w:val="ro-RO"/>
        </w:rPr>
        <w:t>area</w:t>
      </w:r>
      <w:r w:rsidR="00D9164E" w:rsidRPr="00834B27">
        <w:rPr>
          <w:rFonts w:ascii="Calibri" w:hAnsi="Calibri" w:cs="Calibri"/>
          <w:lang w:val="ro-RO"/>
        </w:rPr>
        <w:t xml:space="preserve"> la impozitul pe venitul </w:t>
      </w:r>
      <w:r w:rsidRPr="00834B27">
        <w:rPr>
          <w:rFonts w:ascii="Calibri" w:hAnsi="Calibri" w:cs="Calibri"/>
          <w:lang w:val="ro-RO"/>
        </w:rPr>
        <w:t>microîntreprinderilor</w:t>
      </w:r>
      <w:r w:rsidR="00D9164E" w:rsidRPr="00834B27">
        <w:rPr>
          <w:rFonts w:ascii="Calibri" w:hAnsi="Calibri" w:cs="Calibri"/>
          <w:lang w:val="ro-RO"/>
        </w:rPr>
        <w:t xml:space="preserve"> </w:t>
      </w:r>
      <w:r w:rsidRPr="00834B27">
        <w:rPr>
          <w:rFonts w:ascii="Calibri" w:hAnsi="Calibri" w:cs="Calibri"/>
          <w:lang w:val="ro-RO"/>
        </w:rPr>
        <w:t>ș</w:t>
      </w:r>
      <w:r w:rsidR="00D9164E" w:rsidRPr="00834B27">
        <w:rPr>
          <w:rFonts w:ascii="Calibri" w:hAnsi="Calibri" w:cs="Calibri"/>
          <w:lang w:val="ro-RO"/>
        </w:rPr>
        <w:t xml:space="preserve">i </w:t>
      </w:r>
      <w:r w:rsidR="00B03BA3" w:rsidRPr="00834B27">
        <w:rPr>
          <w:rFonts w:ascii="Calibri" w:hAnsi="Calibri" w:cs="Calibri"/>
          <w:lang w:val="ro-RO"/>
        </w:rPr>
        <w:t xml:space="preserve">asimilarea </w:t>
      </w:r>
      <w:r w:rsidRPr="00834B27">
        <w:rPr>
          <w:rFonts w:ascii="Calibri" w:hAnsi="Calibri" w:cs="Calibri"/>
          <w:lang w:val="ro-RO"/>
        </w:rPr>
        <w:t>câștigurilor</w:t>
      </w:r>
      <w:r w:rsidR="00B03BA3" w:rsidRPr="00834B27">
        <w:rPr>
          <w:rFonts w:ascii="Calibri" w:hAnsi="Calibri" w:cs="Calibri"/>
          <w:lang w:val="ro-RO"/>
        </w:rPr>
        <w:t xml:space="preserve"> acestor </w:t>
      </w:r>
      <w:r w:rsidRPr="00834B27">
        <w:rPr>
          <w:rFonts w:ascii="Calibri" w:hAnsi="Calibri" w:cs="Calibri"/>
          <w:lang w:val="ro-RO"/>
        </w:rPr>
        <w:t>entită</w:t>
      </w:r>
      <w:r w:rsidR="00D77C4B" w:rsidRPr="00834B27">
        <w:rPr>
          <w:rFonts w:ascii="Calibri" w:hAnsi="Calibri" w:cs="Calibri"/>
          <w:lang w:val="ro-RO"/>
        </w:rPr>
        <w:t>ț</w:t>
      </w:r>
      <w:r w:rsidRPr="00834B27">
        <w:rPr>
          <w:rFonts w:ascii="Calibri" w:hAnsi="Calibri" w:cs="Calibri"/>
          <w:lang w:val="ro-RO"/>
        </w:rPr>
        <w:t>i</w:t>
      </w:r>
      <w:r w:rsidR="00B03BA3" w:rsidRPr="00834B27">
        <w:rPr>
          <w:rFonts w:ascii="Calibri" w:hAnsi="Calibri" w:cs="Calibri"/>
          <w:lang w:val="ro-RO"/>
        </w:rPr>
        <w:t xml:space="preserve"> cu veniturile din </w:t>
      </w:r>
      <w:r w:rsidRPr="00834B27">
        <w:rPr>
          <w:rFonts w:ascii="Calibri" w:hAnsi="Calibri" w:cs="Calibri"/>
          <w:lang w:val="ro-RO"/>
        </w:rPr>
        <w:t>activită</w:t>
      </w:r>
      <w:r w:rsidR="00D77C4B" w:rsidRPr="00834B27">
        <w:rPr>
          <w:rFonts w:ascii="Calibri" w:hAnsi="Calibri" w:cs="Calibri"/>
          <w:lang w:val="ro-RO"/>
        </w:rPr>
        <w:t>ț</w:t>
      </w:r>
      <w:r w:rsidRPr="00834B27">
        <w:rPr>
          <w:rFonts w:ascii="Calibri" w:hAnsi="Calibri" w:cs="Calibri"/>
          <w:lang w:val="ro-RO"/>
        </w:rPr>
        <w:t>i</w:t>
      </w:r>
      <w:r w:rsidR="00B03BA3" w:rsidRPr="00834B27">
        <w:rPr>
          <w:rFonts w:ascii="Calibri" w:hAnsi="Calibri" w:cs="Calibri"/>
          <w:lang w:val="ro-RO"/>
        </w:rPr>
        <w:t xml:space="preserve"> independente, </w:t>
      </w:r>
      <w:r w:rsidR="00D77C4B" w:rsidRPr="00834B27">
        <w:rPr>
          <w:rFonts w:ascii="Calibri" w:hAnsi="Calibri" w:cs="Calibri"/>
          <w:lang w:val="ro-RO"/>
        </w:rPr>
        <w:t>ț</w:t>
      </w:r>
      <w:r w:rsidRPr="00834B27">
        <w:rPr>
          <w:rFonts w:ascii="Calibri" w:hAnsi="Calibri" w:cs="Calibri"/>
          <w:lang w:val="ro-RO"/>
        </w:rPr>
        <w:t>inând</w:t>
      </w:r>
      <w:r w:rsidR="005C2DA6" w:rsidRPr="00834B27">
        <w:rPr>
          <w:rFonts w:ascii="Calibri" w:hAnsi="Calibri" w:cs="Calibri"/>
          <w:lang w:val="ro-RO"/>
        </w:rPr>
        <w:t xml:space="preserve"> cont </w:t>
      </w:r>
      <w:r w:rsidRPr="00834B27">
        <w:rPr>
          <w:rFonts w:ascii="Calibri" w:hAnsi="Calibri" w:cs="Calibri"/>
          <w:lang w:val="ro-RO"/>
        </w:rPr>
        <w:t>ș</w:t>
      </w:r>
      <w:r w:rsidR="005C2DA6" w:rsidRPr="00834B27">
        <w:rPr>
          <w:rFonts w:ascii="Calibri" w:hAnsi="Calibri" w:cs="Calibri"/>
          <w:lang w:val="ro-RO"/>
        </w:rPr>
        <w:t xml:space="preserve">i de propunerea </w:t>
      </w:r>
      <w:r w:rsidR="00600497" w:rsidRPr="00834B27">
        <w:rPr>
          <w:rFonts w:ascii="Calibri" w:hAnsi="Calibri" w:cs="Calibri"/>
          <w:lang w:val="ro-RO"/>
        </w:rPr>
        <w:t>de la pct. 10,</w:t>
      </w:r>
    </w:p>
    <w:p w14:paraId="61F40007" w14:textId="374C9BE8" w:rsidR="00600497" w:rsidRPr="00834B27" w:rsidRDefault="00600497" w:rsidP="005752DC">
      <w:pPr>
        <w:pStyle w:val="Listparagraf"/>
        <w:numPr>
          <w:ilvl w:val="0"/>
          <w:numId w:val="38"/>
        </w:numPr>
        <w:tabs>
          <w:tab w:val="left" w:pos="720"/>
        </w:tabs>
        <w:spacing w:line="276" w:lineRule="auto"/>
        <w:ind w:hanging="720"/>
        <w:contextualSpacing w:val="0"/>
        <w:jc w:val="both"/>
        <w:rPr>
          <w:rFonts w:ascii="Calibri" w:hAnsi="Calibri" w:cs="Calibri"/>
          <w:lang w:val="ro-RO"/>
        </w:rPr>
      </w:pPr>
      <w:r w:rsidRPr="00834B27">
        <w:rPr>
          <w:rFonts w:ascii="Calibri" w:hAnsi="Calibri" w:cs="Calibri"/>
          <w:lang w:val="ro-RO"/>
        </w:rPr>
        <w:t xml:space="preserve">Extinderea la maxim posibil a </w:t>
      </w:r>
      <w:r w:rsidR="00B16370" w:rsidRPr="00834B27">
        <w:rPr>
          <w:rFonts w:ascii="Calibri" w:hAnsi="Calibri" w:cs="Calibri"/>
          <w:lang w:val="ro-RO"/>
        </w:rPr>
        <w:t>plă</w:t>
      </w:r>
      <w:r w:rsidR="00D77C4B" w:rsidRPr="00834B27">
        <w:rPr>
          <w:rFonts w:ascii="Calibri" w:hAnsi="Calibri" w:cs="Calibri"/>
          <w:lang w:val="ro-RO"/>
        </w:rPr>
        <w:t>ț</w:t>
      </w:r>
      <w:r w:rsidR="00B16370" w:rsidRPr="00834B27">
        <w:rPr>
          <w:rFonts w:ascii="Calibri" w:hAnsi="Calibri" w:cs="Calibri"/>
          <w:lang w:val="ro-RO"/>
        </w:rPr>
        <w:t>ii</w:t>
      </w:r>
      <w:r w:rsidRPr="00834B27">
        <w:rPr>
          <w:rFonts w:ascii="Calibri" w:hAnsi="Calibri" w:cs="Calibri"/>
          <w:lang w:val="ro-RO"/>
        </w:rPr>
        <w:t xml:space="preserve"> impozitu</w:t>
      </w:r>
      <w:r w:rsidR="009351A7" w:rsidRPr="00834B27">
        <w:rPr>
          <w:rFonts w:ascii="Calibri" w:hAnsi="Calibri" w:cs="Calibri"/>
          <w:lang w:val="ro-RO"/>
        </w:rPr>
        <w:t xml:space="preserve">lui pe venit, a CAS </w:t>
      </w:r>
      <w:r w:rsidR="00B16370" w:rsidRPr="00834B27">
        <w:rPr>
          <w:rFonts w:ascii="Calibri" w:hAnsi="Calibri" w:cs="Calibri"/>
          <w:lang w:val="ro-RO"/>
        </w:rPr>
        <w:t>ș</w:t>
      </w:r>
      <w:r w:rsidR="009351A7" w:rsidRPr="00834B27">
        <w:rPr>
          <w:rFonts w:ascii="Calibri" w:hAnsi="Calibri" w:cs="Calibri"/>
          <w:lang w:val="ro-RO"/>
        </w:rPr>
        <w:t xml:space="preserve">i CASS prin </w:t>
      </w:r>
      <w:r w:rsidR="00B16370" w:rsidRPr="00834B27">
        <w:rPr>
          <w:rFonts w:ascii="Calibri" w:hAnsi="Calibri" w:cs="Calibri"/>
          <w:lang w:val="ro-RO"/>
        </w:rPr>
        <w:t>re</w:t>
      </w:r>
      <w:r w:rsidR="00D77C4B" w:rsidRPr="00834B27">
        <w:rPr>
          <w:rFonts w:ascii="Calibri" w:hAnsi="Calibri" w:cs="Calibri"/>
          <w:lang w:val="ro-RO"/>
        </w:rPr>
        <w:t>ț</w:t>
      </w:r>
      <w:r w:rsidR="00B16370" w:rsidRPr="00834B27">
        <w:rPr>
          <w:rFonts w:ascii="Calibri" w:hAnsi="Calibri" w:cs="Calibri"/>
          <w:lang w:val="ro-RO"/>
        </w:rPr>
        <w:t>inere</w:t>
      </w:r>
      <w:r w:rsidR="009351A7" w:rsidRPr="00834B27">
        <w:rPr>
          <w:rFonts w:ascii="Calibri" w:hAnsi="Calibri" w:cs="Calibri"/>
          <w:lang w:val="ro-RO"/>
        </w:rPr>
        <w:t xml:space="preserve"> la surs</w:t>
      </w:r>
      <w:r w:rsidR="00B16370" w:rsidRPr="00834B27">
        <w:rPr>
          <w:rFonts w:ascii="Calibri" w:hAnsi="Calibri" w:cs="Calibri"/>
          <w:lang w:val="ro-RO"/>
        </w:rPr>
        <w:t>ă</w:t>
      </w:r>
      <w:r w:rsidR="009351A7" w:rsidRPr="00834B27">
        <w:rPr>
          <w:rFonts w:ascii="Calibri" w:hAnsi="Calibri" w:cs="Calibri"/>
          <w:lang w:val="ro-RO"/>
        </w:rPr>
        <w:t xml:space="preserve"> de c</w:t>
      </w:r>
      <w:r w:rsidR="00B16370" w:rsidRPr="00834B27">
        <w:rPr>
          <w:rFonts w:ascii="Calibri" w:hAnsi="Calibri" w:cs="Calibri"/>
          <w:lang w:val="ro-RO"/>
        </w:rPr>
        <w:t>ă</w:t>
      </w:r>
      <w:r w:rsidR="009351A7" w:rsidRPr="00834B27">
        <w:rPr>
          <w:rFonts w:ascii="Calibri" w:hAnsi="Calibri" w:cs="Calibri"/>
          <w:lang w:val="ro-RO"/>
        </w:rPr>
        <w:t xml:space="preserve">tre </w:t>
      </w:r>
      <w:r w:rsidR="00B16370" w:rsidRPr="00834B27">
        <w:rPr>
          <w:rFonts w:ascii="Calibri" w:hAnsi="Calibri" w:cs="Calibri"/>
          <w:lang w:val="ro-RO"/>
        </w:rPr>
        <w:t>plătitorul</w:t>
      </w:r>
      <w:r w:rsidR="00BD3EBC" w:rsidRPr="00834B27">
        <w:rPr>
          <w:rFonts w:ascii="Calibri" w:hAnsi="Calibri" w:cs="Calibri"/>
          <w:lang w:val="ro-RO"/>
        </w:rPr>
        <w:t xml:space="preserve"> de venituri,</w:t>
      </w:r>
    </w:p>
    <w:p w14:paraId="50F8E681" w14:textId="6E68C9DB" w:rsidR="00BD3EBC" w:rsidRPr="00834B27" w:rsidRDefault="00BD3EBC" w:rsidP="005752DC">
      <w:pPr>
        <w:pStyle w:val="Listparagraf"/>
        <w:numPr>
          <w:ilvl w:val="0"/>
          <w:numId w:val="38"/>
        </w:numPr>
        <w:tabs>
          <w:tab w:val="left" w:pos="720"/>
        </w:tabs>
        <w:spacing w:line="276" w:lineRule="auto"/>
        <w:ind w:hanging="720"/>
        <w:contextualSpacing w:val="0"/>
        <w:jc w:val="both"/>
        <w:rPr>
          <w:rFonts w:ascii="Calibri" w:hAnsi="Calibri" w:cs="Calibri"/>
          <w:lang w:val="ro-RO"/>
        </w:rPr>
      </w:pPr>
      <w:r w:rsidRPr="00834B27">
        <w:rPr>
          <w:rFonts w:ascii="Calibri" w:hAnsi="Calibri" w:cs="Calibri"/>
          <w:lang w:val="ro-RO"/>
        </w:rPr>
        <w:t xml:space="preserve">Regularizarea </w:t>
      </w:r>
      <w:r w:rsidR="00FC6B9C" w:rsidRPr="00834B27">
        <w:rPr>
          <w:rFonts w:ascii="Calibri" w:hAnsi="Calibri" w:cs="Calibri"/>
          <w:lang w:val="ro-RO"/>
        </w:rPr>
        <w:t xml:space="preserve">IV, CAS </w:t>
      </w:r>
      <w:r w:rsidR="00B16370" w:rsidRPr="00834B27">
        <w:rPr>
          <w:rFonts w:ascii="Calibri" w:hAnsi="Calibri" w:cs="Calibri"/>
          <w:lang w:val="ro-RO"/>
        </w:rPr>
        <w:t>ș</w:t>
      </w:r>
      <w:r w:rsidR="00FC6B9C" w:rsidRPr="00834B27">
        <w:rPr>
          <w:rFonts w:ascii="Calibri" w:hAnsi="Calibri" w:cs="Calibri"/>
          <w:lang w:val="ro-RO"/>
        </w:rPr>
        <w:t xml:space="preserve">i CASS </w:t>
      </w:r>
      <w:r w:rsidR="005A468F" w:rsidRPr="00834B27">
        <w:rPr>
          <w:rFonts w:ascii="Calibri" w:hAnsi="Calibri" w:cs="Calibri"/>
          <w:lang w:val="ro-RO"/>
        </w:rPr>
        <w:t xml:space="preserve">– </w:t>
      </w:r>
      <w:r w:rsidR="00B16370" w:rsidRPr="00834B27">
        <w:rPr>
          <w:rFonts w:ascii="Calibri" w:hAnsi="Calibri" w:cs="Calibri"/>
          <w:lang w:val="ro-RO"/>
        </w:rPr>
        <w:t>î</w:t>
      </w:r>
      <w:r w:rsidR="005A468F" w:rsidRPr="00834B27">
        <w:rPr>
          <w:rFonts w:ascii="Calibri" w:hAnsi="Calibri" w:cs="Calibri"/>
          <w:lang w:val="ro-RO"/>
        </w:rPr>
        <w:t xml:space="preserve">n limita plafoanelor, prin </w:t>
      </w:r>
      <w:r w:rsidR="003C20A0" w:rsidRPr="00834B27">
        <w:rPr>
          <w:rFonts w:ascii="Calibri" w:hAnsi="Calibri" w:cs="Calibri"/>
          <w:lang w:val="ro-RO"/>
        </w:rPr>
        <w:t xml:space="preserve">intermediul </w:t>
      </w:r>
      <w:r w:rsidR="00B16370" w:rsidRPr="00834B27">
        <w:rPr>
          <w:rFonts w:ascii="Calibri" w:hAnsi="Calibri" w:cs="Calibri"/>
          <w:lang w:val="ro-RO"/>
        </w:rPr>
        <w:t>declara</w:t>
      </w:r>
      <w:r w:rsidR="00D77C4B" w:rsidRPr="00834B27">
        <w:rPr>
          <w:rFonts w:ascii="Calibri" w:hAnsi="Calibri" w:cs="Calibri"/>
          <w:lang w:val="ro-RO"/>
        </w:rPr>
        <w:t>ț</w:t>
      </w:r>
      <w:r w:rsidR="00B16370" w:rsidRPr="00834B27">
        <w:rPr>
          <w:rFonts w:ascii="Calibri" w:hAnsi="Calibri" w:cs="Calibri"/>
          <w:lang w:val="ro-RO"/>
        </w:rPr>
        <w:t>iei</w:t>
      </w:r>
      <w:r w:rsidR="003C20A0" w:rsidRPr="00834B27">
        <w:rPr>
          <w:rFonts w:ascii="Calibri" w:hAnsi="Calibri" w:cs="Calibri"/>
          <w:lang w:val="ro-RO"/>
        </w:rPr>
        <w:t xml:space="preserve"> unice</w:t>
      </w:r>
      <w:r w:rsidR="00C81AB5" w:rsidRPr="00834B27">
        <w:rPr>
          <w:rStyle w:val="Referinnotdesubsol"/>
          <w:rFonts w:ascii="Calibri" w:hAnsi="Calibri" w:cs="Calibri"/>
          <w:lang w:val="ro-RO"/>
        </w:rPr>
        <w:footnoteReference w:id="35"/>
      </w:r>
      <w:r w:rsidR="00C70FA7" w:rsidRPr="00834B27">
        <w:rPr>
          <w:rFonts w:ascii="Calibri" w:hAnsi="Calibri" w:cs="Calibri"/>
          <w:lang w:val="ro-RO"/>
        </w:rPr>
        <w:t>.</w:t>
      </w:r>
      <w:r w:rsidR="0007748A" w:rsidRPr="00834B27">
        <w:rPr>
          <w:rStyle w:val="Referinnotdesubsol"/>
          <w:rFonts w:ascii="Calibri" w:hAnsi="Calibri" w:cs="Calibri"/>
          <w:lang w:val="ro-RO"/>
        </w:rPr>
        <w:footnoteReference w:id="36"/>
      </w:r>
    </w:p>
    <w:p w14:paraId="596B5F05" w14:textId="77777777" w:rsidR="00C70FA7" w:rsidRPr="00834B27" w:rsidRDefault="00C70FA7" w:rsidP="00B16370">
      <w:pPr>
        <w:tabs>
          <w:tab w:val="left" w:pos="720"/>
        </w:tabs>
        <w:spacing w:line="276" w:lineRule="auto"/>
        <w:jc w:val="both"/>
        <w:rPr>
          <w:rFonts w:ascii="Calibri" w:hAnsi="Calibri" w:cs="Calibri"/>
          <w:lang w:val="ro-RO"/>
        </w:rPr>
      </w:pPr>
    </w:p>
    <w:p w14:paraId="69850F87" w14:textId="64638FAF" w:rsidR="00D62F7C" w:rsidRPr="00834B27" w:rsidRDefault="00FF75C1" w:rsidP="00B16370">
      <w:pPr>
        <w:tabs>
          <w:tab w:val="left" w:pos="720"/>
        </w:tabs>
        <w:spacing w:line="276" w:lineRule="auto"/>
        <w:jc w:val="both"/>
        <w:rPr>
          <w:rFonts w:ascii="Calibri" w:hAnsi="Calibri" w:cs="Calibri"/>
          <w:lang w:val="ro-RO"/>
        </w:rPr>
      </w:pPr>
      <w:r w:rsidRPr="00834B27">
        <w:rPr>
          <w:rFonts w:ascii="Calibri" w:hAnsi="Calibri" w:cs="Calibri"/>
          <w:lang w:val="ro-RO"/>
        </w:rPr>
        <w:t>Împreună, aceste 1</w:t>
      </w:r>
      <w:r w:rsidR="000906D5">
        <w:rPr>
          <w:rFonts w:ascii="Calibri" w:hAnsi="Calibri" w:cs="Calibri"/>
          <w:lang w:val="ro-RO"/>
        </w:rPr>
        <w:t xml:space="preserve">6 </w:t>
      </w:r>
      <w:r w:rsidRPr="00834B27">
        <w:rPr>
          <w:rFonts w:ascii="Calibri" w:hAnsi="Calibri" w:cs="Calibri"/>
          <w:lang w:val="ro-RO"/>
        </w:rPr>
        <w:t>măsuri creează un sistem fiscal cu o cotă unică reală — nu doar nominală — de 16%, pe o bază unificată, cu contribuții sociale plafonat</w:t>
      </w:r>
      <w:r w:rsidR="00C268E7" w:rsidRPr="00834B27">
        <w:rPr>
          <w:rFonts w:ascii="Calibri" w:hAnsi="Calibri" w:cs="Calibri"/>
          <w:lang w:val="ro-RO"/>
        </w:rPr>
        <w:t>e la 6 salarii minime/lună (72 de salarii minime/an)</w:t>
      </w:r>
      <w:r w:rsidRPr="00834B27">
        <w:rPr>
          <w:rFonts w:ascii="Calibri" w:hAnsi="Calibri" w:cs="Calibri"/>
          <w:lang w:val="ro-RO"/>
        </w:rPr>
        <w:t>, cu instrumente anti-erodare aliniate la standardul UE, și cu un mecanism de administrare simplificat bazat pe reținere la sursă și regularizare anuală. Impactul bugetar estimat este un excedent de minimum 3,3 miliarde lei, la care se adaugă veniturile suplimentare din instrumentele anti-erodare, estimate prudent la cel puțin 5–6 miliarde lei pe an.</w:t>
      </w:r>
    </w:p>
    <w:p w14:paraId="1D6FF360" w14:textId="77777777" w:rsidR="00BC5BFD" w:rsidRPr="00834B27" w:rsidRDefault="00BC5BFD">
      <w:pPr>
        <w:rPr>
          <w:rFonts w:ascii="Calibri" w:hAnsi="Calibri" w:cs="Calibri"/>
          <w:lang w:val="ro-RO"/>
        </w:rPr>
      </w:pPr>
    </w:p>
    <w:p w14:paraId="485CAC0D" w14:textId="77777777" w:rsidR="00BC5BFD" w:rsidRPr="00834B27" w:rsidRDefault="00BC5BFD">
      <w:pPr>
        <w:rPr>
          <w:rFonts w:ascii="Calibri" w:eastAsia="Times New Roman" w:hAnsi="Calibri" w:cs="Calibri"/>
          <w:b/>
          <w:bCs/>
          <w:kern w:val="0"/>
          <w:lang w:val="it-IT"/>
          <w14:ligatures w14:val="none"/>
        </w:rPr>
      </w:pPr>
      <w:r w:rsidRPr="00834B27">
        <w:rPr>
          <w:rFonts w:ascii="Calibri" w:eastAsia="Times New Roman" w:hAnsi="Calibri" w:cs="Calibri"/>
          <w:b/>
          <w:bCs/>
          <w:kern w:val="0"/>
          <w:lang w:val="it-IT"/>
          <w14:ligatures w14:val="none"/>
        </w:rPr>
        <w:br w:type="page"/>
      </w:r>
    </w:p>
    <w:p w14:paraId="6DDD521C" w14:textId="5969BBF6" w:rsidR="00BC5BFD" w:rsidRPr="00834B27" w:rsidRDefault="00BC5BFD" w:rsidP="00BC5BFD">
      <w:pPr>
        <w:spacing w:before="100" w:beforeAutospacing="1" w:after="100" w:afterAutospacing="1" w:line="240" w:lineRule="auto"/>
        <w:jc w:val="both"/>
        <w:outlineLvl w:val="1"/>
        <w:rPr>
          <w:rFonts w:ascii="Calibri" w:eastAsia="Times New Roman" w:hAnsi="Calibri" w:cs="Calibri"/>
          <w:b/>
          <w:bCs/>
          <w:kern w:val="0"/>
          <w:lang w:val="it-IT"/>
          <w14:ligatures w14:val="none"/>
        </w:rPr>
      </w:pPr>
      <w:r w:rsidRPr="00834B27">
        <w:rPr>
          <w:rFonts w:ascii="Calibri" w:eastAsia="Times New Roman" w:hAnsi="Calibri" w:cs="Calibri"/>
          <w:b/>
          <w:bCs/>
          <w:kern w:val="0"/>
          <w:lang w:val="it-IT"/>
          <w14:ligatures w14:val="none"/>
        </w:rPr>
        <w:lastRenderedPageBreak/>
        <w:t>CONCLUZII — PROPUNERE</w:t>
      </w:r>
    </w:p>
    <w:p w14:paraId="5EA3E6B8" w14:textId="77777777" w:rsidR="00BC5BFD" w:rsidRPr="00834B27" w:rsidRDefault="00BC5BFD" w:rsidP="00BC5BFD">
      <w:pPr>
        <w:spacing w:after="0" w:line="240" w:lineRule="auto"/>
        <w:jc w:val="both"/>
        <w:outlineLvl w:val="2"/>
        <w:rPr>
          <w:rFonts w:ascii="Calibri" w:eastAsia="Times New Roman" w:hAnsi="Calibri" w:cs="Calibri"/>
          <w:b/>
          <w:bCs/>
          <w:kern w:val="0"/>
          <w:lang w:val="it-IT"/>
          <w14:ligatures w14:val="none"/>
        </w:rPr>
      </w:pPr>
      <w:r w:rsidRPr="00834B27">
        <w:rPr>
          <w:rFonts w:ascii="Calibri" w:eastAsia="Times New Roman" w:hAnsi="Calibri" w:cs="Calibri"/>
          <w:b/>
          <w:bCs/>
          <w:kern w:val="0"/>
          <w:lang w:val="it-IT"/>
          <w14:ligatures w14:val="none"/>
        </w:rPr>
        <w:t>De ce impactul real va fi mai mare decât cel estimat</w:t>
      </w:r>
    </w:p>
    <w:p w14:paraId="50D70612" w14:textId="77777777" w:rsidR="00BC5BFD" w:rsidRPr="00834B27" w:rsidRDefault="00BC5BFD" w:rsidP="00BC5BFD">
      <w:pPr>
        <w:spacing w:after="0" w:line="240" w:lineRule="auto"/>
        <w:jc w:val="both"/>
        <w:rPr>
          <w:rFonts w:ascii="Calibri" w:eastAsia="Times New Roman" w:hAnsi="Calibri" w:cs="Calibri"/>
          <w:kern w:val="0"/>
          <w:lang w:val="it-IT"/>
          <w14:ligatures w14:val="none"/>
        </w:rPr>
      </w:pPr>
      <w:r w:rsidRPr="00834B27">
        <w:rPr>
          <w:rFonts w:ascii="Calibri" w:eastAsia="Times New Roman" w:hAnsi="Calibri" w:cs="Calibri"/>
          <w:kern w:val="0"/>
          <w:lang w:val="it-IT"/>
          <w14:ligatures w14:val="none"/>
        </w:rPr>
        <w:t>Analiza de impact prezentată în acest studiu este, prin construcție, o estimare conservatoare. Modelul static presupune că toți contribuabilii care arbitrează astăzi vor continua, în condițiile în care reforma propusă elimină exact posibilitatea de arbitraj. Această ipoteză este, prin definiție, falsă — iar direcția erorii este sistematic în favoarea bugetului: orice abatere de la ipoteza statică generează venituri suplimentare, nu pierderi.</w:t>
      </w:r>
    </w:p>
    <w:p w14:paraId="6410C996" w14:textId="77777777" w:rsidR="00BC5BFD" w:rsidRPr="00834B27" w:rsidRDefault="00BC5BFD" w:rsidP="00BC5BFD">
      <w:pPr>
        <w:spacing w:after="0" w:line="240" w:lineRule="auto"/>
        <w:jc w:val="both"/>
        <w:rPr>
          <w:rFonts w:ascii="Calibri" w:eastAsia="Times New Roman" w:hAnsi="Calibri" w:cs="Calibri"/>
          <w:kern w:val="0"/>
          <w:lang w:val="it-IT"/>
          <w14:ligatures w14:val="none"/>
        </w:rPr>
      </w:pPr>
    </w:p>
    <w:p w14:paraId="731272A7" w14:textId="77777777" w:rsidR="00BC5BFD" w:rsidRPr="00834B27" w:rsidRDefault="00BC5BFD" w:rsidP="00BC5BFD">
      <w:pPr>
        <w:spacing w:after="0" w:line="240" w:lineRule="auto"/>
        <w:jc w:val="both"/>
        <w:rPr>
          <w:rFonts w:ascii="Calibri" w:eastAsia="Times New Roman" w:hAnsi="Calibri" w:cs="Calibri"/>
          <w:kern w:val="0"/>
          <w:lang w:val="it-IT"/>
          <w14:ligatures w14:val="none"/>
        </w:rPr>
      </w:pPr>
      <w:r w:rsidRPr="00834B27">
        <w:rPr>
          <w:rFonts w:ascii="Calibri" w:eastAsia="Times New Roman" w:hAnsi="Calibri" w:cs="Calibri"/>
          <w:b/>
          <w:bCs/>
          <w:kern w:val="0"/>
          <w:lang w:val="it-IT"/>
          <w14:ligatures w14:val="none"/>
        </w:rPr>
        <w:t>Efectele comportamentale pozitive ale reformei propuse sunt multiple și cumulative:</w:t>
      </w:r>
      <w:r w:rsidRPr="00834B27">
        <w:rPr>
          <w:rFonts w:ascii="Calibri" w:eastAsia="Times New Roman" w:hAnsi="Calibri" w:cs="Calibri"/>
          <w:kern w:val="0"/>
          <w:lang w:val="it-IT"/>
          <w14:ligatures w14:val="none"/>
        </w:rPr>
        <w:t xml:space="preserve"> </w:t>
      </w:r>
    </w:p>
    <w:p w14:paraId="25C577D7" w14:textId="77777777" w:rsidR="00BC5BFD" w:rsidRPr="00834B27" w:rsidRDefault="00BC5BFD" w:rsidP="00BC5BFD">
      <w:pPr>
        <w:pStyle w:val="Listparagraf"/>
        <w:numPr>
          <w:ilvl w:val="0"/>
          <w:numId w:val="64"/>
        </w:numPr>
        <w:spacing w:after="0" w:line="240" w:lineRule="auto"/>
        <w:jc w:val="both"/>
        <w:rPr>
          <w:rFonts w:ascii="Calibri" w:eastAsia="Times New Roman" w:hAnsi="Calibri" w:cs="Calibri"/>
          <w:kern w:val="0"/>
          <w:lang w:val="it-IT"/>
          <w14:ligatures w14:val="none"/>
        </w:rPr>
      </w:pPr>
      <w:r w:rsidRPr="00834B27">
        <w:rPr>
          <w:rFonts w:ascii="Calibri" w:eastAsia="Times New Roman" w:hAnsi="Calibri" w:cs="Calibri"/>
          <w:kern w:val="0"/>
          <w:lang w:val="it-IT"/>
          <w14:ligatures w14:val="none"/>
        </w:rPr>
        <w:t>eliminarea arbitrajului între forme juridice înseamnă că nu vor mai exista contribuabili raționali care să aleagă PFA sau drepturi de autor exclusiv pentru diferența de sarcină fiscală. Aceasta aduce în baza de impozitare la 16% venituri care astăzi sunt impozitate la 6% sau mai puțin — un efect care, prin definiție, nu este capturat de modelul static.</w:t>
      </w:r>
    </w:p>
    <w:p w14:paraId="239340A9" w14:textId="77777777" w:rsidR="00BC5BFD" w:rsidRPr="00834B27" w:rsidRDefault="00BC5BFD" w:rsidP="00BC5BFD">
      <w:pPr>
        <w:pStyle w:val="Listparagraf"/>
        <w:numPr>
          <w:ilvl w:val="0"/>
          <w:numId w:val="64"/>
        </w:numPr>
        <w:spacing w:before="100" w:beforeAutospacing="1" w:after="100" w:afterAutospacing="1" w:line="240" w:lineRule="auto"/>
        <w:jc w:val="both"/>
        <w:rPr>
          <w:rFonts w:ascii="Calibri" w:eastAsia="Times New Roman" w:hAnsi="Calibri" w:cs="Calibri"/>
          <w:kern w:val="0"/>
          <w:lang w:val="it-IT"/>
          <w14:ligatures w14:val="none"/>
        </w:rPr>
      </w:pPr>
      <w:r w:rsidRPr="00834B27">
        <w:rPr>
          <w:rFonts w:ascii="Calibri" w:eastAsia="Times New Roman" w:hAnsi="Calibri" w:cs="Calibri"/>
          <w:kern w:val="0"/>
          <w:lang w:val="it-IT"/>
          <w14:ligatures w14:val="none"/>
        </w:rPr>
        <w:t>transparentizarea microîntreprinderilor înseamnă că cele ~286.000 de entități care declară pierderi egale cu cifra de afaceri vor trebui să justifice aceste pierderi la nivelul persoanei fizice. Orice reducere a cheltuielilor personale deduse pe companie — chiar și modestă — se traduce direct în bază impozabilă suplimentară.</w:t>
      </w:r>
    </w:p>
    <w:p w14:paraId="632446CB" w14:textId="77777777" w:rsidR="00BC5BFD" w:rsidRPr="00834B27" w:rsidRDefault="00BC5BFD" w:rsidP="00BC5BFD">
      <w:pPr>
        <w:pStyle w:val="Listparagraf"/>
        <w:numPr>
          <w:ilvl w:val="0"/>
          <w:numId w:val="64"/>
        </w:numPr>
        <w:spacing w:before="100" w:beforeAutospacing="1" w:after="100" w:afterAutospacing="1" w:line="240" w:lineRule="auto"/>
        <w:jc w:val="both"/>
        <w:rPr>
          <w:rFonts w:ascii="Calibri" w:eastAsia="Times New Roman" w:hAnsi="Calibri" w:cs="Calibri"/>
          <w:kern w:val="0"/>
          <w:lang w:val="it-IT"/>
          <w14:ligatures w14:val="none"/>
        </w:rPr>
      </w:pPr>
      <w:r w:rsidRPr="00834B27">
        <w:rPr>
          <w:rFonts w:ascii="Calibri" w:eastAsia="Times New Roman" w:hAnsi="Calibri" w:cs="Calibri"/>
          <w:kern w:val="0"/>
          <w:lang w:val="it-IT"/>
          <w14:ligatures w14:val="none"/>
        </w:rPr>
        <w:t>eliminarea dublei impuneri a dividendelor reduce stimulentul de a evita distribuirea profiturilor. Atunci când sarcina totală pe circuitul profit–dividende scade de la 29,44% la 16%, contribuabilul are un motiv în plus să distribuie dividende și să declare venituri reale — în loc să deducă cheltuieli personale pe companie.</w:t>
      </w:r>
    </w:p>
    <w:p w14:paraId="01BCCAD1" w14:textId="77777777" w:rsidR="00BC5BFD" w:rsidRPr="00834B27" w:rsidRDefault="00BC5BFD" w:rsidP="00BC5BFD">
      <w:pPr>
        <w:pStyle w:val="Listparagraf"/>
        <w:numPr>
          <w:ilvl w:val="0"/>
          <w:numId w:val="64"/>
        </w:numPr>
        <w:spacing w:before="100" w:beforeAutospacing="1" w:after="100" w:afterAutospacing="1" w:line="240" w:lineRule="auto"/>
        <w:jc w:val="both"/>
        <w:rPr>
          <w:rFonts w:ascii="Calibri" w:eastAsia="Times New Roman" w:hAnsi="Calibri" w:cs="Calibri"/>
          <w:kern w:val="0"/>
          <w:lang w:val="it-IT"/>
          <w14:ligatures w14:val="none"/>
        </w:rPr>
      </w:pPr>
      <w:r w:rsidRPr="00834B27">
        <w:rPr>
          <w:rFonts w:ascii="Calibri" w:eastAsia="Times New Roman" w:hAnsi="Calibri" w:cs="Calibri"/>
          <w:kern w:val="0"/>
          <w:lang w:val="it-IT"/>
          <w14:ligatures w14:val="none"/>
        </w:rPr>
        <w:t>momentul zero creează un efect de descurajare permanentă. Odată ce patrimoniul de referință este stabilit, orice creștere viitoare nejustificată devine automat vizibilă. Contribuabilul nu mai trebuie detectat de ANAF — sistemul îl detectează prin simplul fapt al inconsistenței dintre venituri declarate și patrimoniu acumulat.</w:t>
      </w:r>
    </w:p>
    <w:p w14:paraId="42BD6B13" w14:textId="77777777" w:rsidR="00BC5BFD" w:rsidRPr="00834B27" w:rsidRDefault="00BC5BFD" w:rsidP="00BC5BFD">
      <w:pPr>
        <w:pStyle w:val="Listparagraf"/>
        <w:numPr>
          <w:ilvl w:val="0"/>
          <w:numId w:val="64"/>
        </w:numPr>
        <w:spacing w:after="0" w:line="240" w:lineRule="auto"/>
        <w:jc w:val="both"/>
        <w:rPr>
          <w:rFonts w:ascii="Calibri" w:eastAsia="Times New Roman" w:hAnsi="Calibri" w:cs="Calibri"/>
          <w:kern w:val="0"/>
          <w:lang w:val="it-IT"/>
          <w14:ligatures w14:val="none"/>
        </w:rPr>
      </w:pPr>
      <w:r w:rsidRPr="00834B27">
        <w:rPr>
          <w:rFonts w:ascii="Calibri" w:eastAsia="Times New Roman" w:hAnsi="Calibri" w:cs="Calibri"/>
          <w:kern w:val="0"/>
          <w:lang w:val="it-IT"/>
          <w14:ligatures w14:val="none"/>
        </w:rPr>
        <w:t>stabilizarea legislativă reduce costurile de conformare și crește predictibilitatea. Un contribuabil care știe că regimul fiscal nu se va schimba în următorii 5 ani are un stimulent mai mare de a investi în conformare (contabilitate corectă, declarații complete) decât unul care știe că orice investiție în conformare va fi invalidată de următoarea modificare legislativă.</w:t>
      </w:r>
    </w:p>
    <w:p w14:paraId="4CEC69A6" w14:textId="77777777" w:rsidR="002B2D6F" w:rsidRPr="00834B27" w:rsidRDefault="002B2D6F" w:rsidP="00E5474C">
      <w:pPr>
        <w:pStyle w:val="Listparagraf"/>
        <w:spacing w:after="0" w:line="240" w:lineRule="auto"/>
        <w:jc w:val="both"/>
        <w:rPr>
          <w:rFonts w:ascii="Calibri" w:eastAsia="Times New Roman" w:hAnsi="Calibri" w:cs="Calibri"/>
          <w:kern w:val="0"/>
          <w:lang w:val="it-IT"/>
          <w14:ligatures w14:val="none"/>
        </w:rPr>
      </w:pPr>
    </w:p>
    <w:p w14:paraId="77C185C1" w14:textId="77777777" w:rsidR="00BC5BFD" w:rsidRPr="00834B27" w:rsidRDefault="00BC5BFD" w:rsidP="00BC5BFD">
      <w:pPr>
        <w:spacing w:after="0" w:line="240" w:lineRule="auto"/>
        <w:jc w:val="both"/>
        <w:rPr>
          <w:rFonts w:ascii="Calibri" w:eastAsia="Times New Roman" w:hAnsi="Calibri" w:cs="Calibri"/>
          <w:kern w:val="0"/>
          <w:lang w:val="it-IT"/>
          <w14:ligatures w14:val="none"/>
        </w:rPr>
      </w:pPr>
      <w:r w:rsidRPr="00834B27">
        <w:rPr>
          <w:rFonts w:ascii="Calibri" w:eastAsia="Times New Roman" w:hAnsi="Calibri" w:cs="Calibri"/>
          <w:kern w:val="0"/>
          <w:lang w:val="it-IT"/>
          <w14:ligatures w14:val="none"/>
        </w:rPr>
        <w:t>Nu pretindem că putem cuantifica cu precizie aceste efecte. Dar putem afirma, cu un grad ridicat de încredere profesională, că direcția lor este univocă și că amploarea lor nu este neglijabilă. Experiența comparativă sugerează că efectele comportamentale adaugă între 15% și 30% peste estimarea statică, în funcție de amploarea reformei și de gradul de neconformare preexistent. Dat fiind nivelul de neconformare documentat în capitolul 1 al prezentului studiu — probabil cel mai ridicat din UE pentru categoriile de venituri non-salariale — considerăm că efectul comportamental în cazul României se situează mai aproape de limita superioară a acestui interval.</w:t>
      </w:r>
    </w:p>
    <w:p w14:paraId="0E19F50F" w14:textId="77777777" w:rsidR="002B2D6F" w:rsidRPr="00834B27" w:rsidRDefault="002B2D6F" w:rsidP="00BC5BFD">
      <w:pPr>
        <w:spacing w:after="0" w:line="240" w:lineRule="auto"/>
        <w:jc w:val="both"/>
        <w:rPr>
          <w:rFonts w:ascii="Calibri" w:eastAsia="Times New Roman" w:hAnsi="Calibri" w:cs="Calibri"/>
          <w:kern w:val="0"/>
          <w:lang w:val="it-IT"/>
          <w14:ligatures w14:val="none"/>
        </w:rPr>
      </w:pPr>
    </w:p>
    <w:p w14:paraId="56352364" w14:textId="77777777" w:rsidR="00BC5BFD" w:rsidRPr="00834B27" w:rsidRDefault="00BC5BFD" w:rsidP="00BC5BFD">
      <w:pPr>
        <w:spacing w:after="0" w:line="240" w:lineRule="auto"/>
        <w:jc w:val="both"/>
        <w:rPr>
          <w:rFonts w:ascii="Calibri" w:eastAsia="Times New Roman" w:hAnsi="Calibri" w:cs="Calibri"/>
          <w:kern w:val="0"/>
          <w:lang w:val="it-IT"/>
          <w14:ligatures w14:val="none"/>
        </w:rPr>
      </w:pPr>
      <w:r w:rsidRPr="00834B27">
        <w:rPr>
          <w:rFonts w:ascii="Calibri" w:eastAsia="Times New Roman" w:hAnsi="Calibri" w:cs="Calibri"/>
          <w:b/>
          <w:bCs/>
          <w:kern w:val="0"/>
          <w:lang w:val="it-IT"/>
          <w14:ligatures w14:val="none"/>
        </w:rPr>
        <w:t>Aceasta este, în ultimă instanță, o reformă care respectă principiile fundamentale ale unei politici fiscale corecte:</w:t>
      </w:r>
      <w:r w:rsidRPr="00834B27">
        <w:rPr>
          <w:rFonts w:ascii="Calibri" w:eastAsia="Times New Roman" w:hAnsi="Calibri" w:cs="Calibri"/>
          <w:kern w:val="0"/>
          <w:lang w:val="it-IT"/>
          <w14:ligatures w14:val="none"/>
        </w:rPr>
        <w:t xml:space="preserve"> </w:t>
      </w:r>
    </w:p>
    <w:p w14:paraId="4F9B8AEB" w14:textId="77777777" w:rsidR="00BC5BFD" w:rsidRPr="00834B27" w:rsidRDefault="00BC5BFD" w:rsidP="00BC5BFD">
      <w:pPr>
        <w:pStyle w:val="Listparagraf"/>
        <w:numPr>
          <w:ilvl w:val="0"/>
          <w:numId w:val="64"/>
        </w:numPr>
        <w:spacing w:after="0" w:line="240" w:lineRule="auto"/>
        <w:jc w:val="both"/>
        <w:rPr>
          <w:rFonts w:ascii="Calibri" w:eastAsia="Times New Roman" w:hAnsi="Calibri" w:cs="Calibri"/>
          <w:kern w:val="0"/>
          <w:lang w:val="it-IT"/>
          <w14:ligatures w14:val="none"/>
        </w:rPr>
      </w:pPr>
      <w:r w:rsidRPr="00834B27">
        <w:rPr>
          <w:rFonts w:ascii="Calibri" w:eastAsia="Times New Roman" w:hAnsi="Calibri" w:cs="Calibri"/>
          <w:kern w:val="0"/>
          <w:lang w:val="it-IT"/>
          <w14:ligatures w14:val="none"/>
        </w:rPr>
        <w:t xml:space="preserve">echitate orizontală: aceeași sarcină fiscală pentru venituri identice. </w:t>
      </w:r>
    </w:p>
    <w:p w14:paraId="1D2D402D" w14:textId="77777777" w:rsidR="00BC5BFD" w:rsidRPr="00834B27" w:rsidRDefault="00BC5BFD" w:rsidP="00BC5BFD">
      <w:pPr>
        <w:pStyle w:val="Listparagraf"/>
        <w:numPr>
          <w:ilvl w:val="0"/>
          <w:numId w:val="64"/>
        </w:numPr>
        <w:spacing w:before="100" w:beforeAutospacing="1" w:after="100" w:afterAutospacing="1" w:line="240" w:lineRule="auto"/>
        <w:jc w:val="both"/>
        <w:rPr>
          <w:rFonts w:ascii="Calibri" w:eastAsia="Times New Roman" w:hAnsi="Calibri" w:cs="Calibri"/>
          <w:kern w:val="0"/>
          <w:lang w:val="it-IT"/>
          <w14:ligatures w14:val="none"/>
        </w:rPr>
      </w:pPr>
      <w:r w:rsidRPr="00834B27">
        <w:rPr>
          <w:rFonts w:ascii="Calibri" w:eastAsia="Times New Roman" w:hAnsi="Calibri" w:cs="Calibri"/>
          <w:kern w:val="0"/>
          <w:lang w:val="it-IT"/>
          <w14:ligatures w14:val="none"/>
        </w:rPr>
        <w:lastRenderedPageBreak/>
        <w:t>eficiență economică: bază largită, cotă moderată, costuri de conformare reduse.</w:t>
      </w:r>
    </w:p>
    <w:p w14:paraId="6C03B9EA" w14:textId="77777777" w:rsidR="00BC5BFD" w:rsidRPr="00834B27" w:rsidRDefault="00BC5BFD" w:rsidP="00BC5BFD">
      <w:pPr>
        <w:pStyle w:val="Listparagraf"/>
        <w:numPr>
          <w:ilvl w:val="0"/>
          <w:numId w:val="64"/>
        </w:numPr>
        <w:spacing w:before="100" w:beforeAutospacing="1" w:after="100" w:afterAutospacing="1" w:line="240" w:lineRule="auto"/>
        <w:jc w:val="both"/>
        <w:rPr>
          <w:rFonts w:ascii="Calibri" w:eastAsia="Times New Roman" w:hAnsi="Calibri" w:cs="Calibri"/>
          <w:kern w:val="0"/>
          <w:lang w:val="it-IT"/>
          <w14:ligatures w14:val="none"/>
        </w:rPr>
      </w:pPr>
      <w:r w:rsidRPr="00834B27">
        <w:rPr>
          <w:rFonts w:ascii="Calibri" w:eastAsia="Times New Roman" w:hAnsi="Calibri" w:cs="Calibri"/>
          <w:kern w:val="0"/>
          <w:lang w:val="it-IT"/>
          <w14:ligatures w14:val="none"/>
        </w:rPr>
        <w:t xml:space="preserve">sustenabilitate: contribuții plafonate, obligații limitate, instrumente anti-erodare. </w:t>
      </w:r>
    </w:p>
    <w:p w14:paraId="66002F5B" w14:textId="77777777" w:rsidR="00BC5BFD" w:rsidRPr="00834B27" w:rsidRDefault="00BC5BFD" w:rsidP="00BC5BFD">
      <w:pPr>
        <w:pStyle w:val="Listparagraf"/>
        <w:numPr>
          <w:ilvl w:val="0"/>
          <w:numId w:val="64"/>
        </w:numPr>
        <w:spacing w:before="100" w:beforeAutospacing="1" w:after="100" w:afterAutospacing="1" w:line="240" w:lineRule="auto"/>
        <w:jc w:val="both"/>
        <w:rPr>
          <w:rFonts w:ascii="Calibri" w:eastAsia="Times New Roman" w:hAnsi="Calibri" w:cs="Calibri"/>
          <w:kern w:val="0"/>
          <w:lang w:val="it-IT"/>
          <w14:ligatures w14:val="none"/>
        </w:rPr>
      </w:pPr>
      <w:r w:rsidRPr="00834B27">
        <w:rPr>
          <w:rFonts w:ascii="Calibri" w:eastAsia="Times New Roman" w:hAnsi="Calibri" w:cs="Calibri"/>
          <w:kern w:val="0"/>
          <w:lang w:val="it-IT"/>
          <w14:ligatures w14:val="none"/>
        </w:rPr>
        <w:t xml:space="preserve">predictibilitate: legislație stabilă, administrare simplificată. </w:t>
      </w:r>
    </w:p>
    <w:p w14:paraId="30259EE2" w14:textId="77777777" w:rsidR="00BC5BFD" w:rsidRPr="00834B27" w:rsidRDefault="00BC5BFD" w:rsidP="00BC5BFD">
      <w:pPr>
        <w:spacing w:after="0" w:line="240" w:lineRule="auto"/>
        <w:jc w:val="both"/>
        <w:outlineLvl w:val="2"/>
        <w:rPr>
          <w:rFonts w:ascii="Calibri" w:eastAsia="Times New Roman" w:hAnsi="Calibri" w:cs="Calibri"/>
          <w:b/>
          <w:bCs/>
          <w:i/>
          <w:iCs/>
          <w:kern w:val="0"/>
          <w:lang w:val="it-IT"/>
          <w14:ligatures w14:val="none"/>
        </w:rPr>
      </w:pPr>
      <w:r w:rsidRPr="00834B27">
        <w:rPr>
          <w:rFonts w:ascii="Calibri" w:eastAsia="Times New Roman" w:hAnsi="Calibri" w:cs="Calibri"/>
          <w:b/>
          <w:bCs/>
          <w:i/>
          <w:iCs/>
          <w:kern w:val="0"/>
          <w:lang w:val="it-IT"/>
          <w14:ligatures w14:val="none"/>
        </w:rPr>
        <w:t>Mecanismul de auto-corecție bugetară: de ce reforma devine mai profitabilă în timp:</w:t>
      </w:r>
    </w:p>
    <w:p w14:paraId="2E4D225D" w14:textId="77777777" w:rsidR="00BC5BFD" w:rsidRPr="00834B27" w:rsidRDefault="00BC5BFD" w:rsidP="00BC5BFD">
      <w:pPr>
        <w:spacing w:after="0" w:line="240" w:lineRule="auto"/>
        <w:jc w:val="both"/>
        <w:rPr>
          <w:rFonts w:ascii="Calibri" w:eastAsia="Times New Roman" w:hAnsi="Calibri" w:cs="Calibri"/>
          <w:b/>
          <w:bCs/>
          <w:i/>
          <w:iCs/>
          <w:kern w:val="0"/>
          <w:lang w:val="it-IT"/>
          <w14:ligatures w14:val="none"/>
        </w:rPr>
      </w:pPr>
    </w:p>
    <w:p w14:paraId="602C1097" w14:textId="77777777" w:rsidR="00BC5BFD" w:rsidRPr="00834B27" w:rsidRDefault="00BC5BFD" w:rsidP="00BC5BFD">
      <w:pPr>
        <w:spacing w:after="0" w:line="240" w:lineRule="auto"/>
        <w:jc w:val="both"/>
        <w:rPr>
          <w:rFonts w:ascii="Calibri" w:eastAsia="Times New Roman" w:hAnsi="Calibri" w:cs="Calibri"/>
          <w:i/>
          <w:iCs/>
          <w:kern w:val="0"/>
          <w:lang w:val="it-IT"/>
          <w14:ligatures w14:val="none"/>
        </w:rPr>
      </w:pPr>
      <w:r w:rsidRPr="00834B27">
        <w:rPr>
          <w:rFonts w:ascii="Calibri" w:eastAsia="Times New Roman" w:hAnsi="Calibri" w:cs="Calibri"/>
          <w:b/>
          <w:bCs/>
          <w:i/>
          <w:iCs/>
          <w:kern w:val="0"/>
          <w:lang w:val="it-IT"/>
          <w14:ligatures w14:val="none"/>
        </w:rPr>
        <w:t>Situația de pornire: un sistem care își erodează propria bază.</w:t>
      </w:r>
    </w:p>
    <w:p w14:paraId="158563A6" w14:textId="77777777" w:rsidR="00BC5BFD" w:rsidRPr="00834B27" w:rsidRDefault="00BC5BFD" w:rsidP="00BC5BFD">
      <w:pPr>
        <w:spacing w:after="0" w:line="240" w:lineRule="auto"/>
        <w:jc w:val="both"/>
        <w:rPr>
          <w:rFonts w:ascii="Calibri" w:eastAsia="Times New Roman" w:hAnsi="Calibri" w:cs="Calibri"/>
          <w:b/>
          <w:bCs/>
          <w:i/>
          <w:iCs/>
          <w:kern w:val="0"/>
          <w:lang w:val="it-IT"/>
          <w14:ligatures w14:val="none"/>
        </w:rPr>
      </w:pPr>
    </w:p>
    <w:p w14:paraId="394C9545" w14:textId="77777777" w:rsidR="00BC5BFD" w:rsidRPr="00834B27" w:rsidRDefault="00BC5BFD" w:rsidP="00BC5BFD">
      <w:pPr>
        <w:spacing w:after="0" w:line="240" w:lineRule="auto"/>
        <w:jc w:val="both"/>
        <w:rPr>
          <w:rFonts w:ascii="Calibri" w:eastAsia="Times New Roman" w:hAnsi="Calibri" w:cs="Calibri"/>
          <w:i/>
          <w:iCs/>
          <w:kern w:val="0"/>
          <w:lang w:val="it-IT"/>
          <w14:ligatures w14:val="none"/>
        </w:rPr>
      </w:pPr>
      <w:r w:rsidRPr="00834B27">
        <w:rPr>
          <w:rFonts w:ascii="Calibri" w:eastAsia="Times New Roman" w:hAnsi="Calibri" w:cs="Calibri"/>
          <w:b/>
          <w:bCs/>
          <w:i/>
          <w:iCs/>
          <w:kern w:val="0"/>
          <w:lang w:val="it-IT"/>
          <w14:ligatures w14:val="none"/>
        </w:rPr>
        <w:t>Ce se întâmplă după reformă: migrarea inversă.</w:t>
      </w:r>
    </w:p>
    <w:p w14:paraId="4A075A39" w14:textId="77777777" w:rsidR="00BC5BFD" w:rsidRPr="00834B27" w:rsidRDefault="00BC5BFD" w:rsidP="00BC5BFD">
      <w:pPr>
        <w:spacing w:after="0" w:line="240" w:lineRule="auto"/>
        <w:jc w:val="both"/>
        <w:rPr>
          <w:rFonts w:ascii="Calibri" w:eastAsia="Times New Roman" w:hAnsi="Calibri" w:cs="Calibri"/>
          <w:i/>
          <w:iCs/>
          <w:kern w:val="0"/>
          <w:lang w:val="it-IT"/>
          <w14:ligatures w14:val="none"/>
        </w:rPr>
      </w:pPr>
      <w:r w:rsidRPr="00834B27">
        <w:rPr>
          <w:rFonts w:ascii="Calibri" w:eastAsia="Times New Roman" w:hAnsi="Calibri" w:cs="Calibri"/>
          <w:i/>
          <w:iCs/>
          <w:kern w:val="0"/>
          <w:lang w:val="it-IT"/>
          <w14:ligatures w14:val="none"/>
        </w:rPr>
        <w:t xml:space="preserve">Odată ce SFT este aceeași indiferent de forma juridică, stimulentul de a masca veniturile din muncă sub alte forme dispare. </w:t>
      </w:r>
    </w:p>
    <w:p w14:paraId="171D149A" w14:textId="77777777" w:rsidR="00BC5BFD" w:rsidRPr="00834B27" w:rsidRDefault="00BC5BFD" w:rsidP="00BC5BFD">
      <w:pPr>
        <w:spacing w:after="0" w:line="240" w:lineRule="auto"/>
        <w:jc w:val="both"/>
        <w:rPr>
          <w:rFonts w:ascii="Calibri" w:eastAsia="Times New Roman" w:hAnsi="Calibri" w:cs="Calibri"/>
          <w:b/>
          <w:bCs/>
          <w:i/>
          <w:iCs/>
          <w:kern w:val="0"/>
          <w:lang w:val="it-IT"/>
          <w14:ligatures w14:val="none"/>
        </w:rPr>
      </w:pPr>
    </w:p>
    <w:p w14:paraId="51AC0DE5" w14:textId="77777777" w:rsidR="00BC5BFD" w:rsidRPr="00834B27" w:rsidRDefault="00BC5BFD" w:rsidP="00BC5BFD">
      <w:pPr>
        <w:spacing w:after="0" w:line="240" w:lineRule="auto"/>
        <w:jc w:val="both"/>
        <w:rPr>
          <w:rFonts w:ascii="Calibri" w:eastAsia="Times New Roman" w:hAnsi="Calibri" w:cs="Calibri"/>
          <w:i/>
          <w:iCs/>
          <w:kern w:val="0"/>
          <w:lang w:val="it-IT"/>
          <w14:ligatures w14:val="none"/>
        </w:rPr>
      </w:pPr>
      <w:r w:rsidRPr="00834B27">
        <w:rPr>
          <w:rFonts w:ascii="Calibri" w:eastAsia="Times New Roman" w:hAnsi="Calibri" w:cs="Calibri"/>
          <w:b/>
          <w:bCs/>
          <w:i/>
          <w:iCs/>
          <w:kern w:val="0"/>
          <w:lang w:val="it-IT"/>
          <w14:ligatures w14:val="none"/>
        </w:rPr>
        <w:t>Paradoxul plafonării: efectul care se auto-atenuează.</w:t>
      </w:r>
    </w:p>
    <w:p w14:paraId="509DDBA3" w14:textId="77777777" w:rsidR="00BC5BFD" w:rsidRPr="00834B27" w:rsidRDefault="00BC5BFD" w:rsidP="00BC5BFD">
      <w:pPr>
        <w:spacing w:after="0" w:line="240" w:lineRule="auto"/>
        <w:jc w:val="both"/>
        <w:rPr>
          <w:rFonts w:ascii="Calibri" w:eastAsia="Times New Roman" w:hAnsi="Calibri" w:cs="Calibri"/>
          <w:i/>
          <w:iCs/>
          <w:kern w:val="0"/>
          <w:lang w:val="it-IT"/>
          <w14:ligatures w14:val="none"/>
        </w:rPr>
      </w:pPr>
      <w:r w:rsidRPr="00834B27">
        <w:rPr>
          <w:rFonts w:ascii="Calibri" w:eastAsia="Times New Roman" w:hAnsi="Calibri" w:cs="Calibri"/>
          <w:i/>
          <w:iCs/>
          <w:kern w:val="0"/>
          <w:lang w:val="it-IT"/>
          <w14:ligatures w14:val="none"/>
        </w:rPr>
        <w:t>În dinamică, pe măsură ce arbitrajul dispare, se întâmplă următoarele:</w:t>
      </w:r>
    </w:p>
    <w:p w14:paraId="52FFE710" w14:textId="77777777" w:rsidR="00BC5BFD" w:rsidRPr="00834B27" w:rsidRDefault="00BC5BFD" w:rsidP="00BC5BFD">
      <w:pPr>
        <w:spacing w:before="100" w:beforeAutospacing="1" w:after="100" w:afterAutospacing="1" w:line="240" w:lineRule="auto"/>
        <w:jc w:val="both"/>
        <w:rPr>
          <w:rFonts w:ascii="Calibri" w:eastAsia="Times New Roman" w:hAnsi="Calibri" w:cs="Calibri"/>
          <w:i/>
          <w:iCs/>
          <w:kern w:val="0"/>
          <w:lang w:val="it-IT"/>
          <w14:ligatures w14:val="none"/>
        </w:rPr>
      </w:pPr>
      <w:r w:rsidRPr="00834B27">
        <w:rPr>
          <w:rFonts w:ascii="Calibri" w:eastAsia="Times New Roman" w:hAnsi="Calibri" w:cs="Calibri"/>
          <w:b/>
          <w:bCs/>
          <w:i/>
          <w:iCs/>
          <w:kern w:val="0"/>
          <w:lang w:val="it-IT"/>
          <w14:ligatures w14:val="none"/>
        </w:rPr>
        <w:t>Faza 1 — Imediat după reformă.</w:t>
      </w:r>
      <w:r w:rsidRPr="00834B27">
        <w:rPr>
          <w:rFonts w:ascii="Calibri" w:eastAsia="Times New Roman" w:hAnsi="Calibri" w:cs="Calibri"/>
          <w:i/>
          <w:iCs/>
          <w:kern w:val="0"/>
          <w:lang w:val="it-IT"/>
          <w14:ligatures w14:val="none"/>
        </w:rPr>
        <w:t xml:space="preserve"> Baza salarială crește prin migrarea inversă (venituri reintegrate în salarii). Dar o parte din aceste venituri depășesc plafonul, deci contribuțiile sunt plafonate. </w:t>
      </w:r>
    </w:p>
    <w:p w14:paraId="3E502B67" w14:textId="77777777" w:rsidR="00BC5BFD" w:rsidRPr="00834B27" w:rsidRDefault="00BC5BFD" w:rsidP="00BC5BFD">
      <w:pPr>
        <w:spacing w:before="100" w:beforeAutospacing="1" w:after="100" w:afterAutospacing="1" w:line="240" w:lineRule="auto"/>
        <w:jc w:val="both"/>
        <w:rPr>
          <w:rFonts w:ascii="Calibri" w:eastAsia="Times New Roman" w:hAnsi="Calibri" w:cs="Calibri"/>
          <w:i/>
          <w:iCs/>
          <w:kern w:val="0"/>
          <w:lang w:val="it-IT"/>
          <w14:ligatures w14:val="none"/>
        </w:rPr>
      </w:pPr>
      <w:r w:rsidRPr="00834B27">
        <w:rPr>
          <w:rFonts w:ascii="Calibri" w:eastAsia="Times New Roman" w:hAnsi="Calibri" w:cs="Calibri"/>
          <w:b/>
          <w:bCs/>
          <w:i/>
          <w:iCs/>
          <w:kern w:val="0"/>
          <w:lang w:val="it-IT"/>
          <w14:ligatures w14:val="none"/>
        </w:rPr>
        <w:t xml:space="preserve">Faza 2 — </w:t>
      </w:r>
      <w:r w:rsidRPr="00834B27">
        <w:rPr>
          <w:rFonts w:ascii="Calibri" w:eastAsia="Times New Roman" w:hAnsi="Calibri" w:cs="Calibri"/>
          <w:b/>
          <w:bCs/>
          <w:i/>
          <w:iCs/>
          <w:color w:val="EE0000"/>
          <w:kern w:val="0"/>
          <w:lang w:val="it-IT"/>
          <w14:ligatures w14:val="none"/>
        </w:rPr>
        <w:t>Anii 1–3.</w:t>
      </w:r>
      <w:r w:rsidRPr="00834B27">
        <w:rPr>
          <w:rFonts w:ascii="Calibri" w:eastAsia="Times New Roman" w:hAnsi="Calibri" w:cs="Calibri"/>
          <w:i/>
          <w:iCs/>
          <w:color w:val="EE0000"/>
          <w:kern w:val="0"/>
          <w:lang w:val="it-IT"/>
          <w14:ligatures w14:val="none"/>
        </w:rPr>
        <w:t xml:space="preserve"> </w:t>
      </w:r>
      <w:r w:rsidRPr="00834B27">
        <w:rPr>
          <w:rFonts w:ascii="Calibri" w:eastAsia="Times New Roman" w:hAnsi="Calibri" w:cs="Calibri"/>
          <w:i/>
          <w:iCs/>
          <w:kern w:val="0"/>
          <w:lang w:val="it-IT"/>
          <w14:ligatures w14:val="none"/>
        </w:rPr>
        <w:t>Pe măsură ce conformarea crește și economia informală se formalizează, noi contribuabili intră în baza salarială — contribuabili care anterior fie nu declarau, fie declarau sub nivelul real. Acești contribuabili noi au, în majoritatea cazurilor, venituri sub plafon. Efectul: baza salarială crește sub plafon, unde fiecare leu suplimentar generează CAS, CASS și impozit pe venit integral. Pierderea din plafonare rămâne constantă (afectează doar veniturile peste plafon), dar câștigul din formalizare crește continuu.</w:t>
      </w:r>
    </w:p>
    <w:p w14:paraId="249DD90C" w14:textId="77777777" w:rsidR="00BC5BFD" w:rsidRPr="00834B27" w:rsidRDefault="00BC5BFD" w:rsidP="00BC5BFD">
      <w:pPr>
        <w:spacing w:before="100" w:beforeAutospacing="1" w:after="100" w:afterAutospacing="1" w:line="240" w:lineRule="auto"/>
        <w:jc w:val="both"/>
        <w:rPr>
          <w:rFonts w:ascii="Calibri" w:eastAsia="Times New Roman" w:hAnsi="Calibri" w:cs="Calibri"/>
          <w:i/>
          <w:iCs/>
          <w:kern w:val="0"/>
          <w:lang w:val="it-IT"/>
          <w14:ligatures w14:val="none"/>
        </w:rPr>
      </w:pPr>
      <w:r w:rsidRPr="00834B27">
        <w:rPr>
          <w:rFonts w:ascii="Calibri" w:eastAsia="Times New Roman" w:hAnsi="Calibri" w:cs="Calibri"/>
          <w:b/>
          <w:bCs/>
          <w:i/>
          <w:iCs/>
          <w:kern w:val="0"/>
          <w:lang w:val="it-IT"/>
          <w14:ligatures w14:val="none"/>
        </w:rPr>
        <w:t xml:space="preserve">Faza 3 — </w:t>
      </w:r>
      <w:r w:rsidRPr="00834B27">
        <w:rPr>
          <w:rFonts w:ascii="Calibri" w:eastAsia="Times New Roman" w:hAnsi="Calibri" w:cs="Calibri"/>
          <w:b/>
          <w:bCs/>
          <w:i/>
          <w:iCs/>
          <w:color w:val="EE0000"/>
          <w:kern w:val="0"/>
          <w:lang w:val="it-IT"/>
          <w14:ligatures w14:val="none"/>
        </w:rPr>
        <w:t>Anii 3–5</w:t>
      </w:r>
      <w:r w:rsidRPr="00834B27">
        <w:rPr>
          <w:rFonts w:ascii="Calibri" w:eastAsia="Times New Roman" w:hAnsi="Calibri" w:cs="Calibri"/>
          <w:b/>
          <w:bCs/>
          <w:i/>
          <w:iCs/>
          <w:kern w:val="0"/>
          <w:lang w:val="it-IT"/>
          <w14:ligatures w14:val="none"/>
        </w:rPr>
        <w:t>.</w:t>
      </w:r>
      <w:r w:rsidRPr="00834B27">
        <w:rPr>
          <w:rFonts w:ascii="Calibri" w:eastAsia="Times New Roman" w:hAnsi="Calibri" w:cs="Calibri"/>
          <w:i/>
          <w:iCs/>
          <w:kern w:val="0"/>
          <w:lang w:val="it-IT"/>
          <w14:ligatures w14:val="none"/>
        </w:rPr>
        <w:t xml:space="preserve"> Instrumentele anti-erodare (momentul zero, CFC rules, exit tax) încep să producă efecte complete. Patrimoniile nejustificate sunt aduse la suprafață. Profiturile din jurisdicții slab fiscalizate sunt transparentizate. Contribuabilii care planificau mutarea rezidenței fiscale renunță sau amână. Fiecare dintre aceste efecte lărgește baza de impunere fără nicio pierdere din plafonare — pentru că veniturile din capital, din offshore și din patrimonii nejustificate nu sunt venituri din muncă și nu sunt afectate de plafonul CAS.</w:t>
      </w:r>
    </w:p>
    <w:p w14:paraId="569C77E7" w14:textId="77777777" w:rsidR="00BC5BFD" w:rsidRPr="00834B27" w:rsidRDefault="00BC5BFD" w:rsidP="00BC5BFD">
      <w:pPr>
        <w:spacing w:before="100" w:beforeAutospacing="1" w:after="100" w:afterAutospacing="1" w:line="240" w:lineRule="auto"/>
        <w:jc w:val="both"/>
        <w:rPr>
          <w:rFonts w:ascii="Calibri" w:eastAsia="Times New Roman" w:hAnsi="Calibri" w:cs="Calibri"/>
          <w:i/>
          <w:iCs/>
          <w:kern w:val="0"/>
          <w:lang w:val="it-IT"/>
          <w14:ligatures w14:val="none"/>
        </w:rPr>
      </w:pPr>
      <w:r w:rsidRPr="00834B27">
        <w:rPr>
          <w:rFonts w:ascii="Calibri" w:eastAsia="Times New Roman" w:hAnsi="Calibri" w:cs="Calibri"/>
          <w:b/>
          <w:bCs/>
          <w:i/>
          <w:iCs/>
          <w:kern w:val="0"/>
          <w:lang w:val="it-IT"/>
          <w14:ligatures w14:val="none"/>
        </w:rPr>
        <w:t xml:space="preserve">Faza 4 — </w:t>
      </w:r>
      <w:r w:rsidRPr="00834B27">
        <w:rPr>
          <w:rFonts w:ascii="Calibri" w:eastAsia="Times New Roman" w:hAnsi="Calibri" w:cs="Calibri"/>
          <w:b/>
          <w:bCs/>
          <w:i/>
          <w:iCs/>
          <w:color w:val="EE0000"/>
          <w:kern w:val="0"/>
          <w:lang w:val="it-IT"/>
          <w14:ligatures w14:val="none"/>
        </w:rPr>
        <w:t>Starea de echilibru (anul 5+).</w:t>
      </w:r>
      <w:r w:rsidRPr="00834B27">
        <w:rPr>
          <w:rFonts w:ascii="Calibri" w:eastAsia="Times New Roman" w:hAnsi="Calibri" w:cs="Calibri"/>
          <w:i/>
          <w:iCs/>
          <w:color w:val="EE0000"/>
          <w:kern w:val="0"/>
          <w:lang w:val="it-IT"/>
          <w14:ligatures w14:val="none"/>
        </w:rPr>
        <w:t xml:space="preserve"> </w:t>
      </w:r>
      <w:r w:rsidRPr="00834B27">
        <w:rPr>
          <w:rFonts w:ascii="Calibri" w:eastAsia="Times New Roman" w:hAnsi="Calibri" w:cs="Calibri"/>
          <w:i/>
          <w:iCs/>
          <w:kern w:val="0"/>
          <w:lang w:val="it-IT"/>
          <w14:ligatures w14:val="none"/>
        </w:rPr>
        <w:t xml:space="preserve">Conformarea s-a stabilizat la un nivel semnificativ mai ridicat decât cel actual. </w:t>
      </w:r>
      <w:proofErr w:type="spellStart"/>
      <w:r w:rsidRPr="00834B27">
        <w:rPr>
          <w:rFonts w:ascii="Calibri" w:eastAsia="Times New Roman" w:hAnsi="Calibri" w:cs="Calibri"/>
          <w:i/>
          <w:iCs/>
          <w:kern w:val="0"/>
          <w:lang w:val="fr-FR"/>
          <w14:ligatures w14:val="none"/>
        </w:rPr>
        <w:t>Arbitrajul</w:t>
      </w:r>
      <w:proofErr w:type="spellEnd"/>
      <w:r w:rsidRPr="00834B27">
        <w:rPr>
          <w:rFonts w:ascii="Calibri" w:eastAsia="Times New Roman" w:hAnsi="Calibri" w:cs="Calibri"/>
          <w:i/>
          <w:iCs/>
          <w:kern w:val="0"/>
          <w:lang w:val="fr-FR"/>
          <w14:ligatures w14:val="none"/>
        </w:rPr>
        <w:t xml:space="preserve"> a </w:t>
      </w:r>
      <w:proofErr w:type="spellStart"/>
      <w:r w:rsidRPr="00834B27">
        <w:rPr>
          <w:rFonts w:ascii="Calibri" w:eastAsia="Times New Roman" w:hAnsi="Calibri" w:cs="Calibri"/>
          <w:i/>
          <w:iCs/>
          <w:kern w:val="0"/>
          <w:lang w:val="fr-FR"/>
          <w14:ligatures w14:val="none"/>
        </w:rPr>
        <w:t>dispărut</w:t>
      </w:r>
      <w:proofErr w:type="spellEnd"/>
      <w:r w:rsidRPr="00834B27">
        <w:rPr>
          <w:rFonts w:ascii="Calibri" w:eastAsia="Times New Roman" w:hAnsi="Calibri" w:cs="Calibri"/>
          <w:i/>
          <w:iCs/>
          <w:kern w:val="0"/>
          <w:lang w:val="fr-FR"/>
          <w14:ligatures w14:val="none"/>
        </w:rPr>
        <w:t xml:space="preserve"> structural (nu mai </w:t>
      </w:r>
      <w:proofErr w:type="spellStart"/>
      <w:r w:rsidRPr="00834B27">
        <w:rPr>
          <w:rFonts w:ascii="Calibri" w:eastAsia="Times New Roman" w:hAnsi="Calibri" w:cs="Calibri"/>
          <w:i/>
          <w:iCs/>
          <w:kern w:val="0"/>
          <w:lang w:val="fr-FR"/>
          <w14:ligatures w14:val="none"/>
        </w:rPr>
        <w:t>există</w:t>
      </w:r>
      <w:proofErr w:type="spellEnd"/>
      <w:r w:rsidRPr="00834B27">
        <w:rPr>
          <w:rFonts w:ascii="Calibri" w:eastAsia="Times New Roman" w:hAnsi="Calibri" w:cs="Calibri"/>
          <w:i/>
          <w:iCs/>
          <w:kern w:val="0"/>
          <w:lang w:val="fr-FR"/>
          <w14:ligatures w14:val="none"/>
        </w:rPr>
        <w:t xml:space="preserve"> </w:t>
      </w:r>
      <w:proofErr w:type="spellStart"/>
      <w:r w:rsidRPr="00834B27">
        <w:rPr>
          <w:rFonts w:ascii="Calibri" w:eastAsia="Times New Roman" w:hAnsi="Calibri" w:cs="Calibri"/>
          <w:i/>
          <w:iCs/>
          <w:kern w:val="0"/>
          <w:lang w:val="fr-FR"/>
          <w14:ligatures w14:val="none"/>
        </w:rPr>
        <w:t>diferență</w:t>
      </w:r>
      <w:proofErr w:type="spellEnd"/>
      <w:r w:rsidRPr="00834B27">
        <w:rPr>
          <w:rFonts w:ascii="Calibri" w:eastAsia="Times New Roman" w:hAnsi="Calibri" w:cs="Calibri"/>
          <w:i/>
          <w:iCs/>
          <w:kern w:val="0"/>
          <w:lang w:val="fr-FR"/>
          <w14:ligatures w14:val="none"/>
        </w:rPr>
        <w:t xml:space="preserve"> de SFT care </w:t>
      </w:r>
      <w:proofErr w:type="spellStart"/>
      <w:r w:rsidRPr="00834B27">
        <w:rPr>
          <w:rFonts w:ascii="Calibri" w:eastAsia="Times New Roman" w:hAnsi="Calibri" w:cs="Calibri"/>
          <w:i/>
          <w:iCs/>
          <w:kern w:val="0"/>
          <w:lang w:val="fr-FR"/>
          <w14:ligatures w14:val="none"/>
        </w:rPr>
        <w:t>să-l</w:t>
      </w:r>
      <w:proofErr w:type="spellEnd"/>
      <w:r w:rsidRPr="00834B27">
        <w:rPr>
          <w:rFonts w:ascii="Calibri" w:eastAsia="Times New Roman" w:hAnsi="Calibri" w:cs="Calibri"/>
          <w:i/>
          <w:iCs/>
          <w:kern w:val="0"/>
          <w:lang w:val="fr-FR"/>
          <w14:ligatures w14:val="none"/>
        </w:rPr>
        <w:t xml:space="preserve"> </w:t>
      </w:r>
      <w:proofErr w:type="spellStart"/>
      <w:r w:rsidRPr="00834B27">
        <w:rPr>
          <w:rFonts w:ascii="Calibri" w:eastAsia="Times New Roman" w:hAnsi="Calibri" w:cs="Calibri"/>
          <w:i/>
          <w:iCs/>
          <w:kern w:val="0"/>
          <w:lang w:val="fr-FR"/>
          <w14:ligatures w14:val="none"/>
        </w:rPr>
        <w:t>motiveze</w:t>
      </w:r>
      <w:proofErr w:type="spellEnd"/>
      <w:r w:rsidRPr="00834B27">
        <w:rPr>
          <w:rFonts w:ascii="Calibri" w:eastAsia="Times New Roman" w:hAnsi="Calibri" w:cs="Calibri"/>
          <w:i/>
          <w:iCs/>
          <w:kern w:val="0"/>
          <w:lang w:val="fr-FR"/>
          <w14:ligatures w14:val="none"/>
        </w:rPr>
        <w:t xml:space="preserve">). Baza </w:t>
      </w:r>
      <w:proofErr w:type="spellStart"/>
      <w:r w:rsidRPr="00834B27">
        <w:rPr>
          <w:rFonts w:ascii="Calibri" w:eastAsia="Times New Roman" w:hAnsi="Calibri" w:cs="Calibri"/>
          <w:i/>
          <w:iCs/>
          <w:kern w:val="0"/>
          <w:lang w:val="fr-FR"/>
          <w14:ligatures w14:val="none"/>
        </w:rPr>
        <w:t>salarială</w:t>
      </w:r>
      <w:proofErr w:type="spellEnd"/>
      <w:r w:rsidRPr="00834B27">
        <w:rPr>
          <w:rFonts w:ascii="Calibri" w:eastAsia="Times New Roman" w:hAnsi="Calibri" w:cs="Calibri"/>
          <w:i/>
          <w:iCs/>
          <w:kern w:val="0"/>
          <w:lang w:val="fr-FR"/>
          <w14:ligatures w14:val="none"/>
        </w:rPr>
        <w:t xml:space="preserve"> </w:t>
      </w:r>
      <w:proofErr w:type="spellStart"/>
      <w:r w:rsidRPr="00834B27">
        <w:rPr>
          <w:rFonts w:ascii="Calibri" w:eastAsia="Times New Roman" w:hAnsi="Calibri" w:cs="Calibri"/>
          <w:i/>
          <w:iCs/>
          <w:kern w:val="0"/>
          <w:lang w:val="fr-FR"/>
          <w14:ligatures w14:val="none"/>
        </w:rPr>
        <w:t>reală</w:t>
      </w:r>
      <w:proofErr w:type="spellEnd"/>
      <w:r w:rsidRPr="00834B27">
        <w:rPr>
          <w:rFonts w:ascii="Calibri" w:eastAsia="Times New Roman" w:hAnsi="Calibri" w:cs="Calibri"/>
          <w:i/>
          <w:iCs/>
          <w:kern w:val="0"/>
          <w:lang w:val="fr-FR"/>
          <w14:ligatures w14:val="none"/>
        </w:rPr>
        <w:t xml:space="preserve"> este </w:t>
      </w:r>
      <w:proofErr w:type="spellStart"/>
      <w:r w:rsidRPr="00834B27">
        <w:rPr>
          <w:rFonts w:ascii="Calibri" w:eastAsia="Times New Roman" w:hAnsi="Calibri" w:cs="Calibri"/>
          <w:i/>
          <w:iCs/>
          <w:kern w:val="0"/>
          <w:lang w:val="fr-FR"/>
          <w14:ligatures w14:val="none"/>
        </w:rPr>
        <w:t>semnificativ</w:t>
      </w:r>
      <w:proofErr w:type="spellEnd"/>
      <w:r w:rsidRPr="00834B27">
        <w:rPr>
          <w:rFonts w:ascii="Calibri" w:eastAsia="Times New Roman" w:hAnsi="Calibri" w:cs="Calibri"/>
          <w:i/>
          <w:iCs/>
          <w:kern w:val="0"/>
          <w:lang w:val="fr-FR"/>
          <w14:ligatures w14:val="none"/>
        </w:rPr>
        <w:t xml:space="preserve"> mai mare </w:t>
      </w:r>
      <w:proofErr w:type="spellStart"/>
      <w:r w:rsidRPr="00834B27">
        <w:rPr>
          <w:rFonts w:ascii="Calibri" w:eastAsia="Times New Roman" w:hAnsi="Calibri" w:cs="Calibri"/>
          <w:i/>
          <w:iCs/>
          <w:kern w:val="0"/>
          <w:lang w:val="fr-FR"/>
          <w14:ligatures w14:val="none"/>
        </w:rPr>
        <w:t>decât</w:t>
      </w:r>
      <w:proofErr w:type="spellEnd"/>
      <w:r w:rsidRPr="00834B27">
        <w:rPr>
          <w:rFonts w:ascii="Calibri" w:eastAsia="Times New Roman" w:hAnsi="Calibri" w:cs="Calibri"/>
          <w:i/>
          <w:iCs/>
          <w:kern w:val="0"/>
          <w:lang w:val="fr-FR"/>
          <w14:ligatures w14:val="none"/>
        </w:rPr>
        <w:t xml:space="preserve"> </w:t>
      </w:r>
      <w:proofErr w:type="spellStart"/>
      <w:r w:rsidRPr="00834B27">
        <w:rPr>
          <w:rFonts w:ascii="Calibri" w:eastAsia="Times New Roman" w:hAnsi="Calibri" w:cs="Calibri"/>
          <w:i/>
          <w:iCs/>
          <w:kern w:val="0"/>
          <w:lang w:val="fr-FR"/>
          <w14:ligatures w14:val="none"/>
        </w:rPr>
        <w:t>cea</w:t>
      </w:r>
      <w:proofErr w:type="spellEnd"/>
      <w:r w:rsidRPr="00834B27">
        <w:rPr>
          <w:rFonts w:ascii="Calibri" w:eastAsia="Times New Roman" w:hAnsi="Calibri" w:cs="Calibri"/>
          <w:i/>
          <w:iCs/>
          <w:kern w:val="0"/>
          <w:lang w:val="fr-FR"/>
          <w14:ligatures w14:val="none"/>
        </w:rPr>
        <w:t xml:space="preserve"> </w:t>
      </w:r>
      <w:proofErr w:type="spellStart"/>
      <w:r w:rsidRPr="00834B27">
        <w:rPr>
          <w:rFonts w:ascii="Calibri" w:eastAsia="Times New Roman" w:hAnsi="Calibri" w:cs="Calibri"/>
          <w:i/>
          <w:iCs/>
          <w:kern w:val="0"/>
          <w:lang w:val="fr-FR"/>
          <w14:ligatures w14:val="none"/>
        </w:rPr>
        <w:t>actuală</w:t>
      </w:r>
      <w:proofErr w:type="spellEnd"/>
      <w:r w:rsidRPr="00834B27">
        <w:rPr>
          <w:rFonts w:ascii="Calibri" w:eastAsia="Times New Roman" w:hAnsi="Calibri" w:cs="Calibri"/>
          <w:i/>
          <w:iCs/>
          <w:kern w:val="0"/>
          <w:lang w:val="fr-FR"/>
          <w14:ligatures w14:val="none"/>
        </w:rPr>
        <w:t xml:space="preserve"> — dar o </w:t>
      </w:r>
      <w:proofErr w:type="spellStart"/>
      <w:r w:rsidRPr="00834B27">
        <w:rPr>
          <w:rFonts w:ascii="Calibri" w:eastAsia="Times New Roman" w:hAnsi="Calibri" w:cs="Calibri"/>
          <w:i/>
          <w:iCs/>
          <w:kern w:val="0"/>
          <w:lang w:val="fr-FR"/>
          <w14:ligatures w14:val="none"/>
        </w:rPr>
        <w:t>proporție</w:t>
      </w:r>
      <w:proofErr w:type="spellEnd"/>
      <w:r w:rsidRPr="00834B27">
        <w:rPr>
          <w:rFonts w:ascii="Calibri" w:eastAsia="Times New Roman" w:hAnsi="Calibri" w:cs="Calibri"/>
          <w:i/>
          <w:iCs/>
          <w:kern w:val="0"/>
          <w:lang w:val="fr-FR"/>
          <w14:ligatures w14:val="none"/>
        </w:rPr>
        <w:t xml:space="preserve"> </w:t>
      </w:r>
      <w:proofErr w:type="spellStart"/>
      <w:r w:rsidRPr="00834B27">
        <w:rPr>
          <w:rFonts w:ascii="Calibri" w:eastAsia="Times New Roman" w:hAnsi="Calibri" w:cs="Calibri"/>
          <w:i/>
          <w:iCs/>
          <w:kern w:val="0"/>
          <w:lang w:val="fr-FR"/>
          <w14:ligatures w14:val="none"/>
        </w:rPr>
        <w:t>tot</w:t>
      </w:r>
      <w:proofErr w:type="spellEnd"/>
      <w:r w:rsidRPr="00834B27">
        <w:rPr>
          <w:rFonts w:ascii="Calibri" w:eastAsia="Times New Roman" w:hAnsi="Calibri" w:cs="Calibri"/>
          <w:i/>
          <w:iCs/>
          <w:kern w:val="0"/>
          <w:lang w:val="fr-FR"/>
          <w14:ligatures w14:val="none"/>
        </w:rPr>
        <w:t xml:space="preserve"> mai mare a </w:t>
      </w:r>
      <w:proofErr w:type="spellStart"/>
      <w:r w:rsidRPr="00834B27">
        <w:rPr>
          <w:rFonts w:ascii="Calibri" w:eastAsia="Times New Roman" w:hAnsi="Calibri" w:cs="Calibri"/>
          <w:i/>
          <w:iCs/>
          <w:kern w:val="0"/>
          <w:lang w:val="fr-FR"/>
          <w14:ligatures w14:val="none"/>
        </w:rPr>
        <w:t>acestei</w:t>
      </w:r>
      <w:proofErr w:type="spellEnd"/>
      <w:r w:rsidRPr="00834B27">
        <w:rPr>
          <w:rFonts w:ascii="Calibri" w:eastAsia="Times New Roman" w:hAnsi="Calibri" w:cs="Calibri"/>
          <w:i/>
          <w:iCs/>
          <w:kern w:val="0"/>
          <w:lang w:val="fr-FR"/>
          <w14:ligatures w14:val="none"/>
        </w:rPr>
        <w:t xml:space="preserve"> </w:t>
      </w:r>
      <w:proofErr w:type="spellStart"/>
      <w:r w:rsidRPr="00834B27">
        <w:rPr>
          <w:rFonts w:ascii="Calibri" w:eastAsia="Times New Roman" w:hAnsi="Calibri" w:cs="Calibri"/>
          <w:i/>
          <w:iCs/>
          <w:kern w:val="0"/>
          <w:lang w:val="fr-FR"/>
          <w14:ligatures w14:val="none"/>
        </w:rPr>
        <w:t>baze</w:t>
      </w:r>
      <w:proofErr w:type="spellEnd"/>
      <w:r w:rsidRPr="00834B27">
        <w:rPr>
          <w:rFonts w:ascii="Calibri" w:eastAsia="Times New Roman" w:hAnsi="Calibri" w:cs="Calibri"/>
          <w:i/>
          <w:iCs/>
          <w:kern w:val="0"/>
          <w:lang w:val="fr-FR"/>
          <w14:ligatures w14:val="none"/>
        </w:rPr>
        <w:t xml:space="preserve"> se </w:t>
      </w:r>
      <w:proofErr w:type="spellStart"/>
      <w:r w:rsidRPr="00834B27">
        <w:rPr>
          <w:rFonts w:ascii="Calibri" w:eastAsia="Times New Roman" w:hAnsi="Calibri" w:cs="Calibri"/>
          <w:i/>
          <w:iCs/>
          <w:kern w:val="0"/>
          <w:lang w:val="fr-FR"/>
          <w14:ligatures w14:val="none"/>
        </w:rPr>
        <w:t>situează</w:t>
      </w:r>
      <w:proofErr w:type="spellEnd"/>
      <w:r w:rsidRPr="00834B27">
        <w:rPr>
          <w:rFonts w:ascii="Calibri" w:eastAsia="Times New Roman" w:hAnsi="Calibri" w:cs="Calibri"/>
          <w:i/>
          <w:iCs/>
          <w:kern w:val="0"/>
          <w:lang w:val="fr-FR"/>
          <w14:ligatures w14:val="none"/>
        </w:rPr>
        <w:t xml:space="preserve"> </w:t>
      </w:r>
      <w:proofErr w:type="spellStart"/>
      <w:r w:rsidRPr="00834B27">
        <w:rPr>
          <w:rFonts w:ascii="Calibri" w:eastAsia="Times New Roman" w:hAnsi="Calibri" w:cs="Calibri"/>
          <w:i/>
          <w:iCs/>
          <w:kern w:val="0"/>
          <w:lang w:val="fr-FR"/>
          <w14:ligatures w14:val="none"/>
        </w:rPr>
        <w:t>sub</w:t>
      </w:r>
      <w:proofErr w:type="spellEnd"/>
      <w:r w:rsidRPr="00834B27">
        <w:rPr>
          <w:rFonts w:ascii="Calibri" w:eastAsia="Times New Roman" w:hAnsi="Calibri" w:cs="Calibri"/>
          <w:i/>
          <w:iCs/>
          <w:kern w:val="0"/>
          <w:lang w:val="fr-FR"/>
          <w14:ligatures w14:val="none"/>
        </w:rPr>
        <w:t xml:space="preserve"> </w:t>
      </w:r>
      <w:proofErr w:type="spellStart"/>
      <w:r w:rsidRPr="00834B27">
        <w:rPr>
          <w:rFonts w:ascii="Calibri" w:eastAsia="Times New Roman" w:hAnsi="Calibri" w:cs="Calibri"/>
          <w:i/>
          <w:iCs/>
          <w:kern w:val="0"/>
          <w:lang w:val="fr-FR"/>
          <w14:ligatures w14:val="none"/>
        </w:rPr>
        <w:t>plafon</w:t>
      </w:r>
      <w:proofErr w:type="spellEnd"/>
      <w:r w:rsidRPr="00834B27">
        <w:rPr>
          <w:rFonts w:ascii="Calibri" w:eastAsia="Times New Roman" w:hAnsi="Calibri" w:cs="Calibri"/>
          <w:i/>
          <w:iCs/>
          <w:kern w:val="0"/>
          <w:lang w:val="fr-FR"/>
          <w14:ligatures w14:val="none"/>
        </w:rPr>
        <w:t xml:space="preserve">, </w:t>
      </w:r>
      <w:proofErr w:type="spellStart"/>
      <w:r w:rsidRPr="00834B27">
        <w:rPr>
          <w:rFonts w:ascii="Calibri" w:eastAsia="Times New Roman" w:hAnsi="Calibri" w:cs="Calibri"/>
          <w:i/>
          <w:iCs/>
          <w:kern w:val="0"/>
          <w:lang w:val="fr-FR"/>
          <w14:ligatures w14:val="none"/>
        </w:rPr>
        <w:t>deoarece</w:t>
      </w:r>
      <w:proofErr w:type="spellEnd"/>
      <w:r w:rsidRPr="00834B27">
        <w:rPr>
          <w:rFonts w:ascii="Calibri" w:eastAsia="Times New Roman" w:hAnsi="Calibri" w:cs="Calibri"/>
          <w:i/>
          <w:iCs/>
          <w:kern w:val="0"/>
          <w:lang w:val="fr-FR"/>
          <w14:ligatures w14:val="none"/>
        </w:rPr>
        <w:t xml:space="preserve"> </w:t>
      </w:r>
      <w:proofErr w:type="spellStart"/>
      <w:r w:rsidRPr="00834B27">
        <w:rPr>
          <w:rFonts w:ascii="Calibri" w:eastAsia="Times New Roman" w:hAnsi="Calibri" w:cs="Calibri"/>
          <w:i/>
          <w:iCs/>
          <w:kern w:val="0"/>
          <w:lang w:val="fr-FR"/>
          <w14:ligatures w14:val="none"/>
        </w:rPr>
        <w:t>contribuabilii</w:t>
      </w:r>
      <w:proofErr w:type="spellEnd"/>
      <w:r w:rsidRPr="00834B27">
        <w:rPr>
          <w:rFonts w:ascii="Calibri" w:eastAsia="Times New Roman" w:hAnsi="Calibri" w:cs="Calibri"/>
          <w:i/>
          <w:iCs/>
          <w:kern w:val="0"/>
          <w:lang w:val="fr-FR"/>
          <w14:ligatures w14:val="none"/>
        </w:rPr>
        <w:t xml:space="preserve"> </w:t>
      </w:r>
      <w:proofErr w:type="spellStart"/>
      <w:r w:rsidRPr="00834B27">
        <w:rPr>
          <w:rFonts w:ascii="Calibri" w:eastAsia="Times New Roman" w:hAnsi="Calibri" w:cs="Calibri"/>
          <w:i/>
          <w:iCs/>
          <w:kern w:val="0"/>
          <w:lang w:val="fr-FR"/>
          <w14:ligatures w14:val="none"/>
        </w:rPr>
        <w:t>cu</w:t>
      </w:r>
      <w:proofErr w:type="spellEnd"/>
      <w:r w:rsidRPr="00834B27">
        <w:rPr>
          <w:rFonts w:ascii="Calibri" w:eastAsia="Times New Roman" w:hAnsi="Calibri" w:cs="Calibri"/>
          <w:i/>
          <w:iCs/>
          <w:kern w:val="0"/>
          <w:lang w:val="fr-FR"/>
          <w14:ligatures w14:val="none"/>
        </w:rPr>
        <w:t xml:space="preserve"> </w:t>
      </w:r>
      <w:proofErr w:type="spellStart"/>
      <w:r w:rsidRPr="00834B27">
        <w:rPr>
          <w:rFonts w:ascii="Calibri" w:eastAsia="Times New Roman" w:hAnsi="Calibri" w:cs="Calibri"/>
          <w:i/>
          <w:iCs/>
          <w:kern w:val="0"/>
          <w:lang w:val="fr-FR"/>
          <w14:ligatures w14:val="none"/>
        </w:rPr>
        <w:t>venituri</w:t>
      </w:r>
      <w:proofErr w:type="spellEnd"/>
      <w:r w:rsidRPr="00834B27">
        <w:rPr>
          <w:rFonts w:ascii="Calibri" w:eastAsia="Times New Roman" w:hAnsi="Calibri" w:cs="Calibri"/>
          <w:i/>
          <w:iCs/>
          <w:kern w:val="0"/>
          <w:lang w:val="fr-FR"/>
          <w14:ligatures w14:val="none"/>
        </w:rPr>
        <w:t xml:space="preserve"> </w:t>
      </w:r>
      <w:proofErr w:type="spellStart"/>
      <w:r w:rsidRPr="00834B27">
        <w:rPr>
          <w:rFonts w:ascii="Calibri" w:eastAsia="Times New Roman" w:hAnsi="Calibri" w:cs="Calibri"/>
          <w:i/>
          <w:iCs/>
          <w:kern w:val="0"/>
          <w:lang w:val="fr-FR"/>
          <w14:ligatures w14:val="none"/>
        </w:rPr>
        <w:t>foarte</w:t>
      </w:r>
      <w:proofErr w:type="spellEnd"/>
      <w:r w:rsidRPr="00834B27">
        <w:rPr>
          <w:rFonts w:ascii="Calibri" w:eastAsia="Times New Roman" w:hAnsi="Calibri" w:cs="Calibri"/>
          <w:i/>
          <w:iCs/>
          <w:kern w:val="0"/>
          <w:lang w:val="fr-FR"/>
          <w14:ligatures w14:val="none"/>
        </w:rPr>
        <w:t xml:space="preserve"> mari (care </w:t>
      </w:r>
      <w:proofErr w:type="spellStart"/>
      <w:r w:rsidRPr="00834B27">
        <w:rPr>
          <w:rFonts w:ascii="Calibri" w:eastAsia="Times New Roman" w:hAnsi="Calibri" w:cs="Calibri"/>
          <w:i/>
          <w:iCs/>
          <w:kern w:val="0"/>
          <w:lang w:val="fr-FR"/>
          <w14:ligatures w14:val="none"/>
        </w:rPr>
        <w:t>ar</w:t>
      </w:r>
      <w:proofErr w:type="spellEnd"/>
      <w:r w:rsidRPr="00834B27">
        <w:rPr>
          <w:rFonts w:ascii="Calibri" w:eastAsia="Times New Roman" w:hAnsi="Calibri" w:cs="Calibri"/>
          <w:i/>
          <w:iCs/>
          <w:kern w:val="0"/>
          <w:lang w:val="fr-FR"/>
          <w14:ligatures w14:val="none"/>
        </w:rPr>
        <w:t xml:space="preserve"> </w:t>
      </w:r>
      <w:proofErr w:type="spellStart"/>
      <w:r w:rsidRPr="00834B27">
        <w:rPr>
          <w:rFonts w:ascii="Calibri" w:eastAsia="Times New Roman" w:hAnsi="Calibri" w:cs="Calibri"/>
          <w:i/>
          <w:iCs/>
          <w:kern w:val="0"/>
          <w:lang w:val="fr-FR"/>
          <w14:ligatures w14:val="none"/>
        </w:rPr>
        <w:t>depăși</w:t>
      </w:r>
      <w:proofErr w:type="spellEnd"/>
      <w:r w:rsidRPr="00834B27">
        <w:rPr>
          <w:rFonts w:ascii="Calibri" w:eastAsia="Times New Roman" w:hAnsi="Calibri" w:cs="Calibri"/>
          <w:i/>
          <w:iCs/>
          <w:kern w:val="0"/>
          <w:lang w:val="fr-FR"/>
          <w14:ligatures w14:val="none"/>
        </w:rPr>
        <w:t xml:space="preserve"> </w:t>
      </w:r>
      <w:proofErr w:type="spellStart"/>
      <w:r w:rsidRPr="00834B27">
        <w:rPr>
          <w:rFonts w:ascii="Calibri" w:eastAsia="Times New Roman" w:hAnsi="Calibri" w:cs="Calibri"/>
          <w:i/>
          <w:iCs/>
          <w:kern w:val="0"/>
          <w:lang w:val="fr-FR"/>
          <w14:ligatures w14:val="none"/>
        </w:rPr>
        <w:t>plafonul</w:t>
      </w:r>
      <w:proofErr w:type="spellEnd"/>
      <w:r w:rsidRPr="00834B27">
        <w:rPr>
          <w:rFonts w:ascii="Calibri" w:eastAsia="Times New Roman" w:hAnsi="Calibri" w:cs="Calibri"/>
          <w:i/>
          <w:iCs/>
          <w:kern w:val="0"/>
          <w:lang w:val="fr-FR"/>
          <w14:ligatures w14:val="none"/>
        </w:rPr>
        <w:t xml:space="preserve">) </w:t>
      </w:r>
      <w:proofErr w:type="spellStart"/>
      <w:r w:rsidRPr="00834B27">
        <w:rPr>
          <w:rFonts w:ascii="Calibri" w:eastAsia="Times New Roman" w:hAnsi="Calibri" w:cs="Calibri"/>
          <w:i/>
          <w:iCs/>
          <w:kern w:val="0"/>
          <w:lang w:val="fr-FR"/>
          <w14:ligatures w14:val="none"/>
        </w:rPr>
        <w:t>sunt</w:t>
      </w:r>
      <w:proofErr w:type="spellEnd"/>
      <w:r w:rsidRPr="00834B27">
        <w:rPr>
          <w:rFonts w:ascii="Calibri" w:eastAsia="Times New Roman" w:hAnsi="Calibri" w:cs="Calibri"/>
          <w:i/>
          <w:iCs/>
          <w:kern w:val="0"/>
          <w:lang w:val="fr-FR"/>
          <w14:ligatures w14:val="none"/>
        </w:rPr>
        <w:t xml:space="preserve"> </w:t>
      </w:r>
      <w:proofErr w:type="spellStart"/>
      <w:r w:rsidRPr="00834B27">
        <w:rPr>
          <w:rFonts w:ascii="Calibri" w:eastAsia="Times New Roman" w:hAnsi="Calibri" w:cs="Calibri"/>
          <w:i/>
          <w:iCs/>
          <w:kern w:val="0"/>
          <w:lang w:val="fr-FR"/>
          <w14:ligatures w14:val="none"/>
        </w:rPr>
        <w:t>relativ</w:t>
      </w:r>
      <w:proofErr w:type="spellEnd"/>
      <w:r w:rsidRPr="00834B27">
        <w:rPr>
          <w:rFonts w:ascii="Calibri" w:eastAsia="Times New Roman" w:hAnsi="Calibri" w:cs="Calibri"/>
          <w:i/>
          <w:iCs/>
          <w:kern w:val="0"/>
          <w:lang w:val="fr-FR"/>
          <w14:ligatures w14:val="none"/>
        </w:rPr>
        <w:t xml:space="preserve"> </w:t>
      </w:r>
      <w:proofErr w:type="spellStart"/>
      <w:r w:rsidRPr="00834B27">
        <w:rPr>
          <w:rFonts w:ascii="Calibri" w:eastAsia="Times New Roman" w:hAnsi="Calibri" w:cs="Calibri"/>
          <w:i/>
          <w:iCs/>
          <w:kern w:val="0"/>
          <w:lang w:val="fr-FR"/>
          <w14:ligatures w14:val="none"/>
        </w:rPr>
        <w:t>puțini</w:t>
      </w:r>
      <w:proofErr w:type="spellEnd"/>
      <w:r w:rsidRPr="00834B27">
        <w:rPr>
          <w:rFonts w:ascii="Calibri" w:eastAsia="Times New Roman" w:hAnsi="Calibri" w:cs="Calibri"/>
          <w:i/>
          <w:iCs/>
          <w:kern w:val="0"/>
          <w:lang w:val="fr-FR"/>
          <w14:ligatures w14:val="none"/>
        </w:rPr>
        <w:t xml:space="preserve"> </w:t>
      </w:r>
      <w:proofErr w:type="spellStart"/>
      <w:r w:rsidRPr="00834B27">
        <w:rPr>
          <w:rFonts w:ascii="Calibri" w:eastAsia="Times New Roman" w:hAnsi="Calibri" w:cs="Calibri"/>
          <w:i/>
          <w:iCs/>
          <w:kern w:val="0"/>
          <w:lang w:val="fr-FR"/>
          <w14:ligatures w14:val="none"/>
        </w:rPr>
        <w:t>numeric</w:t>
      </w:r>
      <w:proofErr w:type="spellEnd"/>
      <w:r w:rsidRPr="00834B27">
        <w:rPr>
          <w:rFonts w:ascii="Calibri" w:eastAsia="Times New Roman" w:hAnsi="Calibri" w:cs="Calibri"/>
          <w:i/>
          <w:iCs/>
          <w:kern w:val="0"/>
          <w:lang w:val="fr-FR"/>
          <w14:ligatures w14:val="none"/>
        </w:rPr>
        <w:t xml:space="preserve">, </w:t>
      </w:r>
      <w:proofErr w:type="spellStart"/>
      <w:r w:rsidRPr="00834B27">
        <w:rPr>
          <w:rFonts w:ascii="Calibri" w:eastAsia="Times New Roman" w:hAnsi="Calibri" w:cs="Calibri"/>
          <w:i/>
          <w:iCs/>
          <w:kern w:val="0"/>
          <w:lang w:val="fr-FR"/>
          <w14:ligatures w14:val="none"/>
        </w:rPr>
        <w:t>în</w:t>
      </w:r>
      <w:proofErr w:type="spellEnd"/>
      <w:r w:rsidRPr="00834B27">
        <w:rPr>
          <w:rFonts w:ascii="Calibri" w:eastAsia="Times New Roman" w:hAnsi="Calibri" w:cs="Calibri"/>
          <w:i/>
          <w:iCs/>
          <w:kern w:val="0"/>
          <w:lang w:val="fr-FR"/>
          <w14:ligatures w14:val="none"/>
        </w:rPr>
        <w:t xml:space="preserve"> </w:t>
      </w:r>
      <w:proofErr w:type="spellStart"/>
      <w:r w:rsidRPr="00834B27">
        <w:rPr>
          <w:rFonts w:ascii="Calibri" w:eastAsia="Times New Roman" w:hAnsi="Calibri" w:cs="Calibri"/>
          <w:i/>
          <w:iCs/>
          <w:kern w:val="0"/>
          <w:lang w:val="fr-FR"/>
          <w14:ligatures w14:val="none"/>
        </w:rPr>
        <w:t>timp</w:t>
      </w:r>
      <w:proofErr w:type="spellEnd"/>
      <w:r w:rsidRPr="00834B27">
        <w:rPr>
          <w:rFonts w:ascii="Calibri" w:eastAsia="Times New Roman" w:hAnsi="Calibri" w:cs="Calibri"/>
          <w:i/>
          <w:iCs/>
          <w:kern w:val="0"/>
          <w:lang w:val="fr-FR"/>
          <w14:ligatures w14:val="none"/>
        </w:rPr>
        <w:t xml:space="preserve"> ce </w:t>
      </w:r>
      <w:proofErr w:type="spellStart"/>
      <w:r w:rsidRPr="00834B27">
        <w:rPr>
          <w:rFonts w:ascii="Calibri" w:eastAsia="Times New Roman" w:hAnsi="Calibri" w:cs="Calibri"/>
          <w:i/>
          <w:iCs/>
          <w:kern w:val="0"/>
          <w:lang w:val="fr-FR"/>
          <w14:ligatures w14:val="none"/>
        </w:rPr>
        <w:t>masa</w:t>
      </w:r>
      <w:proofErr w:type="spellEnd"/>
      <w:r w:rsidRPr="00834B27">
        <w:rPr>
          <w:rFonts w:ascii="Calibri" w:eastAsia="Times New Roman" w:hAnsi="Calibri" w:cs="Calibri"/>
          <w:i/>
          <w:iCs/>
          <w:kern w:val="0"/>
          <w:lang w:val="fr-FR"/>
          <w14:ligatures w14:val="none"/>
        </w:rPr>
        <w:t xml:space="preserve"> </w:t>
      </w:r>
      <w:proofErr w:type="spellStart"/>
      <w:r w:rsidRPr="00834B27">
        <w:rPr>
          <w:rFonts w:ascii="Calibri" w:eastAsia="Times New Roman" w:hAnsi="Calibri" w:cs="Calibri"/>
          <w:i/>
          <w:iCs/>
          <w:kern w:val="0"/>
          <w:lang w:val="fr-FR"/>
          <w14:ligatures w14:val="none"/>
        </w:rPr>
        <w:t>contribuabililor</w:t>
      </w:r>
      <w:proofErr w:type="spellEnd"/>
      <w:r w:rsidRPr="00834B27">
        <w:rPr>
          <w:rFonts w:ascii="Calibri" w:eastAsia="Times New Roman" w:hAnsi="Calibri" w:cs="Calibri"/>
          <w:i/>
          <w:iCs/>
          <w:kern w:val="0"/>
          <w:lang w:val="fr-FR"/>
          <w14:ligatures w14:val="none"/>
        </w:rPr>
        <w:t xml:space="preserve"> </w:t>
      </w:r>
      <w:proofErr w:type="spellStart"/>
      <w:r w:rsidRPr="00834B27">
        <w:rPr>
          <w:rFonts w:ascii="Calibri" w:eastAsia="Times New Roman" w:hAnsi="Calibri" w:cs="Calibri"/>
          <w:i/>
          <w:iCs/>
          <w:kern w:val="0"/>
          <w:lang w:val="fr-FR"/>
          <w14:ligatures w14:val="none"/>
        </w:rPr>
        <w:t>cu</w:t>
      </w:r>
      <w:proofErr w:type="spellEnd"/>
      <w:r w:rsidRPr="00834B27">
        <w:rPr>
          <w:rFonts w:ascii="Calibri" w:eastAsia="Times New Roman" w:hAnsi="Calibri" w:cs="Calibri"/>
          <w:i/>
          <w:iCs/>
          <w:kern w:val="0"/>
          <w:lang w:val="fr-FR"/>
          <w14:ligatures w14:val="none"/>
        </w:rPr>
        <w:t xml:space="preserve"> </w:t>
      </w:r>
      <w:proofErr w:type="spellStart"/>
      <w:r w:rsidRPr="00834B27">
        <w:rPr>
          <w:rFonts w:ascii="Calibri" w:eastAsia="Times New Roman" w:hAnsi="Calibri" w:cs="Calibri"/>
          <w:i/>
          <w:iCs/>
          <w:kern w:val="0"/>
          <w:lang w:val="fr-FR"/>
          <w14:ligatures w14:val="none"/>
        </w:rPr>
        <w:t>venituri</w:t>
      </w:r>
      <w:proofErr w:type="spellEnd"/>
      <w:r w:rsidRPr="00834B27">
        <w:rPr>
          <w:rFonts w:ascii="Calibri" w:eastAsia="Times New Roman" w:hAnsi="Calibri" w:cs="Calibri"/>
          <w:i/>
          <w:iCs/>
          <w:kern w:val="0"/>
          <w:lang w:val="fr-FR"/>
          <w14:ligatures w14:val="none"/>
        </w:rPr>
        <w:t xml:space="preserve"> </w:t>
      </w:r>
      <w:proofErr w:type="spellStart"/>
      <w:r w:rsidRPr="00834B27">
        <w:rPr>
          <w:rFonts w:ascii="Calibri" w:eastAsia="Times New Roman" w:hAnsi="Calibri" w:cs="Calibri"/>
          <w:i/>
          <w:iCs/>
          <w:kern w:val="0"/>
          <w:lang w:val="fr-FR"/>
          <w14:ligatures w14:val="none"/>
        </w:rPr>
        <w:t>mici</w:t>
      </w:r>
      <w:proofErr w:type="spellEnd"/>
      <w:r w:rsidRPr="00834B27">
        <w:rPr>
          <w:rFonts w:ascii="Calibri" w:eastAsia="Times New Roman" w:hAnsi="Calibri" w:cs="Calibri"/>
          <w:i/>
          <w:iCs/>
          <w:kern w:val="0"/>
          <w:lang w:val="fr-FR"/>
          <w14:ligatures w14:val="none"/>
        </w:rPr>
        <w:t xml:space="preserve"> </w:t>
      </w:r>
      <w:proofErr w:type="spellStart"/>
      <w:r w:rsidRPr="00834B27">
        <w:rPr>
          <w:rFonts w:ascii="Calibri" w:eastAsia="Times New Roman" w:hAnsi="Calibri" w:cs="Calibri"/>
          <w:i/>
          <w:iCs/>
          <w:kern w:val="0"/>
          <w:lang w:val="fr-FR"/>
          <w14:ligatures w14:val="none"/>
        </w:rPr>
        <w:t>și</w:t>
      </w:r>
      <w:proofErr w:type="spellEnd"/>
      <w:r w:rsidRPr="00834B27">
        <w:rPr>
          <w:rFonts w:ascii="Calibri" w:eastAsia="Times New Roman" w:hAnsi="Calibri" w:cs="Calibri"/>
          <w:i/>
          <w:iCs/>
          <w:kern w:val="0"/>
          <w:lang w:val="fr-FR"/>
          <w14:ligatures w14:val="none"/>
        </w:rPr>
        <w:t xml:space="preserve"> </w:t>
      </w:r>
      <w:proofErr w:type="spellStart"/>
      <w:r w:rsidRPr="00834B27">
        <w:rPr>
          <w:rFonts w:ascii="Calibri" w:eastAsia="Times New Roman" w:hAnsi="Calibri" w:cs="Calibri"/>
          <w:i/>
          <w:iCs/>
          <w:kern w:val="0"/>
          <w:lang w:val="fr-FR"/>
          <w14:ligatures w14:val="none"/>
        </w:rPr>
        <w:t>medii</w:t>
      </w:r>
      <w:proofErr w:type="spellEnd"/>
      <w:r w:rsidRPr="00834B27">
        <w:rPr>
          <w:rFonts w:ascii="Calibri" w:eastAsia="Times New Roman" w:hAnsi="Calibri" w:cs="Calibri"/>
          <w:i/>
          <w:iCs/>
          <w:kern w:val="0"/>
          <w:lang w:val="fr-FR"/>
          <w14:ligatures w14:val="none"/>
        </w:rPr>
        <w:t xml:space="preserve"> care s-au </w:t>
      </w:r>
      <w:proofErr w:type="spellStart"/>
      <w:r w:rsidRPr="00834B27">
        <w:rPr>
          <w:rFonts w:ascii="Calibri" w:eastAsia="Times New Roman" w:hAnsi="Calibri" w:cs="Calibri"/>
          <w:i/>
          <w:iCs/>
          <w:kern w:val="0"/>
          <w:lang w:val="fr-FR"/>
          <w14:ligatures w14:val="none"/>
        </w:rPr>
        <w:t>conformat</w:t>
      </w:r>
      <w:proofErr w:type="spellEnd"/>
      <w:r w:rsidRPr="00834B27">
        <w:rPr>
          <w:rFonts w:ascii="Calibri" w:eastAsia="Times New Roman" w:hAnsi="Calibri" w:cs="Calibri"/>
          <w:i/>
          <w:iCs/>
          <w:kern w:val="0"/>
          <w:lang w:val="fr-FR"/>
          <w14:ligatures w14:val="none"/>
        </w:rPr>
        <w:t xml:space="preserve"> este mare. </w:t>
      </w:r>
      <w:r w:rsidRPr="00834B27">
        <w:rPr>
          <w:rFonts w:ascii="Calibri" w:eastAsia="Times New Roman" w:hAnsi="Calibri" w:cs="Calibri"/>
          <w:i/>
          <w:iCs/>
          <w:kern w:val="0"/>
          <w:lang w:val="it-IT"/>
          <w14:ligatures w14:val="none"/>
        </w:rPr>
        <w:t>Plafonarea CAS afectează un procent tot mai mic din baza totală. Pierderea din plafonare ca proporție din veniturile bugetare scade în timp. Câștigul din formalizare ca proporție din veniturile bugetare crește în timp.</w:t>
      </w:r>
    </w:p>
    <w:p w14:paraId="4BB0AAE4" w14:textId="77777777" w:rsidR="00BC5BFD" w:rsidRPr="00834B27" w:rsidRDefault="00BC5BFD" w:rsidP="00BC5BFD">
      <w:pPr>
        <w:spacing w:before="100" w:beforeAutospacing="1" w:after="100" w:afterAutospacing="1" w:line="240" w:lineRule="auto"/>
        <w:jc w:val="both"/>
        <w:rPr>
          <w:rFonts w:ascii="Calibri" w:eastAsia="Times New Roman" w:hAnsi="Calibri" w:cs="Calibri"/>
          <w:i/>
          <w:iCs/>
          <w:kern w:val="0"/>
          <w:lang w:val="it-IT"/>
          <w14:ligatures w14:val="none"/>
        </w:rPr>
      </w:pPr>
      <w:r w:rsidRPr="00834B27">
        <w:rPr>
          <w:rFonts w:ascii="Calibri" w:eastAsia="Times New Roman" w:hAnsi="Calibri" w:cs="Calibri"/>
          <w:b/>
          <w:bCs/>
          <w:i/>
          <w:iCs/>
          <w:kern w:val="0"/>
          <w:lang w:val="it-IT"/>
          <w14:ligatures w14:val="none"/>
        </w:rPr>
        <w:t>Concluzia acestui mecanism este robustă: plafonarea contribuțiilor întărește reforma.</w:t>
      </w:r>
      <w:r w:rsidRPr="00834B27">
        <w:rPr>
          <w:rFonts w:ascii="Calibri" w:eastAsia="Times New Roman" w:hAnsi="Calibri" w:cs="Calibri"/>
          <w:i/>
          <w:iCs/>
          <w:kern w:val="0"/>
          <w:lang w:val="it-IT"/>
          <w14:ligatures w14:val="none"/>
        </w:rPr>
        <w:t xml:space="preserve"> Plafonarea este cea care elimină stimulentul de arbitraj (dacă nu ar exista plafon, veniturile mari din muncă ar avea SFT de 46,5%, ceea ce ar menține un stimulent puternic de evitare). Eliminarea </w:t>
      </w:r>
      <w:r w:rsidRPr="00834B27">
        <w:rPr>
          <w:rFonts w:ascii="Calibri" w:eastAsia="Times New Roman" w:hAnsi="Calibri" w:cs="Calibri"/>
          <w:i/>
          <w:iCs/>
          <w:kern w:val="0"/>
          <w:lang w:val="it-IT"/>
          <w14:ligatures w14:val="none"/>
        </w:rPr>
        <w:lastRenderedPageBreak/>
        <w:t>stimulentului de arbitraj este cea care lărgește baza. Lărgirea bazei este cea care compensează — și, în timp, depășește semnificativ — pierderea din plafonare. Reforma se finanțează pe sine însăși, cu o marjă care crește în timp.</w:t>
      </w:r>
    </w:p>
    <w:p w14:paraId="5398BBBA" w14:textId="77777777" w:rsidR="00BC5BFD" w:rsidRPr="00834B27" w:rsidRDefault="00BC5BFD" w:rsidP="00BC5BFD">
      <w:pPr>
        <w:spacing w:after="0" w:line="240" w:lineRule="auto"/>
        <w:jc w:val="both"/>
        <w:outlineLvl w:val="2"/>
        <w:rPr>
          <w:rFonts w:ascii="Calibri" w:eastAsia="Times New Roman" w:hAnsi="Calibri" w:cs="Calibri"/>
          <w:b/>
          <w:bCs/>
          <w:kern w:val="0"/>
          <w:lang w:val="it-IT"/>
          <w14:ligatures w14:val="none"/>
        </w:rPr>
      </w:pPr>
      <w:r w:rsidRPr="00834B27">
        <w:rPr>
          <w:rFonts w:ascii="Calibri" w:eastAsia="Times New Roman" w:hAnsi="Calibri" w:cs="Calibri"/>
          <w:b/>
          <w:bCs/>
          <w:kern w:val="0"/>
          <w:lang w:val="it-IT"/>
          <w14:ligatures w14:val="none"/>
        </w:rPr>
        <w:t>Angajament de responsabilitate</w:t>
      </w:r>
    </w:p>
    <w:p w14:paraId="2566B2AD" w14:textId="77777777" w:rsidR="00BC5BFD" w:rsidRPr="00834B27" w:rsidRDefault="00BC5BFD" w:rsidP="00BC5BFD">
      <w:pPr>
        <w:spacing w:after="0" w:line="240" w:lineRule="auto"/>
        <w:jc w:val="both"/>
        <w:rPr>
          <w:rFonts w:ascii="Calibri" w:eastAsia="Times New Roman" w:hAnsi="Calibri" w:cs="Calibri"/>
          <w:kern w:val="0"/>
          <w:lang w:val="it-IT"/>
          <w14:ligatures w14:val="none"/>
        </w:rPr>
      </w:pPr>
      <w:r w:rsidRPr="00834B27">
        <w:rPr>
          <w:rFonts w:ascii="Calibri" w:eastAsia="Times New Roman" w:hAnsi="Calibri" w:cs="Calibri"/>
          <w:kern w:val="0"/>
          <w:lang w:val="it-IT"/>
          <w14:ligatures w14:val="none"/>
        </w:rPr>
        <w:t>Prezentul studiu nu este o promisiune de rezultate. Este o analiză profesionistă, fundamentată pe date publice, pe metodologii recunoscute și pe experiența comparată a statelor care au implementat reforme similare. Estimările sunt prudente, limitările sunt declarate, și raționamentele sunt transparente.</w:t>
      </w:r>
    </w:p>
    <w:p w14:paraId="6FE16419" w14:textId="77777777" w:rsidR="00BC5BFD" w:rsidRPr="00834B27" w:rsidRDefault="00BC5BFD" w:rsidP="00BC5BFD">
      <w:pPr>
        <w:spacing w:before="100" w:beforeAutospacing="1" w:after="100" w:afterAutospacing="1" w:line="240" w:lineRule="auto"/>
        <w:jc w:val="both"/>
        <w:rPr>
          <w:rFonts w:ascii="Calibri" w:eastAsia="Times New Roman" w:hAnsi="Calibri" w:cs="Calibri"/>
          <w:kern w:val="0"/>
          <w:lang w:val="it-IT"/>
          <w14:ligatures w14:val="none"/>
        </w:rPr>
      </w:pPr>
      <w:r w:rsidRPr="00834B27">
        <w:rPr>
          <w:rFonts w:ascii="Calibri" w:eastAsia="Times New Roman" w:hAnsi="Calibri" w:cs="Calibri"/>
          <w:kern w:val="0"/>
          <w:lang w:val="it-IT"/>
          <w14:ligatures w14:val="none"/>
        </w:rPr>
        <w:t xml:space="preserve">Ceea ce putem afirma cu certitudine este că reforma propusă respectă integral principiile directoare enunțate în preambulul studiului — principii consacrate în practica unanimă a OCDE, a Uniunii Europene și a fiecărui sistem fiscal funcțional. Atunci când o reformă respectă simultan echitatea orizontală, lărgirea bazei, plafonarea obligațiilor, protecția veniturilor mici, stabilizarea legislativă și alinierea la standardele europene, consecința naturală este creșterea conformării și a veniturilor bugetare. </w:t>
      </w:r>
    </w:p>
    <w:p w14:paraId="34C9F756" w14:textId="77777777" w:rsidR="00BC5BFD" w:rsidRPr="00834B27" w:rsidRDefault="00BC5BFD" w:rsidP="00BC5BFD">
      <w:pPr>
        <w:spacing w:before="100" w:beforeAutospacing="1" w:after="100" w:afterAutospacing="1" w:line="240" w:lineRule="auto"/>
        <w:jc w:val="both"/>
        <w:rPr>
          <w:rFonts w:ascii="Calibri" w:eastAsia="Times New Roman" w:hAnsi="Calibri" w:cs="Calibri"/>
          <w:kern w:val="0"/>
          <w:lang w:val="it-IT"/>
          <w14:ligatures w14:val="none"/>
        </w:rPr>
      </w:pPr>
      <w:r w:rsidRPr="00834B27">
        <w:rPr>
          <w:rFonts w:ascii="Calibri" w:eastAsia="Times New Roman" w:hAnsi="Calibri" w:cs="Calibri"/>
          <w:kern w:val="0"/>
          <w:lang w:val="it-IT"/>
          <w14:ligatures w14:val="none"/>
        </w:rPr>
        <w:t>Marja de siguranță bugetară a reformei este reală, demonstrabilă și crescătoare în timp. Excedentul static de 4,7 miliarde lei este doar punctul de plecare. Mecanismul de auto-corecție descris mai sus — migrare inversă, formalizare, efect anti-erodare, stabilizare — adaugă venituri suplimentare care, în estimarea noastră conservatoare, vor depăși 10 miliarde lei pe an în termen de 3–5 ani de la implementarea integrală a pachetului.</w:t>
      </w:r>
    </w:p>
    <w:p w14:paraId="43227994" w14:textId="77777777" w:rsidR="00BC5BFD" w:rsidRPr="00834B27" w:rsidRDefault="00BC5BFD" w:rsidP="00BC5BFD">
      <w:pPr>
        <w:spacing w:before="100" w:beforeAutospacing="1" w:after="100" w:afterAutospacing="1" w:line="240" w:lineRule="auto"/>
        <w:jc w:val="both"/>
        <w:rPr>
          <w:rFonts w:ascii="Calibri" w:eastAsia="Times New Roman" w:hAnsi="Calibri" w:cs="Calibri"/>
          <w:kern w:val="0"/>
          <w:lang w:val="it-IT"/>
          <w14:ligatures w14:val="none"/>
        </w:rPr>
      </w:pPr>
      <w:r w:rsidRPr="00834B27">
        <w:rPr>
          <w:rFonts w:ascii="Calibri" w:eastAsia="Times New Roman" w:hAnsi="Calibri" w:cs="Calibri"/>
          <w:kern w:val="0"/>
          <w:lang w:val="it-IT"/>
          <w14:ligatures w14:val="none"/>
        </w:rPr>
        <w:t>Recomandăm cu fermitate ca ANAF să efectueze, anterior adoptării pachetului legislativ, o microsimulare pe microdatele existente — în special privind suprapunerile de venituri din surse multiple și distribuția reală a profiturilor microîntreprinderilor — exercițiu tehnic fezabil în 60–90 de zile, care ar valida sau ajusta estimările prezentate și ar furniza factorilor de decizie o bază de calibrare suplimentară.</w:t>
      </w:r>
    </w:p>
    <w:p w14:paraId="1C9F0CB7" w14:textId="77777777" w:rsidR="00BC5BFD" w:rsidRPr="00834B27" w:rsidRDefault="00BC5BFD" w:rsidP="00BC5BFD">
      <w:pPr>
        <w:pStyle w:val="font-claude-response-body"/>
        <w:spacing w:before="0" w:beforeAutospacing="0" w:after="0" w:afterAutospacing="0"/>
        <w:jc w:val="both"/>
        <w:rPr>
          <w:rFonts w:ascii="Calibri" w:hAnsi="Calibri" w:cs="Calibri"/>
          <w:lang w:val="fr-FR"/>
        </w:rPr>
      </w:pPr>
      <w:r w:rsidRPr="00834B27">
        <w:rPr>
          <w:rStyle w:val="Robust"/>
          <w:rFonts w:ascii="Calibri" w:eastAsiaTheme="majorEastAsia" w:hAnsi="Calibri" w:cs="Calibri"/>
          <w:lang w:val="fr-FR"/>
        </w:rPr>
        <w:t xml:space="preserve">De ce reforma </w:t>
      </w:r>
      <w:proofErr w:type="spellStart"/>
      <w:r w:rsidRPr="00834B27">
        <w:rPr>
          <w:rStyle w:val="Robust"/>
          <w:rFonts w:ascii="Calibri" w:eastAsiaTheme="majorEastAsia" w:hAnsi="Calibri" w:cs="Calibri"/>
          <w:lang w:val="fr-FR"/>
        </w:rPr>
        <w:t>merită</w:t>
      </w:r>
      <w:proofErr w:type="spellEnd"/>
      <w:r w:rsidRPr="00834B27">
        <w:rPr>
          <w:rStyle w:val="Robust"/>
          <w:rFonts w:ascii="Calibri" w:eastAsiaTheme="majorEastAsia" w:hAnsi="Calibri" w:cs="Calibri"/>
          <w:lang w:val="fr-FR"/>
        </w:rPr>
        <w:t xml:space="preserve"> </w:t>
      </w:r>
      <w:proofErr w:type="spellStart"/>
      <w:r w:rsidRPr="00834B27">
        <w:rPr>
          <w:rStyle w:val="Robust"/>
          <w:rFonts w:ascii="Calibri" w:eastAsiaTheme="majorEastAsia" w:hAnsi="Calibri" w:cs="Calibri"/>
          <w:lang w:val="fr-FR"/>
        </w:rPr>
        <w:t>făcută</w:t>
      </w:r>
      <w:proofErr w:type="spellEnd"/>
      <w:r w:rsidRPr="00834B27">
        <w:rPr>
          <w:rStyle w:val="Robust"/>
          <w:rFonts w:ascii="Calibri" w:eastAsiaTheme="majorEastAsia" w:hAnsi="Calibri" w:cs="Calibri"/>
          <w:lang w:val="fr-FR"/>
        </w:rPr>
        <w:t xml:space="preserve"> </w:t>
      </w:r>
      <w:proofErr w:type="spellStart"/>
      <w:r w:rsidRPr="00834B27">
        <w:rPr>
          <w:rStyle w:val="Robust"/>
          <w:rFonts w:ascii="Calibri" w:eastAsiaTheme="majorEastAsia" w:hAnsi="Calibri" w:cs="Calibri"/>
          <w:lang w:val="fr-FR"/>
        </w:rPr>
        <w:t>chiar</w:t>
      </w:r>
      <w:proofErr w:type="spellEnd"/>
      <w:r w:rsidRPr="00834B27">
        <w:rPr>
          <w:rStyle w:val="Robust"/>
          <w:rFonts w:ascii="Calibri" w:eastAsiaTheme="majorEastAsia" w:hAnsi="Calibri" w:cs="Calibri"/>
          <w:lang w:val="fr-FR"/>
        </w:rPr>
        <w:t xml:space="preserve"> </w:t>
      </w:r>
      <w:proofErr w:type="spellStart"/>
      <w:r w:rsidRPr="00834B27">
        <w:rPr>
          <w:rStyle w:val="Robust"/>
          <w:rFonts w:ascii="Calibri" w:eastAsiaTheme="majorEastAsia" w:hAnsi="Calibri" w:cs="Calibri"/>
          <w:lang w:val="fr-FR"/>
        </w:rPr>
        <w:t>dacă</w:t>
      </w:r>
      <w:proofErr w:type="spellEnd"/>
      <w:r w:rsidRPr="00834B27">
        <w:rPr>
          <w:rStyle w:val="Robust"/>
          <w:rFonts w:ascii="Calibri" w:eastAsiaTheme="majorEastAsia" w:hAnsi="Calibri" w:cs="Calibri"/>
          <w:lang w:val="fr-FR"/>
        </w:rPr>
        <w:t xml:space="preserve"> </w:t>
      </w:r>
      <w:proofErr w:type="spellStart"/>
      <w:r w:rsidRPr="00834B27">
        <w:rPr>
          <w:rStyle w:val="Robust"/>
          <w:rFonts w:ascii="Calibri" w:eastAsiaTheme="majorEastAsia" w:hAnsi="Calibri" w:cs="Calibri"/>
          <w:lang w:val="fr-FR"/>
        </w:rPr>
        <w:t>estimările</w:t>
      </w:r>
      <w:proofErr w:type="spellEnd"/>
      <w:r w:rsidRPr="00834B27">
        <w:rPr>
          <w:rStyle w:val="Robust"/>
          <w:rFonts w:ascii="Calibri" w:eastAsiaTheme="majorEastAsia" w:hAnsi="Calibri" w:cs="Calibri"/>
          <w:lang w:val="fr-FR"/>
        </w:rPr>
        <w:t xml:space="preserve"> nu </w:t>
      </w:r>
      <w:proofErr w:type="spellStart"/>
      <w:r w:rsidRPr="00834B27">
        <w:rPr>
          <w:rStyle w:val="Robust"/>
          <w:rFonts w:ascii="Calibri" w:eastAsiaTheme="majorEastAsia" w:hAnsi="Calibri" w:cs="Calibri"/>
          <w:lang w:val="fr-FR"/>
        </w:rPr>
        <w:t>sunt</w:t>
      </w:r>
      <w:proofErr w:type="spellEnd"/>
      <w:r w:rsidRPr="00834B27">
        <w:rPr>
          <w:rStyle w:val="Robust"/>
          <w:rFonts w:ascii="Calibri" w:eastAsiaTheme="majorEastAsia" w:hAnsi="Calibri" w:cs="Calibri"/>
          <w:lang w:val="fr-FR"/>
        </w:rPr>
        <w:t xml:space="preserve"> </w:t>
      </w:r>
      <w:proofErr w:type="spellStart"/>
      <w:proofErr w:type="gramStart"/>
      <w:r w:rsidRPr="00834B27">
        <w:rPr>
          <w:rStyle w:val="Robust"/>
          <w:rFonts w:ascii="Calibri" w:eastAsiaTheme="majorEastAsia" w:hAnsi="Calibri" w:cs="Calibri"/>
          <w:lang w:val="fr-FR"/>
        </w:rPr>
        <w:t>perfecte</w:t>
      </w:r>
      <w:proofErr w:type="spellEnd"/>
      <w:r w:rsidRPr="00834B27">
        <w:rPr>
          <w:rStyle w:val="Robust"/>
          <w:rFonts w:ascii="Calibri" w:eastAsiaTheme="majorEastAsia" w:hAnsi="Calibri" w:cs="Calibri"/>
          <w:lang w:val="fr-FR"/>
        </w:rPr>
        <w:t>:</w:t>
      </w:r>
      <w:proofErr w:type="gramEnd"/>
    </w:p>
    <w:p w14:paraId="1CB79C2E" w14:textId="77777777" w:rsidR="00BC5BFD" w:rsidRPr="00834B27" w:rsidRDefault="00BC5BFD" w:rsidP="00BC5BFD">
      <w:pPr>
        <w:pStyle w:val="font-claude-response-body"/>
        <w:spacing w:before="0" w:beforeAutospacing="0" w:after="0" w:afterAutospacing="0"/>
        <w:jc w:val="both"/>
        <w:rPr>
          <w:rFonts w:ascii="Calibri" w:hAnsi="Calibri" w:cs="Calibri"/>
          <w:b/>
          <w:bCs/>
          <w:lang w:val="fr-FR"/>
        </w:rPr>
      </w:pPr>
      <w:proofErr w:type="spellStart"/>
      <w:r w:rsidRPr="00834B27">
        <w:rPr>
          <w:rFonts w:ascii="Calibri" w:hAnsi="Calibri" w:cs="Calibri"/>
          <w:lang w:val="fr-FR"/>
        </w:rPr>
        <w:t>Există</w:t>
      </w:r>
      <w:proofErr w:type="spellEnd"/>
      <w:r w:rsidRPr="00834B27">
        <w:rPr>
          <w:rFonts w:ascii="Calibri" w:hAnsi="Calibri" w:cs="Calibri"/>
          <w:lang w:val="fr-FR"/>
        </w:rPr>
        <w:t xml:space="preserve"> </w:t>
      </w:r>
      <w:proofErr w:type="spellStart"/>
      <w:r w:rsidRPr="00834B27">
        <w:rPr>
          <w:rFonts w:ascii="Calibri" w:hAnsi="Calibri" w:cs="Calibri"/>
          <w:lang w:val="fr-FR"/>
        </w:rPr>
        <w:t>în</w:t>
      </w:r>
      <w:proofErr w:type="spellEnd"/>
      <w:r w:rsidRPr="00834B27">
        <w:rPr>
          <w:rFonts w:ascii="Calibri" w:hAnsi="Calibri" w:cs="Calibri"/>
          <w:lang w:val="fr-FR"/>
        </w:rPr>
        <w:t xml:space="preserve"> </w:t>
      </w:r>
      <w:proofErr w:type="spellStart"/>
      <w:r w:rsidRPr="00834B27">
        <w:rPr>
          <w:rFonts w:ascii="Calibri" w:hAnsi="Calibri" w:cs="Calibri"/>
          <w:lang w:val="fr-FR"/>
        </w:rPr>
        <w:t>teoria</w:t>
      </w:r>
      <w:proofErr w:type="spellEnd"/>
      <w:r w:rsidRPr="00834B27">
        <w:rPr>
          <w:rFonts w:ascii="Calibri" w:hAnsi="Calibri" w:cs="Calibri"/>
          <w:lang w:val="fr-FR"/>
        </w:rPr>
        <w:t xml:space="preserve"> </w:t>
      </w:r>
      <w:proofErr w:type="spellStart"/>
      <w:r w:rsidRPr="00834B27">
        <w:rPr>
          <w:rFonts w:ascii="Calibri" w:hAnsi="Calibri" w:cs="Calibri"/>
          <w:lang w:val="fr-FR"/>
        </w:rPr>
        <w:t>politicilor</w:t>
      </w:r>
      <w:proofErr w:type="spellEnd"/>
      <w:r w:rsidRPr="00834B27">
        <w:rPr>
          <w:rFonts w:ascii="Calibri" w:hAnsi="Calibri" w:cs="Calibri"/>
          <w:lang w:val="fr-FR"/>
        </w:rPr>
        <w:t xml:space="preserve"> </w:t>
      </w:r>
      <w:proofErr w:type="spellStart"/>
      <w:r w:rsidRPr="00834B27">
        <w:rPr>
          <w:rFonts w:ascii="Calibri" w:hAnsi="Calibri" w:cs="Calibri"/>
          <w:lang w:val="fr-FR"/>
        </w:rPr>
        <w:t>publice</w:t>
      </w:r>
      <w:proofErr w:type="spellEnd"/>
      <w:r w:rsidRPr="00834B27">
        <w:rPr>
          <w:rFonts w:ascii="Calibri" w:hAnsi="Calibri" w:cs="Calibri"/>
          <w:lang w:val="fr-FR"/>
        </w:rPr>
        <w:t xml:space="preserve"> o </w:t>
      </w:r>
      <w:proofErr w:type="spellStart"/>
      <w:r w:rsidRPr="00834B27">
        <w:rPr>
          <w:rFonts w:ascii="Calibri" w:hAnsi="Calibri" w:cs="Calibri"/>
          <w:lang w:val="fr-FR"/>
        </w:rPr>
        <w:t>distincție</w:t>
      </w:r>
      <w:proofErr w:type="spellEnd"/>
      <w:r w:rsidRPr="00834B27">
        <w:rPr>
          <w:rFonts w:ascii="Calibri" w:hAnsi="Calibri" w:cs="Calibri"/>
          <w:lang w:val="fr-FR"/>
        </w:rPr>
        <w:t xml:space="preserve"> </w:t>
      </w:r>
      <w:proofErr w:type="spellStart"/>
      <w:r w:rsidRPr="00834B27">
        <w:rPr>
          <w:rFonts w:ascii="Calibri" w:hAnsi="Calibri" w:cs="Calibri"/>
          <w:lang w:val="fr-FR"/>
        </w:rPr>
        <w:t>fundamentală</w:t>
      </w:r>
      <w:proofErr w:type="spellEnd"/>
      <w:r w:rsidRPr="00834B27">
        <w:rPr>
          <w:rFonts w:ascii="Calibri" w:hAnsi="Calibri" w:cs="Calibri"/>
          <w:lang w:val="fr-FR"/>
        </w:rPr>
        <w:t xml:space="preserve"> </w:t>
      </w:r>
      <w:proofErr w:type="spellStart"/>
      <w:r w:rsidRPr="00834B27">
        <w:rPr>
          <w:rFonts w:ascii="Calibri" w:hAnsi="Calibri" w:cs="Calibri"/>
          <w:lang w:val="fr-FR"/>
        </w:rPr>
        <w:t>între</w:t>
      </w:r>
      <w:proofErr w:type="spellEnd"/>
      <w:r w:rsidRPr="00834B27">
        <w:rPr>
          <w:rFonts w:ascii="Calibri" w:hAnsi="Calibri" w:cs="Calibri"/>
          <w:lang w:val="fr-FR"/>
        </w:rPr>
        <w:t xml:space="preserve"> </w:t>
      </w:r>
      <w:proofErr w:type="spellStart"/>
      <w:r w:rsidRPr="00834B27">
        <w:rPr>
          <w:rFonts w:ascii="Calibri" w:hAnsi="Calibri" w:cs="Calibri"/>
          <w:lang w:val="fr-FR"/>
        </w:rPr>
        <w:t>reformele</w:t>
      </w:r>
      <w:proofErr w:type="spellEnd"/>
      <w:r w:rsidRPr="00834B27">
        <w:rPr>
          <w:rFonts w:ascii="Calibri" w:hAnsi="Calibri" w:cs="Calibri"/>
          <w:lang w:val="fr-FR"/>
        </w:rPr>
        <w:t xml:space="preserve"> care se </w:t>
      </w:r>
      <w:proofErr w:type="spellStart"/>
      <w:r w:rsidRPr="00834B27">
        <w:rPr>
          <w:rFonts w:ascii="Calibri" w:hAnsi="Calibri" w:cs="Calibri"/>
          <w:lang w:val="fr-FR"/>
        </w:rPr>
        <w:t>bazează</w:t>
      </w:r>
      <w:proofErr w:type="spellEnd"/>
      <w:r w:rsidRPr="00834B27">
        <w:rPr>
          <w:rFonts w:ascii="Calibri" w:hAnsi="Calibri" w:cs="Calibri"/>
          <w:lang w:val="fr-FR"/>
        </w:rPr>
        <w:t xml:space="preserve"> </w:t>
      </w:r>
      <w:proofErr w:type="spellStart"/>
      <w:r w:rsidRPr="00834B27">
        <w:rPr>
          <w:rFonts w:ascii="Calibri" w:hAnsi="Calibri" w:cs="Calibri"/>
          <w:lang w:val="fr-FR"/>
        </w:rPr>
        <w:t>pe</w:t>
      </w:r>
      <w:proofErr w:type="spellEnd"/>
      <w:r w:rsidRPr="00834B27">
        <w:rPr>
          <w:rFonts w:ascii="Calibri" w:hAnsi="Calibri" w:cs="Calibri"/>
          <w:lang w:val="fr-FR"/>
        </w:rPr>
        <w:t xml:space="preserve"> </w:t>
      </w:r>
      <w:proofErr w:type="spellStart"/>
      <w:r w:rsidRPr="00834B27">
        <w:rPr>
          <w:rFonts w:ascii="Calibri" w:hAnsi="Calibri" w:cs="Calibri"/>
          <w:lang w:val="fr-FR"/>
        </w:rPr>
        <w:t>predicții</w:t>
      </w:r>
      <w:proofErr w:type="spellEnd"/>
      <w:r w:rsidRPr="00834B27">
        <w:rPr>
          <w:rFonts w:ascii="Calibri" w:hAnsi="Calibri" w:cs="Calibri"/>
          <w:lang w:val="fr-FR"/>
        </w:rPr>
        <w:t xml:space="preserve"> exacte </w:t>
      </w:r>
      <w:proofErr w:type="spellStart"/>
      <w:r w:rsidRPr="00834B27">
        <w:rPr>
          <w:rFonts w:ascii="Calibri" w:hAnsi="Calibri" w:cs="Calibri"/>
          <w:lang w:val="fr-FR"/>
        </w:rPr>
        <w:t>și</w:t>
      </w:r>
      <w:proofErr w:type="spellEnd"/>
      <w:r w:rsidRPr="00834B27">
        <w:rPr>
          <w:rFonts w:ascii="Calibri" w:hAnsi="Calibri" w:cs="Calibri"/>
          <w:lang w:val="fr-FR"/>
        </w:rPr>
        <w:t xml:space="preserve"> </w:t>
      </w:r>
      <w:proofErr w:type="spellStart"/>
      <w:r w:rsidRPr="00834B27">
        <w:rPr>
          <w:rFonts w:ascii="Calibri" w:hAnsi="Calibri" w:cs="Calibri"/>
          <w:lang w:val="fr-FR"/>
        </w:rPr>
        <w:t>reformele</w:t>
      </w:r>
      <w:proofErr w:type="spellEnd"/>
      <w:r w:rsidRPr="00834B27">
        <w:rPr>
          <w:rFonts w:ascii="Calibri" w:hAnsi="Calibri" w:cs="Calibri"/>
          <w:lang w:val="fr-FR"/>
        </w:rPr>
        <w:t xml:space="preserve"> care se </w:t>
      </w:r>
      <w:proofErr w:type="spellStart"/>
      <w:r w:rsidRPr="00834B27">
        <w:rPr>
          <w:rFonts w:ascii="Calibri" w:hAnsi="Calibri" w:cs="Calibri"/>
          <w:lang w:val="fr-FR"/>
        </w:rPr>
        <w:t>bazează</w:t>
      </w:r>
      <w:proofErr w:type="spellEnd"/>
      <w:r w:rsidRPr="00834B27">
        <w:rPr>
          <w:rFonts w:ascii="Calibri" w:hAnsi="Calibri" w:cs="Calibri"/>
          <w:lang w:val="fr-FR"/>
        </w:rPr>
        <w:t xml:space="preserve"> </w:t>
      </w:r>
      <w:proofErr w:type="spellStart"/>
      <w:r w:rsidRPr="00834B27">
        <w:rPr>
          <w:rFonts w:ascii="Calibri" w:hAnsi="Calibri" w:cs="Calibri"/>
          <w:lang w:val="fr-FR"/>
        </w:rPr>
        <w:t>pe</w:t>
      </w:r>
      <w:proofErr w:type="spellEnd"/>
      <w:r w:rsidRPr="00834B27">
        <w:rPr>
          <w:rFonts w:ascii="Calibri" w:hAnsi="Calibri" w:cs="Calibri"/>
          <w:lang w:val="fr-FR"/>
        </w:rPr>
        <w:t xml:space="preserve"> </w:t>
      </w:r>
      <w:proofErr w:type="spellStart"/>
      <w:r w:rsidRPr="00834B27">
        <w:rPr>
          <w:rFonts w:ascii="Calibri" w:hAnsi="Calibri" w:cs="Calibri"/>
          <w:lang w:val="fr-FR"/>
        </w:rPr>
        <w:t>principii</w:t>
      </w:r>
      <w:proofErr w:type="spellEnd"/>
      <w:r w:rsidRPr="00834B27">
        <w:rPr>
          <w:rFonts w:ascii="Calibri" w:hAnsi="Calibri" w:cs="Calibri"/>
          <w:lang w:val="fr-FR"/>
        </w:rPr>
        <w:t xml:space="preserve"> </w:t>
      </w:r>
      <w:proofErr w:type="spellStart"/>
      <w:r w:rsidRPr="00834B27">
        <w:rPr>
          <w:rFonts w:ascii="Calibri" w:hAnsi="Calibri" w:cs="Calibri"/>
          <w:lang w:val="fr-FR"/>
        </w:rPr>
        <w:t>corecte</w:t>
      </w:r>
      <w:proofErr w:type="spellEnd"/>
      <w:r w:rsidRPr="00834B27">
        <w:rPr>
          <w:rFonts w:ascii="Calibri" w:hAnsi="Calibri" w:cs="Calibri"/>
          <w:lang w:val="fr-FR"/>
        </w:rPr>
        <w:t xml:space="preserve">. </w:t>
      </w:r>
      <w:proofErr w:type="spellStart"/>
      <w:r w:rsidRPr="00834B27">
        <w:rPr>
          <w:rFonts w:ascii="Calibri" w:hAnsi="Calibri" w:cs="Calibri"/>
          <w:lang w:val="fr-FR"/>
        </w:rPr>
        <w:t>Primele</w:t>
      </w:r>
      <w:proofErr w:type="spellEnd"/>
      <w:r w:rsidRPr="00834B27">
        <w:rPr>
          <w:rFonts w:ascii="Calibri" w:hAnsi="Calibri" w:cs="Calibri"/>
          <w:lang w:val="fr-FR"/>
        </w:rPr>
        <w:t xml:space="preserve"> </w:t>
      </w:r>
      <w:proofErr w:type="spellStart"/>
      <w:r w:rsidRPr="00834B27">
        <w:rPr>
          <w:rFonts w:ascii="Calibri" w:hAnsi="Calibri" w:cs="Calibri"/>
          <w:lang w:val="fr-FR"/>
        </w:rPr>
        <w:t>eșuează</w:t>
      </w:r>
      <w:proofErr w:type="spellEnd"/>
      <w:r w:rsidRPr="00834B27">
        <w:rPr>
          <w:rFonts w:ascii="Calibri" w:hAnsi="Calibri" w:cs="Calibri"/>
          <w:lang w:val="fr-FR"/>
        </w:rPr>
        <w:t xml:space="preserve"> </w:t>
      </w:r>
      <w:proofErr w:type="spellStart"/>
      <w:r w:rsidRPr="00834B27">
        <w:rPr>
          <w:rFonts w:ascii="Calibri" w:hAnsi="Calibri" w:cs="Calibri"/>
          <w:lang w:val="fr-FR"/>
        </w:rPr>
        <w:t>atunci</w:t>
      </w:r>
      <w:proofErr w:type="spellEnd"/>
      <w:r w:rsidRPr="00834B27">
        <w:rPr>
          <w:rFonts w:ascii="Calibri" w:hAnsi="Calibri" w:cs="Calibri"/>
          <w:lang w:val="fr-FR"/>
        </w:rPr>
        <w:t xml:space="preserve"> </w:t>
      </w:r>
      <w:proofErr w:type="spellStart"/>
      <w:r w:rsidRPr="00834B27">
        <w:rPr>
          <w:rFonts w:ascii="Calibri" w:hAnsi="Calibri" w:cs="Calibri"/>
          <w:lang w:val="fr-FR"/>
        </w:rPr>
        <w:t>când</w:t>
      </w:r>
      <w:proofErr w:type="spellEnd"/>
      <w:r w:rsidRPr="00834B27">
        <w:rPr>
          <w:rFonts w:ascii="Calibri" w:hAnsi="Calibri" w:cs="Calibri"/>
          <w:lang w:val="fr-FR"/>
        </w:rPr>
        <w:t xml:space="preserve"> </w:t>
      </w:r>
      <w:proofErr w:type="spellStart"/>
      <w:r w:rsidRPr="00834B27">
        <w:rPr>
          <w:rFonts w:ascii="Calibri" w:hAnsi="Calibri" w:cs="Calibri"/>
          <w:lang w:val="fr-FR"/>
        </w:rPr>
        <w:t>predicțiile</w:t>
      </w:r>
      <w:proofErr w:type="spellEnd"/>
      <w:r w:rsidRPr="00834B27">
        <w:rPr>
          <w:rFonts w:ascii="Calibri" w:hAnsi="Calibri" w:cs="Calibri"/>
          <w:lang w:val="fr-FR"/>
        </w:rPr>
        <w:t xml:space="preserve"> se </w:t>
      </w:r>
      <w:proofErr w:type="spellStart"/>
      <w:r w:rsidRPr="00834B27">
        <w:rPr>
          <w:rFonts w:ascii="Calibri" w:hAnsi="Calibri" w:cs="Calibri"/>
          <w:lang w:val="fr-FR"/>
        </w:rPr>
        <w:t>dovedesc</w:t>
      </w:r>
      <w:proofErr w:type="spellEnd"/>
      <w:r w:rsidRPr="00834B27">
        <w:rPr>
          <w:rFonts w:ascii="Calibri" w:hAnsi="Calibri" w:cs="Calibri"/>
          <w:lang w:val="fr-FR"/>
        </w:rPr>
        <w:t xml:space="preserve"> </w:t>
      </w:r>
      <w:proofErr w:type="spellStart"/>
      <w:r w:rsidRPr="00834B27">
        <w:rPr>
          <w:rFonts w:ascii="Calibri" w:hAnsi="Calibri" w:cs="Calibri"/>
          <w:lang w:val="fr-FR"/>
        </w:rPr>
        <w:t>greșite</w:t>
      </w:r>
      <w:proofErr w:type="spellEnd"/>
      <w:r w:rsidRPr="00834B27">
        <w:rPr>
          <w:rFonts w:ascii="Calibri" w:hAnsi="Calibri" w:cs="Calibri"/>
          <w:lang w:val="fr-FR"/>
        </w:rPr>
        <w:t xml:space="preserve">. </w:t>
      </w:r>
      <w:proofErr w:type="spellStart"/>
      <w:r w:rsidRPr="00834B27">
        <w:rPr>
          <w:rFonts w:ascii="Calibri" w:hAnsi="Calibri" w:cs="Calibri"/>
          <w:b/>
          <w:bCs/>
          <w:lang w:val="fr-FR"/>
        </w:rPr>
        <w:t>Celelalte</w:t>
      </w:r>
      <w:proofErr w:type="spellEnd"/>
      <w:r w:rsidRPr="00834B27">
        <w:rPr>
          <w:rFonts w:ascii="Calibri" w:hAnsi="Calibri" w:cs="Calibri"/>
          <w:b/>
          <w:bCs/>
          <w:lang w:val="fr-FR"/>
        </w:rPr>
        <w:t xml:space="preserve"> </w:t>
      </w:r>
      <w:proofErr w:type="spellStart"/>
      <w:r w:rsidRPr="00834B27">
        <w:rPr>
          <w:rFonts w:ascii="Calibri" w:hAnsi="Calibri" w:cs="Calibri"/>
          <w:b/>
          <w:bCs/>
          <w:lang w:val="fr-FR"/>
        </w:rPr>
        <w:t>funcționează</w:t>
      </w:r>
      <w:proofErr w:type="spellEnd"/>
      <w:r w:rsidRPr="00834B27">
        <w:rPr>
          <w:rFonts w:ascii="Calibri" w:hAnsi="Calibri" w:cs="Calibri"/>
          <w:b/>
          <w:bCs/>
          <w:lang w:val="fr-FR"/>
        </w:rPr>
        <w:t xml:space="preserve"> </w:t>
      </w:r>
      <w:proofErr w:type="spellStart"/>
      <w:r w:rsidRPr="00834B27">
        <w:rPr>
          <w:rFonts w:ascii="Calibri" w:hAnsi="Calibri" w:cs="Calibri"/>
          <w:b/>
          <w:bCs/>
          <w:lang w:val="fr-FR"/>
        </w:rPr>
        <w:t>chiar</w:t>
      </w:r>
      <w:proofErr w:type="spellEnd"/>
      <w:r w:rsidRPr="00834B27">
        <w:rPr>
          <w:rFonts w:ascii="Calibri" w:hAnsi="Calibri" w:cs="Calibri"/>
          <w:b/>
          <w:bCs/>
          <w:lang w:val="fr-FR"/>
        </w:rPr>
        <w:t xml:space="preserve"> </w:t>
      </w:r>
      <w:proofErr w:type="spellStart"/>
      <w:r w:rsidRPr="00834B27">
        <w:rPr>
          <w:rFonts w:ascii="Calibri" w:hAnsi="Calibri" w:cs="Calibri"/>
          <w:b/>
          <w:bCs/>
          <w:lang w:val="fr-FR"/>
        </w:rPr>
        <w:t>și</w:t>
      </w:r>
      <w:proofErr w:type="spellEnd"/>
      <w:r w:rsidRPr="00834B27">
        <w:rPr>
          <w:rFonts w:ascii="Calibri" w:hAnsi="Calibri" w:cs="Calibri"/>
          <w:b/>
          <w:bCs/>
          <w:lang w:val="fr-FR"/>
        </w:rPr>
        <w:t xml:space="preserve"> </w:t>
      </w:r>
      <w:proofErr w:type="spellStart"/>
      <w:r w:rsidRPr="00834B27">
        <w:rPr>
          <w:rFonts w:ascii="Calibri" w:hAnsi="Calibri" w:cs="Calibri"/>
          <w:b/>
          <w:bCs/>
          <w:lang w:val="fr-FR"/>
        </w:rPr>
        <w:t>atunci</w:t>
      </w:r>
      <w:proofErr w:type="spellEnd"/>
      <w:r w:rsidRPr="00834B27">
        <w:rPr>
          <w:rFonts w:ascii="Calibri" w:hAnsi="Calibri" w:cs="Calibri"/>
          <w:b/>
          <w:bCs/>
          <w:lang w:val="fr-FR"/>
        </w:rPr>
        <w:t xml:space="preserve"> </w:t>
      </w:r>
      <w:proofErr w:type="spellStart"/>
      <w:r w:rsidRPr="00834B27">
        <w:rPr>
          <w:rFonts w:ascii="Calibri" w:hAnsi="Calibri" w:cs="Calibri"/>
          <w:b/>
          <w:bCs/>
          <w:lang w:val="fr-FR"/>
        </w:rPr>
        <w:t>când</w:t>
      </w:r>
      <w:proofErr w:type="spellEnd"/>
      <w:r w:rsidRPr="00834B27">
        <w:rPr>
          <w:rFonts w:ascii="Calibri" w:hAnsi="Calibri" w:cs="Calibri"/>
          <w:b/>
          <w:bCs/>
          <w:lang w:val="fr-FR"/>
        </w:rPr>
        <w:t xml:space="preserve"> </w:t>
      </w:r>
      <w:proofErr w:type="spellStart"/>
      <w:r w:rsidRPr="00834B27">
        <w:rPr>
          <w:rFonts w:ascii="Calibri" w:hAnsi="Calibri" w:cs="Calibri"/>
          <w:b/>
          <w:bCs/>
          <w:lang w:val="fr-FR"/>
        </w:rPr>
        <w:t>calibrarea</w:t>
      </w:r>
      <w:proofErr w:type="spellEnd"/>
      <w:r w:rsidRPr="00834B27">
        <w:rPr>
          <w:rFonts w:ascii="Calibri" w:hAnsi="Calibri" w:cs="Calibri"/>
          <w:b/>
          <w:bCs/>
          <w:lang w:val="fr-FR"/>
        </w:rPr>
        <w:t xml:space="preserve"> </w:t>
      </w:r>
      <w:proofErr w:type="spellStart"/>
      <w:r w:rsidRPr="00834B27">
        <w:rPr>
          <w:rFonts w:ascii="Calibri" w:hAnsi="Calibri" w:cs="Calibri"/>
          <w:b/>
          <w:bCs/>
          <w:lang w:val="fr-FR"/>
        </w:rPr>
        <w:t>inițială</w:t>
      </w:r>
      <w:proofErr w:type="spellEnd"/>
      <w:r w:rsidRPr="00834B27">
        <w:rPr>
          <w:rFonts w:ascii="Calibri" w:hAnsi="Calibri" w:cs="Calibri"/>
          <w:b/>
          <w:bCs/>
          <w:lang w:val="fr-FR"/>
        </w:rPr>
        <w:t xml:space="preserve"> </w:t>
      </w:r>
      <w:proofErr w:type="spellStart"/>
      <w:r w:rsidRPr="00834B27">
        <w:rPr>
          <w:rFonts w:ascii="Calibri" w:hAnsi="Calibri" w:cs="Calibri"/>
          <w:b/>
          <w:bCs/>
          <w:lang w:val="fr-FR"/>
        </w:rPr>
        <w:t>necesită</w:t>
      </w:r>
      <w:proofErr w:type="spellEnd"/>
      <w:r w:rsidRPr="00834B27">
        <w:rPr>
          <w:rFonts w:ascii="Calibri" w:hAnsi="Calibri" w:cs="Calibri"/>
          <w:b/>
          <w:bCs/>
          <w:lang w:val="fr-FR"/>
        </w:rPr>
        <w:t xml:space="preserve"> </w:t>
      </w:r>
      <w:proofErr w:type="spellStart"/>
      <w:r w:rsidRPr="00834B27">
        <w:rPr>
          <w:rFonts w:ascii="Calibri" w:hAnsi="Calibri" w:cs="Calibri"/>
          <w:b/>
          <w:bCs/>
          <w:lang w:val="fr-FR"/>
        </w:rPr>
        <w:t>ajustări</w:t>
      </w:r>
      <w:proofErr w:type="spellEnd"/>
      <w:r w:rsidRPr="00834B27">
        <w:rPr>
          <w:rFonts w:ascii="Calibri" w:hAnsi="Calibri" w:cs="Calibri"/>
          <w:b/>
          <w:bCs/>
          <w:lang w:val="fr-FR"/>
        </w:rPr>
        <w:t xml:space="preserve"> — </w:t>
      </w:r>
      <w:proofErr w:type="spellStart"/>
      <w:r w:rsidRPr="00834B27">
        <w:rPr>
          <w:rFonts w:ascii="Calibri" w:hAnsi="Calibri" w:cs="Calibri"/>
          <w:b/>
          <w:bCs/>
          <w:lang w:val="fr-FR"/>
        </w:rPr>
        <w:t>pentru</w:t>
      </w:r>
      <w:proofErr w:type="spellEnd"/>
      <w:r w:rsidRPr="00834B27">
        <w:rPr>
          <w:rFonts w:ascii="Calibri" w:hAnsi="Calibri" w:cs="Calibri"/>
          <w:b/>
          <w:bCs/>
          <w:lang w:val="fr-FR"/>
        </w:rPr>
        <w:t xml:space="preserve"> </w:t>
      </w:r>
      <w:proofErr w:type="spellStart"/>
      <w:r w:rsidRPr="00834B27">
        <w:rPr>
          <w:rFonts w:ascii="Calibri" w:hAnsi="Calibri" w:cs="Calibri"/>
          <w:b/>
          <w:bCs/>
          <w:lang w:val="fr-FR"/>
        </w:rPr>
        <w:t>că</w:t>
      </w:r>
      <w:proofErr w:type="spellEnd"/>
      <w:r w:rsidRPr="00834B27">
        <w:rPr>
          <w:rFonts w:ascii="Calibri" w:hAnsi="Calibri" w:cs="Calibri"/>
          <w:b/>
          <w:bCs/>
          <w:lang w:val="fr-FR"/>
        </w:rPr>
        <w:t xml:space="preserve"> </w:t>
      </w:r>
      <w:proofErr w:type="spellStart"/>
      <w:r w:rsidRPr="00834B27">
        <w:rPr>
          <w:rFonts w:ascii="Calibri" w:hAnsi="Calibri" w:cs="Calibri"/>
          <w:b/>
          <w:bCs/>
          <w:lang w:val="fr-FR"/>
        </w:rPr>
        <w:t>principiile</w:t>
      </w:r>
      <w:proofErr w:type="spellEnd"/>
      <w:r w:rsidRPr="00834B27">
        <w:rPr>
          <w:rFonts w:ascii="Calibri" w:hAnsi="Calibri" w:cs="Calibri"/>
          <w:b/>
          <w:bCs/>
          <w:lang w:val="fr-FR"/>
        </w:rPr>
        <w:t xml:space="preserve"> </w:t>
      </w:r>
      <w:proofErr w:type="spellStart"/>
      <w:r w:rsidRPr="00834B27">
        <w:rPr>
          <w:rFonts w:ascii="Calibri" w:hAnsi="Calibri" w:cs="Calibri"/>
          <w:b/>
          <w:bCs/>
          <w:lang w:val="fr-FR"/>
        </w:rPr>
        <w:t>pe</w:t>
      </w:r>
      <w:proofErr w:type="spellEnd"/>
      <w:r w:rsidRPr="00834B27">
        <w:rPr>
          <w:rFonts w:ascii="Calibri" w:hAnsi="Calibri" w:cs="Calibri"/>
          <w:b/>
          <w:bCs/>
          <w:lang w:val="fr-FR"/>
        </w:rPr>
        <w:t xml:space="preserve"> care se </w:t>
      </w:r>
      <w:proofErr w:type="spellStart"/>
      <w:r w:rsidRPr="00834B27">
        <w:rPr>
          <w:rFonts w:ascii="Calibri" w:hAnsi="Calibri" w:cs="Calibri"/>
          <w:b/>
          <w:bCs/>
          <w:lang w:val="fr-FR"/>
        </w:rPr>
        <w:t>fondează</w:t>
      </w:r>
      <w:proofErr w:type="spellEnd"/>
      <w:r w:rsidRPr="00834B27">
        <w:rPr>
          <w:rFonts w:ascii="Calibri" w:hAnsi="Calibri" w:cs="Calibri"/>
          <w:b/>
          <w:bCs/>
          <w:lang w:val="fr-FR"/>
        </w:rPr>
        <w:t xml:space="preserve"> produc </w:t>
      </w:r>
      <w:proofErr w:type="spellStart"/>
      <w:r w:rsidRPr="00834B27">
        <w:rPr>
          <w:rFonts w:ascii="Calibri" w:hAnsi="Calibri" w:cs="Calibri"/>
          <w:b/>
          <w:bCs/>
          <w:lang w:val="fr-FR"/>
        </w:rPr>
        <w:t>efecte</w:t>
      </w:r>
      <w:proofErr w:type="spellEnd"/>
      <w:r w:rsidRPr="00834B27">
        <w:rPr>
          <w:rFonts w:ascii="Calibri" w:hAnsi="Calibri" w:cs="Calibri"/>
          <w:b/>
          <w:bCs/>
          <w:lang w:val="fr-FR"/>
        </w:rPr>
        <w:t xml:space="preserve"> auto-</w:t>
      </w:r>
      <w:proofErr w:type="spellStart"/>
      <w:r w:rsidRPr="00834B27">
        <w:rPr>
          <w:rFonts w:ascii="Calibri" w:hAnsi="Calibri" w:cs="Calibri"/>
          <w:b/>
          <w:bCs/>
          <w:lang w:val="fr-FR"/>
        </w:rPr>
        <w:t>corective</w:t>
      </w:r>
      <w:proofErr w:type="spellEnd"/>
      <w:r w:rsidRPr="00834B27">
        <w:rPr>
          <w:rFonts w:ascii="Calibri" w:hAnsi="Calibri" w:cs="Calibri"/>
          <w:b/>
          <w:bCs/>
          <w:lang w:val="fr-FR"/>
        </w:rPr>
        <w:t>.</w:t>
      </w:r>
    </w:p>
    <w:p w14:paraId="4AEF4011" w14:textId="77777777" w:rsidR="00BC5BFD" w:rsidRPr="00834B27" w:rsidRDefault="00BC5BFD" w:rsidP="00BC5BFD">
      <w:pPr>
        <w:pStyle w:val="font-claude-response-body"/>
        <w:jc w:val="both"/>
        <w:rPr>
          <w:rFonts w:ascii="Calibri" w:hAnsi="Calibri" w:cs="Calibri"/>
          <w:lang w:val="fr-FR"/>
        </w:rPr>
      </w:pPr>
      <w:r w:rsidRPr="00834B27">
        <w:rPr>
          <w:rFonts w:ascii="Calibri" w:hAnsi="Calibri" w:cs="Calibri"/>
          <w:lang w:val="fr-FR"/>
        </w:rPr>
        <w:t xml:space="preserve">Reforma </w:t>
      </w:r>
      <w:proofErr w:type="spellStart"/>
      <w:r w:rsidRPr="00834B27">
        <w:rPr>
          <w:rFonts w:ascii="Calibri" w:hAnsi="Calibri" w:cs="Calibri"/>
          <w:lang w:val="fr-FR"/>
        </w:rPr>
        <w:t>propusă</w:t>
      </w:r>
      <w:proofErr w:type="spellEnd"/>
      <w:r w:rsidRPr="00834B27">
        <w:rPr>
          <w:rFonts w:ascii="Calibri" w:hAnsi="Calibri" w:cs="Calibri"/>
          <w:lang w:val="fr-FR"/>
        </w:rPr>
        <w:t xml:space="preserve"> </w:t>
      </w:r>
      <w:proofErr w:type="spellStart"/>
      <w:r w:rsidRPr="00834B27">
        <w:rPr>
          <w:rFonts w:ascii="Calibri" w:hAnsi="Calibri" w:cs="Calibri"/>
          <w:lang w:val="fr-FR"/>
        </w:rPr>
        <w:t>aparține</w:t>
      </w:r>
      <w:proofErr w:type="spellEnd"/>
      <w:r w:rsidRPr="00834B27">
        <w:rPr>
          <w:rFonts w:ascii="Calibri" w:hAnsi="Calibri" w:cs="Calibri"/>
          <w:lang w:val="fr-FR"/>
        </w:rPr>
        <w:t xml:space="preserve"> </w:t>
      </w:r>
      <w:proofErr w:type="spellStart"/>
      <w:r w:rsidRPr="00834B27">
        <w:rPr>
          <w:rFonts w:ascii="Calibri" w:hAnsi="Calibri" w:cs="Calibri"/>
          <w:lang w:val="fr-FR"/>
        </w:rPr>
        <w:t>celei</w:t>
      </w:r>
      <w:proofErr w:type="spellEnd"/>
      <w:r w:rsidRPr="00834B27">
        <w:rPr>
          <w:rFonts w:ascii="Calibri" w:hAnsi="Calibri" w:cs="Calibri"/>
          <w:lang w:val="fr-FR"/>
        </w:rPr>
        <w:t xml:space="preserve"> </w:t>
      </w:r>
      <w:proofErr w:type="spellStart"/>
      <w:r w:rsidRPr="00834B27">
        <w:rPr>
          <w:rFonts w:ascii="Calibri" w:hAnsi="Calibri" w:cs="Calibri"/>
          <w:lang w:val="fr-FR"/>
        </w:rPr>
        <w:t>de-a</w:t>
      </w:r>
      <w:proofErr w:type="spellEnd"/>
      <w:r w:rsidRPr="00834B27">
        <w:rPr>
          <w:rFonts w:ascii="Calibri" w:hAnsi="Calibri" w:cs="Calibri"/>
          <w:lang w:val="fr-FR"/>
        </w:rPr>
        <w:t xml:space="preserve"> </w:t>
      </w:r>
      <w:proofErr w:type="spellStart"/>
      <w:r w:rsidRPr="00834B27">
        <w:rPr>
          <w:rFonts w:ascii="Calibri" w:hAnsi="Calibri" w:cs="Calibri"/>
          <w:lang w:val="fr-FR"/>
        </w:rPr>
        <w:t>doua</w:t>
      </w:r>
      <w:proofErr w:type="spellEnd"/>
      <w:r w:rsidRPr="00834B27">
        <w:rPr>
          <w:rFonts w:ascii="Calibri" w:hAnsi="Calibri" w:cs="Calibri"/>
          <w:lang w:val="fr-FR"/>
        </w:rPr>
        <w:t xml:space="preserve"> </w:t>
      </w:r>
      <w:proofErr w:type="spellStart"/>
      <w:r w:rsidRPr="00834B27">
        <w:rPr>
          <w:rFonts w:ascii="Calibri" w:hAnsi="Calibri" w:cs="Calibri"/>
          <w:lang w:val="fr-FR"/>
        </w:rPr>
        <w:t>categorii</w:t>
      </w:r>
      <w:proofErr w:type="spellEnd"/>
      <w:r w:rsidRPr="00834B27">
        <w:rPr>
          <w:rFonts w:ascii="Calibri" w:hAnsi="Calibri" w:cs="Calibri"/>
          <w:lang w:val="fr-FR"/>
        </w:rPr>
        <w:t xml:space="preserve">. </w:t>
      </w:r>
      <w:proofErr w:type="spellStart"/>
      <w:r w:rsidRPr="00834B27">
        <w:rPr>
          <w:rFonts w:ascii="Calibri" w:hAnsi="Calibri" w:cs="Calibri"/>
          <w:lang w:val="fr-FR"/>
        </w:rPr>
        <w:t>Ea</w:t>
      </w:r>
      <w:proofErr w:type="spellEnd"/>
      <w:r w:rsidRPr="00834B27">
        <w:rPr>
          <w:rFonts w:ascii="Calibri" w:hAnsi="Calibri" w:cs="Calibri"/>
          <w:lang w:val="fr-FR"/>
        </w:rPr>
        <w:t xml:space="preserve"> nu </w:t>
      </w:r>
      <w:proofErr w:type="spellStart"/>
      <w:r w:rsidRPr="00834B27">
        <w:rPr>
          <w:rFonts w:ascii="Calibri" w:hAnsi="Calibri" w:cs="Calibri"/>
          <w:lang w:val="fr-FR"/>
        </w:rPr>
        <w:t>depinde</w:t>
      </w:r>
      <w:proofErr w:type="spellEnd"/>
      <w:r w:rsidRPr="00834B27">
        <w:rPr>
          <w:rFonts w:ascii="Calibri" w:hAnsi="Calibri" w:cs="Calibri"/>
          <w:lang w:val="fr-FR"/>
        </w:rPr>
        <w:t xml:space="preserve"> de o </w:t>
      </w:r>
      <w:proofErr w:type="spellStart"/>
      <w:r w:rsidRPr="00834B27">
        <w:rPr>
          <w:rFonts w:ascii="Calibri" w:hAnsi="Calibri" w:cs="Calibri"/>
          <w:lang w:val="fr-FR"/>
        </w:rPr>
        <w:t>cifră</w:t>
      </w:r>
      <w:proofErr w:type="spellEnd"/>
      <w:r w:rsidRPr="00834B27">
        <w:rPr>
          <w:rFonts w:ascii="Calibri" w:hAnsi="Calibri" w:cs="Calibri"/>
          <w:lang w:val="fr-FR"/>
        </w:rPr>
        <w:t xml:space="preserve"> </w:t>
      </w:r>
      <w:proofErr w:type="spellStart"/>
      <w:r w:rsidRPr="00834B27">
        <w:rPr>
          <w:rFonts w:ascii="Calibri" w:hAnsi="Calibri" w:cs="Calibri"/>
          <w:lang w:val="fr-FR"/>
        </w:rPr>
        <w:t>precisă</w:t>
      </w:r>
      <w:proofErr w:type="spellEnd"/>
      <w:r w:rsidRPr="00834B27">
        <w:rPr>
          <w:rFonts w:ascii="Calibri" w:hAnsi="Calibri" w:cs="Calibri"/>
          <w:lang w:val="fr-FR"/>
        </w:rPr>
        <w:t xml:space="preserve"> de </w:t>
      </w:r>
      <w:proofErr w:type="spellStart"/>
      <w:r w:rsidRPr="00834B27">
        <w:rPr>
          <w:rFonts w:ascii="Calibri" w:hAnsi="Calibri" w:cs="Calibri"/>
          <w:lang w:val="fr-FR"/>
        </w:rPr>
        <w:t>venituri</w:t>
      </w:r>
      <w:proofErr w:type="spellEnd"/>
      <w:r w:rsidRPr="00834B27">
        <w:rPr>
          <w:rFonts w:ascii="Calibri" w:hAnsi="Calibri" w:cs="Calibri"/>
          <w:lang w:val="fr-FR"/>
        </w:rPr>
        <w:t xml:space="preserve"> </w:t>
      </w:r>
      <w:proofErr w:type="spellStart"/>
      <w:r w:rsidRPr="00834B27">
        <w:rPr>
          <w:rFonts w:ascii="Calibri" w:hAnsi="Calibri" w:cs="Calibri"/>
          <w:lang w:val="fr-FR"/>
        </w:rPr>
        <w:t>compensatorii</w:t>
      </w:r>
      <w:proofErr w:type="spellEnd"/>
      <w:r w:rsidRPr="00834B27">
        <w:rPr>
          <w:rFonts w:ascii="Calibri" w:hAnsi="Calibri" w:cs="Calibri"/>
          <w:lang w:val="fr-FR"/>
        </w:rPr>
        <w:t xml:space="preserve"> </w:t>
      </w:r>
      <w:proofErr w:type="spellStart"/>
      <w:r w:rsidRPr="00834B27">
        <w:rPr>
          <w:rFonts w:ascii="Calibri" w:hAnsi="Calibri" w:cs="Calibri"/>
          <w:lang w:val="fr-FR"/>
        </w:rPr>
        <w:t>sau</w:t>
      </w:r>
      <w:proofErr w:type="spellEnd"/>
      <w:r w:rsidRPr="00834B27">
        <w:rPr>
          <w:rFonts w:ascii="Calibri" w:hAnsi="Calibri" w:cs="Calibri"/>
          <w:lang w:val="fr-FR"/>
        </w:rPr>
        <w:t xml:space="preserve"> </w:t>
      </w:r>
      <w:proofErr w:type="gramStart"/>
      <w:r w:rsidRPr="00834B27">
        <w:rPr>
          <w:rFonts w:ascii="Calibri" w:hAnsi="Calibri" w:cs="Calibri"/>
          <w:lang w:val="fr-FR"/>
        </w:rPr>
        <w:t>de un</w:t>
      </w:r>
      <w:proofErr w:type="gramEnd"/>
      <w:r w:rsidRPr="00834B27">
        <w:rPr>
          <w:rFonts w:ascii="Calibri" w:hAnsi="Calibri" w:cs="Calibri"/>
          <w:lang w:val="fr-FR"/>
        </w:rPr>
        <w:t xml:space="preserve"> </w:t>
      </w:r>
      <w:proofErr w:type="spellStart"/>
      <w:r w:rsidRPr="00834B27">
        <w:rPr>
          <w:rFonts w:ascii="Calibri" w:hAnsi="Calibri" w:cs="Calibri"/>
          <w:lang w:val="fr-FR"/>
        </w:rPr>
        <w:t>procent</w:t>
      </w:r>
      <w:proofErr w:type="spellEnd"/>
      <w:r w:rsidRPr="00834B27">
        <w:rPr>
          <w:rFonts w:ascii="Calibri" w:hAnsi="Calibri" w:cs="Calibri"/>
          <w:lang w:val="fr-FR"/>
        </w:rPr>
        <w:t xml:space="preserve"> exact de </w:t>
      </w:r>
      <w:proofErr w:type="spellStart"/>
      <w:r w:rsidRPr="00834B27">
        <w:rPr>
          <w:rFonts w:ascii="Calibri" w:hAnsi="Calibri" w:cs="Calibri"/>
          <w:lang w:val="fr-FR"/>
        </w:rPr>
        <w:t>migrare</w:t>
      </w:r>
      <w:proofErr w:type="spellEnd"/>
      <w:r w:rsidRPr="00834B27">
        <w:rPr>
          <w:rFonts w:ascii="Calibri" w:hAnsi="Calibri" w:cs="Calibri"/>
          <w:lang w:val="fr-FR"/>
        </w:rPr>
        <w:t xml:space="preserve"> </w:t>
      </w:r>
      <w:proofErr w:type="spellStart"/>
      <w:r w:rsidRPr="00834B27">
        <w:rPr>
          <w:rFonts w:ascii="Calibri" w:hAnsi="Calibri" w:cs="Calibri"/>
          <w:lang w:val="fr-FR"/>
        </w:rPr>
        <w:t>inversă</w:t>
      </w:r>
      <w:proofErr w:type="spellEnd"/>
      <w:r w:rsidRPr="00834B27">
        <w:rPr>
          <w:rFonts w:ascii="Calibri" w:hAnsi="Calibri" w:cs="Calibri"/>
          <w:lang w:val="fr-FR"/>
        </w:rPr>
        <w:t xml:space="preserve">. </w:t>
      </w:r>
      <w:proofErr w:type="spellStart"/>
      <w:r w:rsidRPr="00834B27">
        <w:rPr>
          <w:rFonts w:ascii="Calibri" w:hAnsi="Calibri" w:cs="Calibri"/>
          <w:lang w:val="fr-FR"/>
        </w:rPr>
        <w:t>Depinde</w:t>
      </w:r>
      <w:proofErr w:type="spellEnd"/>
      <w:r w:rsidRPr="00834B27">
        <w:rPr>
          <w:rFonts w:ascii="Calibri" w:hAnsi="Calibri" w:cs="Calibri"/>
          <w:lang w:val="fr-FR"/>
        </w:rPr>
        <w:t xml:space="preserve"> de </w:t>
      </w:r>
      <w:proofErr w:type="spellStart"/>
      <w:r w:rsidRPr="00834B27">
        <w:rPr>
          <w:rFonts w:ascii="Calibri" w:hAnsi="Calibri" w:cs="Calibri"/>
          <w:lang w:val="fr-FR"/>
        </w:rPr>
        <w:t>faptul</w:t>
      </w:r>
      <w:proofErr w:type="spellEnd"/>
      <w:r w:rsidRPr="00834B27">
        <w:rPr>
          <w:rFonts w:ascii="Calibri" w:hAnsi="Calibri" w:cs="Calibri"/>
          <w:lang w:val="fr-FR"/>
        </w:rPr>
        <w:t xml:space="preserve"> </w:t>
      </w:r>
      <w:proofErr w:type="spellStart"/>
      <w:r w:rsidRPr="00834B27">
        <w:rPr>
          <w:rFonts w:ascii="Calibri" w:hAnsi="Calibri" w:cs="Calibri"/>
          <w:lang w:val="fr-FR"/>
        </w:rPr>
        <w:t>că</w:t>
      </w:r>
      <w:proofErr w:type="spellEnd"/>
      <w:r w:rsidRPr="00834B27">
        <w:rPr>
          <w:rFonts w:ascii="Calibri" w:hAnsi="Calibri" w:cs="Calibri"/>
          <w:lang w:val="fr-FR"/>
        </w:rPr>
        <w:t xml:space="preserve"> </w:t>
      </w:r>
      <w:proofErr w:type="spellStart"/>
      <w:r w:rsidRPr="00834B27">
        <w:rPr>
          <w:rFonts w:ascii="Calibri" w:hAnsi="Calibri" w:cs="Calibri"/>
          <w:lang w:val="fr-FR"/>
        </w:rPr>
        <w:t>echitatea</w:t>
      </w:r>
      <w:proofErr w:type="spellEnd"/>
      <w:r w:rsidRPr="00834B27">
        <w:rPr>
          <w:rFonts w:ascii="Calibri" w:hAnsi="Calibri" w:cs="Calibri"/>
          <w:lang w:val="fr-FR"/>
        </w:rPr>
        <w:t xml:space="preserve"> </w:t>
      </w:r>
      <w:proofErr w:type="spellStart"/>
      <w:r w:rsidRPr="00834B27">
        <w:rPr>
          <w:rFonts w:ascii="Calibri" w:hAnsi="Calibri" w:cs="Calibri"/>
          <w:lang w:val="fr-FR"/>
        </w:rPr>
        <w:t>orizontală</w:t>
      </w:r>
      <w:proofErr w:type="spellEnd"/>
      <w:r w:rsidRPr="00834B27">
        <w:rPr>
          <w:rFonts w:ascii="Calibri" w:hAnsi="Calibri" w:cs="Calibri"/>
          <w:lang w:val="fr-FR"/>
        </w:rPr>
        <w:t xml:space="preserve"> </w:t>
      </w:r>
      <w:proofErr w:type="spellStart"/>
      <w:r w:rsidRPr="00834B27">
        <w:rPr>
          <w:rFonts w:ascii="Calibri" w:hAnsi="Calibri" w:cs="Calibri"/>
          <w:lang w:val="fr-FR"/>
        </w:rPr>
        <w:t>reduce</w:t>
      </w:r>
      <w:proofErr w:type="spellEnd"/>
      <w:r w:rsidRPr="00834B27">
        <w:rPr>
          <w:rFonts w:ascii="Calibri" w:hAnsi="Calibri" w:cs="Calibri"/>
          <w:lang w:val="fr-FR"/>
        </w:rPr>
        <w:t xml:space="preserve"> </w:t>
      </w:r>
      <w:proofErr w:type="spellStart"/>
      <w:r w:rsidRPr="00834B27">
        <w:rPr>
          <w:rFonts w:ascii="Calibri" w:hAnsi="Calibri" w:cs="Calibri"/>
          <w:lang w:val="fr-FR"/>
        </w:rPr>
        <w:t>arbitrajul</w:t>
      </w:r>
      <w:proofErr w:type="spellEnd"/>
      <w:r w:rsidRPr="00834B27">
        <w:rPr>
          <w:rFonts w:ascii="Calibri" w:hAnsi="Calibri" w:cs="Calibri"/>
          <w:lang w:val="fr-FR"/>
        </w:rPr>
        <w:t xml:space="preserve">, </w:t>
      </w:r>
      <w:proofErr w:type="spellStart"/>
      <w:r w:rsidRPr="00834B27">
        <w:rPr>
          <w:rFonts w:ascii="Calibri" w:hAnsi="Calibri" w:cs="Calibri"/>
          <w:lang w:val="fr-FR"/>
        </w:rPr>
        <w:t>că</w:t>
      </w:r>
      <w:proofErr w:type="spellEnd"/>
      <w:r w:rsidRPr="00834B27">
        <w:rPr>
          <w:rFonts w:ascii="Calibri" w:hAnsi="Calibri" w:cs="Calibri"/>
          <w:lang w:val="fr-FR"/>
        </w:rPr>
        <w:t xml:space="preserve"> o </w:t>
      </w:r>
      <w:proofErr w:type="spellStart"/>
      <w:r w:rsidRPr="00834B27">
        <w:rPr>
          <w:rFonts w:ascii="Calibri" w:hAnsi="Calibri" w:cs="Calibri"/>
          <w:lang w:val="fr-FR"/>
        </w:rPr>
        <w:t>bază</w:t>
      </w:r>
      <w:proofErr w:type="spellEnd"/>
      <w:r w:rsidRPr="00834B27">
        <w:rPr>
          <w:rFonts w:ascii="Calibri" w:hAnsi="Calibri" w:cs="Calibri"/>
          <w:lang w:val="fr-FR"/>
        </w:rPr>
        <w:t xml:space="preserve"> </w:t>
      </w:r>
      <w:proofErr w:type="spellStart"/>
      <w:r w:rsidRPr="00834B27">
        <w:rPr>
          <w:rFonts w:ascii="Calibri" w:hAnsi="Calibri" w:cs="Calibri"/>
          <w:lang w:val="fr-FR"/>
        </w:rPr>
        <w:t>largă</w:t>
      </w:r>
      <w:proofErr w:type="spellEnd"/>
      <w:r w:rsidRPr="00834B27">
        <w:rPr>
          <w:rFonts w:ascii="Calibri" w:hAnsi="Calibri" w:cs="Calibri"/>
          <w:lang w:val="fr-FR"/>
        </w:rPr>
        <w:t xml:space="preserve"> </w:t>
      </w:r>
      <w:proofErr w:type="spellStart"/>
      <w:r w:rsidRPr="00834B27">
        <w:rPr>
          <w:rFonts w:ascii="Calibri" w:hAnsi="Calibri" w:cs="Calibri"/>
          <w:lang w:val="fr-FR"/>
        </w:rPr>
        <w:t>compensează</w:t>
      </w:r>
      <w:proofErr w:type="spellEnd"/>
      <w:r w:rsidRPr="00834B27">
        <w:rPr>
          <w:rFonts w:ascii="Calibri" w:hAnsi="Calibri" w:cs="Calibri"/>
          <w:lang w:val="fr-FR"/>
        </w:rPr>
        <w:t xml:space="preserve"> o </w:t>
      </w:r>
      <w:proofErr w:type="spellStart"/>
      <w:r w:rsidRPr="00834B27">
        <w:rPr>
          <w:rFonts w:ascii="Calibri" w:hAnsi="Calibri" w:cs="Calibri"/>
          <w:lang w:val="fr-FR"/>
        </w:rPr>
        <w:t>cotă</w:t>
      </w:r>
      <w:proofErr w:type="spellEnd"/>
      <w:r w:rsidRPr="00834B27">
        <w:rPr>
          <w:rFonts w:ascii="Calibri" w:hAnsi="Calibri" w:cs="Calibri"/>
          <w:lang w:val="fr-FR"/>
        </w:rPr>
        <w:t xml:space="preserve"> </w:t>
      </w:r>
      <w:proofErr w:type="spellStart"/>
      <w:r w:rsidRPr="00834B27">
        <w:rPr>
          <w:rFonts w:ascii="Calibri" w:hAnsi="Calibri" w:cs="Calibri"/>
          <w:lang w:val="fr-FR"/>
        </w:rPr>
        <w:t>moderată</w:t>
      </w:r>
      <w:proofErr w:type="spellEnd"/>
      <w:r w:rsidRPr="00834B27">
        <w:rPr>
          <w:rFonts w:ascii="Calibri" w:hAnsi="Calibri" w:cs="Calibri"/>
          <w:lang w:val="fr-FR"/>
        </w:rPr>
        <w:t xml:space="preserve">, </w:t>
      </w:r>
      <w:proofErr w:type="spellStart"/>
      <w:r w:rsidRPr="00834B27">
        <w:rPr>
          <w:rFonts w:ascii="Calibri" w:hAnsi="Calibri" w:cs="Calibri"/>
          <w:lang w:val="fr-FR"/>
        </w:rPr>
        <w:t>că</w:t>
      </w:r>
      <w:proofErr w:type="spellEnd"/>
      <w:r w:rsidRPr="00834B27">
        <w:rPr>
          <w:rFonts w:ascii="Calibri" w:hAnsi="Calibri" w:cs="Calibri"/>
          <w:lang w:val="fr-FR"/>
        </w:rPr>
        <w:t xml:space="preserve"> </w:t>
      </w:r>
      <w:proofErr w:type="spellStart"/>
      <w:r w:rsidRPr="00834B27">
        <w:rPr>
          <w:rFonts w:ascii="Calibri" w:hAnsi="Calibri" w:cs="Calibri"/>
          <w:lang w:val="fr-FR"/>
        </w:rPr>
        <w:t>plafonarea</w:t>
      </w:r>
      <w:proofErr w:type="spellEnd"/>
      <w:r w:rsidRPr="00834B27">
        <w:rPr>
          <w:rFonts w:ascii="Calibri" w:hAnsi="Calibri" w:cs="Calibri"/>
          <w:lang w:val="fr-FR"/>
        </w:rPr>
        <w:t xml:space="preserve"> </w:t>
      </w:r>
      <w:proofErr w:type="spellStart"/>
      <w:r w:rsidRPr="00834B27">
        <w:rPr>
          <w:rFonts w:ascii="Calibri" w:hAnsi="Calibri" w:cs="Calibri"/>
          <w:lang w:val="fr-FR"/>
        </w:rPr>
        <w:t>contribuțiilor</w:t>
      </w:r>
      <w:proofErr w:type="spellEnd"/>
      <w:r w:rsidRPr="00834B27">
        <w:rPr>
          <w:rFonts w:ascii="Calibri" w:hAnsi="Calibri" w:cs="Calibri"/>
          <w:lang w:val="fr-FR"/>
        </w:rPr>
        <w:t xml:space="preserve"> </w:t>
      </w:r>
      <w:proofErr w:type="spellStart"/>
      <w:r w:rsidRPr="00834B27">
        <w:rPr>
          <w:rFonts w:ascii="Calibri" w:hAnsi="Calibri" w:cs="Calibri"/>
          <w:lang w:val="fr-FR"/>
        </w:rPr>
        <w:t>limitează</w:t>
      </w:r>
      <w:proofErr w:type="spellEnd"/>
      <w:r w:rsidRPr="00834B27">
        <w:rPr>
          <w:rFonts w:ascii="Calibri" w:hAnsi="Calibri" w:cs="Calibri"/>
          <w:lang w:val="fr-FR"/>
        </w:rPr>
        <w:t xml:space="preserve"> </w:t>
      </w:r>
      <w:proofErr w:type="spellStart"/>
      <w:r w:rsidRPr="00834B27">
        <w:rPr>
          <w:rFonts w:ascii="Calibri" w:hAnsi="Calibri" w:cs="Calibri"/>
          <w:lang w:val="fr-FR"/>
        </w:rPr>
        <w:t>obligațiile</w:t>
      </w:r>
      <w:proofErr w:type="spellEnd"/>
      <w:r w:rsidRPr="00834B27">
        <w:rPr>
          <w:rFonts w:ascii="Calibri" w:hAnsi="Calibri" w:cs="Calibri"/>
          <w:lang w:val="fr-FR"/>
        </w:rPr>
        <w:t xml:space="preserve"> </w:t>
      </w:r>
      <w:proofErr w:type="spellStart"/>
      <w:r w:rsidRPr="00834B27">
        <w:rPr>
          <w:rFonts w:ascii="Calibri" w:hAnsi="Calibri" w:cs="Calibri"/>
          <w:lang w:val="fr-FR"/>
        </w:rPr>
        <w:t>viitoare</w:t>
      </w:r>
      <w:proofErr w:type="spellEnd"/>
      <w:r w:rsidRPr="00834B27">
        <w:rPr>
          <w:rFonts w:ascii="Calibri" w:hAnsi="Calibri" w:cs="Calibri"/>
          <w:lang w:val="fr-FR"/>
        </w:rPr>
        <w:t xml:space="preserve">, </w:t>
      </w:r>
      <w:proofErr w:type="spellStart"/>
      <w:r w:rsidRPr="00834B27">
        <w:rPr>
          <w:rFonts w:ascii="Calibri" w:hAnsi="Calibri" w:cs="Calibri"/>
          <w:lang w:val="fr-FR"/>
        </w:rPr>
        <w:t>că</w:t>
      </w:r>
      <w:proofErr w:type="spellEnd"/>
      <w:r w:rsidRPr="00834B27">
        <w:rPr>
          <w:rFonts w:ascii="Calibri" w:hAnsi="Calibri" w:cs="Calibri"/>
          <w:lang w:val="fr-FR"/>
        </w:rPr>
        <w:t xml:space="preserve"> </w:t>
      </w:r>
      <w:proofErr w:type="spellStart"/>
      <w:r w:rsidRPr="00834B27">
        <w:rPr>
          <w:rFonts w:ascii="Calibri" w:hAnsi="Calibri" w:cs="Calibri"/>
          <w:lang w:val="fr-FR"/>
        </w:rPr>
        <w:t>stabilitatea</w:t>
      </w:r>
      <w:proofErr w:type="spellEnd"/>
      <w:r w:rsidRPr="00834B27">
        <w:rPr>
          <w:rFonts w:ascii="Calibri" w:hAnsi="Calibri" w:cs="Calibri"/>
          <w:lang w:val="fr-FR"/>
        </w:rPr>
        <w:t xml:space="preserve"> </w:t>
      </w:r>
      <w:proofErr w:type="spellStart"/>
      <w:r w:rsidRPr="00834B27">
        <w:rPr>
          <w:rFonts w:ascii="Calibri" w:hAnsi="Calibri" w:cs="Calibri"/>
          <w:lang w:val="fr-FR"/>
        </w:rPr>
        <w:t>legislativă</w:t>
      </w:r>
      <w:proofErr w:type="spellEnd"/>
      <w:r w:rsidRPr="00834B27">
        <w:rPr>
          <w:rFonts w:ascii="Calibri" w:hAnsi="Calibri" w:cs="Calibri"/>
          <w:lang w:val="fr-FR"/>
        </w:rPr>
        <w:t xml:space="preserve"> </w:t>
      </w:r>
      <w:proofErr w:type="spellStart"/>
      <w:r w:rsidRPr="00834B27">
        <w:rPr>
          <w:rFonts w:ascii="Calibri" w:hAnsi="Calibri" w:cs="Calibri"/>
          <w:lang w:val="fr-FR"/>
        </w:rPr>
        <w:t>crește</w:t>
      </w:r>
      <w:proofErr w:type="spellEnd"/>
      <w:r w:rsidRPr="00834B27">
        <w:rPr>
          <w:rFonts w:ascii="Calibri" w:hAnsi="Calibri" w:cs="Calibri"/>
          <w:lang w:val="fr-FR"/>
        </w:rPr>
        <w:t xml:space="preserve"> </w:t>
      </w:r>
      <w:proofErr w:type="spellStart"/>
      <w:r w:rsidRPr="00834B27">
        <w:rPr>
          <w:rFonts w:ascii="Calibri" w:hAnsi="Calibri" w:cs="Calibri"/>
          <w:lang w:val="fr-FR"/>
        </w:rPr>
        <w:t>conformarea</w:t>
      </w:r>
      <w:proofErr w:type="spellEnd"/>
      <w:r w:rsidRPr="00834B27">
        <w:rPr>
          <w:rFonts w:ascii="Calibri" w:hAnsi="Calibri" w:cs="Calibri"/>
          <w:lang w:val="fr-FR"/>
        </w:rPr>
        <w:t xml:space="preserve">, </w:t>
      </w:r>
      <w:proofErr w:type="spellStart"/>
      <w:r w:rsidRPr="00834B27">
        <w:rPr>
          <w:rFonts w:ascii="Calibri" w:hAnsi="Calibri" w:cs="Calibri"/>
          <w:lang w:val="fr-FR"/>
        </w:rPr>
        <w:t>și</w:t>
      </w:r>
      <w:proofErr w:type="spellEnd"/>
      <w:r w:rsidRPr="00834B27">
        <w:rPr>
          <w:rFonts w:ascii="Calibri" w:hAnsi="Calibri" w:cs="Calibri"/>
          <w:lang w:val="fr-FR"/>
        </w:rPr>
        <w:t xml:space="preserve"> </w:t>
      </w:r>
      <w:proofErr w:type="spellStart"/>
      <w:r w:rsidRPr="00834B27">
        <w:rPr>
          <w:rFonts w:ascii="Calibri" w:hAnsi="Calibri" w:cs="Calibri"/>
          <w:lang w:val="fr-FR"/>
        </w:rPr>
        <w:t>că</w:t>
      </w:r>
      <w:proofErr w:type="spellEnd"/>
      <w:r w:rsidRPr="00834B27">
        <w:rPr>
          <w:rFonts w:ascii="Calibri" w:hAnsi="Calibri" w:cs="Calibri"/>
          <w:lang w:val="fr-FR"/>
        </w:rPr>
        <w:t xml:space="preserve"> </w:t>
      </w:r>
      <w:proofErr w:type="spellStart"/>
      <w:r w:rsidRPr="00834B27">
        <w:rPr>
          <w:rFonts w:ascii="Calibri" w:hAnsi="Calibri" w:cs="Calibri"/>
          <w:lang w:val="fr-FR"/>
        </w:rPr>
        <w:t>instrumentele</w:t>
      </w:r>
      <w:proofErr w:type="spellEnd"/>
      <w:r w:rsidRPr="00834B27">
        <w:rPr>
          <w:rFonts w:ascii="Calibri" w:hAnsi="Calibri" w:cs="Calibri"/>
          <w:lang w:val="fr-FR"/>
        </w:rPr>
        <w:t xml:space="preserve"> anti-</w:t>
      </w:r>
      <w:proofErr w:type="spellStart"/>
      <w:r w:rsidRPr="00834B27">
        <w:rPr>
          <w:rFonts w:ascii="Calibri" w:hAnsi="Calibri" w:cs="Calibri"/>
          <w:lang w:val="fr-FR"/>
        </w:rPr>
        <w:t>erodare</w:t>
      </w:r>
      <w:proofErr w:type="spellEnd"/>
      <w:r w:rsidRPr="00834B27">
        <w:rPr>
          <w:rFonts w:ascii="Calibri" w:hAnsi="Calibri" w:cs="Calibri"/>
          <w:lang w:val="fr-FR"/>
        </w:rPr>
        <w:t xml:space="preserve"> </w:t>
      </w:r>
      <w:proofErr w:type="spellStart"/>
      <w:r w:rsidRPr="00834B27">
        <w:rPr>
          <w:rFonts w:ascii="Calibri" w:hAnsi="Calibri" w:cs="Calibri"/>
          <w:lang w:val="fr-FR"/>
        </w:rPr>
        <w:t>testate</w:t>
      </w:r>
      <w:proofErr w:type="spellEnd"/>
      <w:r w:rsidRPr="00834B27">
        <w:rPr>
          <w:rFonts w:ascii="Calibri" w:hAnsi="Calibri" w:cs="Calibri"/>
          <w:lang w:val="fr-FR"/>
        </w:rPr>
        <w:t xml:space="preserve"> </w:t>
      </w:r>
      <w:proofErr w:type="spellStart"/>
      <w:r w:rsidRPr="00834B27">
        <w:rPr>
          <w:rFonts w:ascii="Calibri" w:hAnsi="Calibri" w:cs="Calibri"/>
          <w:lang w:val="fr-FR"/>
        </w:rPr>
        <w:t>în</w:t>
      </w:r>
      <w:proofErr w:type="spellEnd"/>
      <w:r w:rsidRPr="00834B27">
        <w:rPr>
          <w:rFonts w:ascii="Calibri" w:hAnsi="Calibri" w:cs="Calibri"/>
          <w:lang w:val="fr-FR"/>
        </w:rPr>
        <w:t xml:space="preserve"> </w:t>
      </w:r>
      <w:proofErr w:type="spellStart"/>
      <w:r w:rsidRPr="00834B27">
        <w:rPr>
          <w:rFonts w:ascii="Calibri" w:hAnsi="Calibri" w:cs="Calibri"/>
          <w:lang w:val="fr-FR"/>
        </w:rPr>
        <w:t>alte</w:t>
      </w:r>
      <w:proofErr w:type="spellEnd"/>
      <w:r w:rsidRPr="00834B27">
        <w:rPr>
          <w:rFonts w:ascii="Calibri" w:hAnsi="Calibri" w:cs="Calibri"/>
          <w:lang w:val="fr-FR"/>
        </w:rPr>
        <w:t xml:space="preserve"> state </w:t>
      </w:r>
      <w:proofErr w:type="spellStart"/>
      <w:r w:rsidRPr="00834B27">
        <w:rPr>
          <w:rFonts w:ascii="Calibri" w:hAnsi="Calibri" w:cs="Calibri"/>
          <w:lang w:val="fr-FR"/>
        </w:rPr>
        <w:t>funcționează</w:t>
      </w:r>
      <w:proofErr w:type="spellEnd"/>
      <w:r w:rsidRPr="00834B27">
        <w:rPr>
          <w:rFonts w:ascii="Calibri" w:hAnsi="Calibri" w:cs="Calibri"/>
          <w:lang w:val="fr-FR"/>
        </w:rPr>
        <w:t xml:space="preserve"> </w:t>
      </w:r>
      <w:proofErr w:type="spellStart"/>
      <w:r w:rsidRPr="00834B27">
        <w:rPr>
          <w:rFonts w:ascii="Calibri" w:hAnsi="Calibri" w:cs="Calibri"/>
          <w:lang w:val="fr-FR"/>
        </w:rPr>
        <w:t>și</w:t>
      </w:r>
      <w:proofErr w:type="spellEnd"/>
      <w:r w:rsidRPr="00834B27">
        <w:rPr>
          <w:rFonts w:ascii="Calibri" w:hAnsi="Calibri" w:cs="Calibri"/>
          <w:lang w:val="fr-FR"/>
        </w:rPr>
        <w:t xml:space="preserve"> </w:t>
      </w:r>
      <w:proofErr w:type="spellStart"/>
      <w:r w:rsidRPr="00834B27">
        <w:rPr>
          <w:rFonts w:ascii="Calibri" w:hAnsi="Calibri" w:cs="Calibri"/>
          <w:lang w:val="fr-FR"/>
        </w:rPr>
        <w:t>în</w:t>
      </w:r>
      <w:proofErr w:type="spellEnd"/>
      <w:r w:rsidRPr="00834B27">
        <w:rPr>
          <w:rFonts w:ascii="Calibri" w:hAnsi="Calibri" w:cs="Calibri"/>
          <w:lang w:val="fr-FR"/>
        </w:rPr>
        <w:t xml:space="preserve"> </w:t>
      </w:r>
      <w:proofErr w:type="spellStart"/>
      <w:r w:rsidRPr="00834B27">
        <w:rPr>
          <w:rFonts w:ascii="Calibri" w:hAnsi="Calibri" w:cs="Calibri"/>
          <w:lang w:val="fr-FR"/>
        </w:rPr>
        <w:t>România</w:t>
      </w:r>
      <w:proofErr w:type="spellEnd"/>
      <w:r w:rsidRPr="00834B27">
        <w:rPr>
          <w:rFonts w:ascii="Calibri" w:hAnsi="Calibri" w:cs="Calibri"/>
          <w:lang w:val="fr-FR"/>
        </w:rPr>
        <w:t xml:space="preserve">. Aceste nu </w:t>
      </w:r>
      <w:proofErr w:type="spellStart"/>
      <w:r w:rsidRPr="00834B27">
        <w:rPr>
          <w:rFonts w:ascii="Calibri" w:hAnsi="Calibri" w:cs="Calibri"/>
          <w:lang w:val="fr-FR"/>
        </w:rPr>
        <w:t>sunt</w:t>
      </w:r>
      <w:proofErr w:type="spellEnd"/>
      <w:r w:rsidRPr="00834B27">
        <w:rPr>
          <w:rFonts w:ascii="Calibri" w:hAnsi="Calibri" w:cs="Calibri"/>
          <w:lang w:val="fr-FR"/>
        </w:rPr>
        <w:t xml:space="preserve"> </w:t>
      </w:r>
      <w:proofErr w:type="spellStart"/>
      <w:r w:rsidRPr="00834B27">
        <w:rPr>
          <w:rFonts w:ascii="Calibri" w:hAnsi="Calibri" w:cs="Calibri"/>
          <w:lang w:val="fr-FR"/>
        </w:rPr>
        <w:t>speranțe</w:t>
      </w:r>
      <w:proofErr w:type="spellEnd"/>
      <w:r w:rsidRPr="00834B27">
        <w:rPr>
          <w:rFonts w:ascii="Calibri" w:hAnsi="Calibri" w:cs="Calibri"/>
          <w:lang w:val="fr-FR"/>
        </w:rPr>
        <w:t xml:space="preserve"> — </w:t>
      </w:r>
      <w:proofErr w:type="spellStart"/>
      <w:r w:rsidRPr="00834B27">
        <w:rPr>
          <w:rFonts w:ascii="Calibri" w:hAnsi="Calibri" w:cs="Calibri"/>
          <w:lang w:val="fr-FR"/>
        </w:rPr>
        <w:t>sunt</w:t>
      </w:r>
      <w:proofErr w:type="spellEnd"/>
      <w:r w:rsidRPr="00834B27">
        <w:rPr>
          <w:rFonts w:ascii="Calibri" w:hAnsi="Calibri" w:cs="Calibri"/>
          <w:lang w:val="fr-FR"/>
        </w:rPr>
        <w:t xml:space="preserve"> </w:t>
      </w:r>
      <w:proofErr w:type="spellStart"/>
      <w:r w:rsidRPr="00834B27">
        <w:rPr>
          <w:rFonts w:ascii="Calibri" w:hAnsi="Calibri" w:cs="Calibri"/>
          <w:lang w:val="fr-FR"/>
        </w:rPr>
        <w:t>mecanisme</w:t>
      </w:r>
      <w:proofErr w:type="spellEnd"/>
      <w:r w:rsidRPr="00834B27">
        <w:rPr>
          <w:rFonts w:ascii="Calibri" w:hAnsi="Calibri" w:cs="Calibri"/>
          <w:lang w:val="fr-FR"/>
        </w:rPr>
        <w:t xml:space="preserve"> </w:t>
      </w:r>
      <w:proofErr w:type="spellStart"/>
      <w:r w:rsidRPr="00834B27">
        <w:rPr>
          <w:rFonts w:ascii="Calibri" w:hAnsi="Calibri" w:cs="Calibri"/>
          <w:lang w:val="fr-FR"/>
        </w:rPr>
        <w:t>economice</w:t>
      </w:r>
      <w:proofErr w:type="spellEnd"/>
      <w:r w:rsidRPr="00834B27">
        <w:rPr>
          <w:rFonts w:ascii="Calibri" w:hAnsi="Calibri" w:cs="Calibri"/>
          <w:lang w:val="fr-FR"/>
        </w:rPr>
        <w:t xml:space="preserve"> </w:t>
      </w:r>
      <w:proofErr w:type="spellStart"/>
      <w:r w:rsidRPr="00834B27">
        <w:rPr>
          <w:rFonts w:ascii="Calibri" w:hAnsi="Calibri" w:cs="Calibri"/>
          <w:lang w:val="fr-FR"/>
        </w:rPr>
        <w:t>documentate</w:t>
      </w:r>
      <w:proofErr w:type="spellEnd"/>
      <w:r w:rsidRPr="00834B27">
        <w:rPr>
          <w:rFonts w:ascii="Calibri" w:hAnsi="Calibri" w:cs="Calibri"/>
          <w:lang w:val="fr-FR"/>
        </w:rPr>
        <w:t xml:space="preserve">, </w:t>
      </w:r>
      <w:proofErr w:type="spellStart"/>
      <w:r w:rsidRPr="00834B27">
        <w:rPr>
          <w:rFonts w:ascii="Calibri" w:hAnsi="Calibri" w:cs="Calibri"/>
          <w:lang w:val="fr-FR"/>
        </w:rPr>
        <w:t>validate</w:t>
      </w:r>
      <w:proofErr w:type="spellEnd"/>
      <w:r w:rsidRPr="00834B27">
        <w:rPr>
          <w:rFonts w:ascii="Calibri" w:hAnsi="Calibri" w:cs="Calibri"/>
          <w:lang w:val="fr-FR"/>
        </w:rPr>
        <w:t xml:space="preserve"> </w:t>
      </w:r>
      <w:proofErr w:type="spellStart"/>
      <w:r w:rsidRPr="00834B27">
        <w:rPr>
          <w:rFonts w:ascii="Calibri" w:hAnsi="Calibri" w:cs="Calibri"/>
          <w:lang w:val="fr-FR"/>
        </w:rPr>
        <w:t>empiric</w:t>
      </w:r>
      <w:proofErr w:type="spellEnd"/>
      <w:r w:rsidRPr="00834B27">
        <w:rPr>
          <w:rFonts w:ascii="Calibri" w:hAnsi="Calibri" w:cs="Calibri"/>
          <w:lang w:val="fr-FR"/>
        </w:rPr>
        <w:t xml:space="preserve"> </w:t>
      </w:r>
      <w:proofErr w:type="spellStart"/>
      <w:r w:rsidRPr="00834B27">
        <w:rPr>
          <w:rFonts w:ascii="Calibri" w:hAnsi="Calibri" w:cs="Calibri"/>
          <w:lang w:val="fr-FR"/>
        </w:rPr>
        <w:t>și</w:t>
      </w:r>
      <w:proofErr w:type="spellEnd"/>
      <w:r w:rsidRPr="00834B27">
        <w:rPr>
          <w:rFonts w:ascii="Calibri" w:hAnsi="Calibri" w:cs="Calibri"/>
          <w:lang w:val="fr-FR"/>
        </w:rPr>
        <w:t xml:space="preserve"> </w:t>
      </w:r>
      <w:proofErr w:type="spellStart"/>
      <w:r w:rsidRPr="00834B27">
        <w:rPr>
          <w:rFonts w:ascii="Calibri" w:hAnsi="Calibri" w:cs="Calibri"/>
          <w:lang w:val="fr-FR"/>
        </w:rPr>
        <w:t>confirmate</w:t>
      </w:r>
      <w:proofErr w:type="spellEnd"/>
      <w:r w:rsidRPr="00834B27">
        <w:rPr>
          <w:rFonts w:ascii="Calibri" w:hAnsi="Calibri" w:cs="Calibri"/>
          <w:lang w:val="fr-FR"/>
        </w:rPr>
        <w:t xml:space="preserve"> de </w:t>
      </w:r>
      <w:proofErr w:type="spellStart"/>
      <w:r w:rsidRPr="00834B27">
        <w:rPr>
          <w:rFonts w:ascii="Calibri" w:hAnsi="Calibri" w:cs="Calibri"/>
          <w:lang w:val="fr-FR"/>
        </w:rPr>
        <w:t>experiența</w:t>
      </w:r>
      <w:proofErr w:type="spellEnd"/>
      <w:r w:rsidRPr="00834B27">
        <w:rPr>
          <w:rFonts w:ascii="Calibri" w:hAnsi="Calibri" w:cs="Calibri"/>
          <w:lang w:val="fr-FR"/>
        </w:rPr>
        <w:t xml:space="preserve"> </w:t>
      </w:r>
      <w:proofErr w:type="spellStart"/>
      <w:r w:rsidRPr="00834B27">
        <w:rPr>
          <w:rFonts w:ascii="Calibri" w:hAnsi="Calibri" w:cs="Calibri"/>
          <w:lang w:val="fr-FR"/>
        </w:rPr>
        <w:t>altor</w:t>
      </w:r>
      <w:proofErr w:type="spellEnd"/>
      <w:r w:rsidRPr="00834B27">
        <w:rPr>
          <w:rFonts w:ascii="Calibri" w:hAnsi="Calibri" w:cs="Calibri"/>
          <w:lang w:val="fr-FR"/>
        </w:rPr>
        <w:t xml:space="preserve"> state.</w:t>
      </w:r>
    </w:p>
    <w:p w14:paraId="57799E39" w14:textId="77777777" w:rsidR="00BC5BFD" w:rsidRPr="00834B27" w:rsidRDefault="00BC5BFD" w:rsidP="00BC5BFD">
      <w:pPr>
        <w:pStyle w:val="font-claude-response-body"/>
        <w:jc w:val="both"/>
        <w:rPr>
          <w:rFonts w:ascii="Calibri" w:hAnsi="Calibri" w:cs="Calibri"/>
          <w:lang w:val="fr-FR"/>
        </w:rPr>
      </w:pPr>
      <w:r w:rsidRPr="00834B27">
        <w:rPr>
          <w:rFonts w:ascii="Calibri" w:hAnsi="Calibri" w:cs="Calibri"/>
          <w:lang w:val="fr-FR"/>
        </w:rPr>
        <w:lastRenderedPageBreak/>
        <w:t xml:space="preserve">O </w:t>
      </w:r>
      <w:proofErr w:type="spellStart"/>
      <w:r w:rsidRPr="00834B27">
        <w:rPr>
          <w:rFonts w:ascii="Calibri" w:hAnsi="Calibri" w:cs="Calibri"/>
          <w:lang w:val="fr-FR"/>
        </w:rPr>
        <w:t>politică</w:t>
      </w:r>
      <w:proofErr w:type="spellEnd"/>
      <w:r w:rsidRPr="00834B27">
        <w:rPr>
          <w:rFonts w:ascii="Calibri" w:hAnsi="Calibri" w:cs="Calibri"/>
          <w:lang w:val="fr-FR"/>
        </w:rPr>
        <w:t xml:space="preserve"> </w:t>
      </w:r>
      <w:proofErr w:type="spellStart"/>
      <w:r w:rsidRPr="00834B27">
        <w:rPr>
          <w:rFonts w:ascii="Calibri" w:hAnsi="Calibri" w:cs="Calibri"/>
          <w:lang w:val="fr-FR"/>
        </w:rPr>
        <w:t>fiscală</w:t>
      </w:r>
      <w:proofErr w:type="spellEnd"/>
      <w:r w:rsidRPr="00834B27">
        <w:rPr>
          <w:rFonts w:ascii="Calibri" w:hAnsi="Calibri" w:cs="Calibri"/>
          <w:lang w:val="fr-FR"/>
        </w:rPr>
        <w:t xml:space="preserve"> </w:t>
      </w:r>
      <w:proofErr w:type="spellStart"/>
      <w:r w:rsidRPr="00834B27">
        <w:rPr>
          <w:rFonts w:ascii="Calibri" w:hAnsi="Calibri" w:cs="Calibri"/>
          <w:lang w:val="fr-FR"/>
        </w:rPr>
        <w:t>construită</w:t>
      </w:r>
      <w:proofErr w:type="spellEnd"/>
      <w:r w:rsidRPr="00834B27">
        <w:rPr>
          <w:rFonts w:ascii="Calibri" w:hAnsi="Calibri" w:cs="Calibri"/>
          <w:lang w:val="fr-FR"/>
        </w:rPr>
        <w:t xml:space="preserve"> </w:t>
      </w:r>
      <w:proofErr w:type="spellStart"/>
      <w:r w:rsidRPr="00834B27">
        <w:rPr>
          <w:rFonts w:ascii="Calibri" w:hAnsi="Calibri" w:cs="Calibri"/>
          <w:lang w:val="fr-FR"/>
        </w:rPr>
        <w:t>pe</w:t>
      </w:r>
      <w:proofErr w:type="spellEnd"/>
      <w:r w:rsidRPr="00834B27">
        <w:rPr>
          <w:rFonts w:ascii="Calibri" w:hAnsi="Calibri" w:cs="Calibri"/>
          <w:lang w:val="fr-FR"/>
        </w:rPr>
        <w:t xml:space="preserve"> </w:t>
      </w:r>
      <w:proofErr w:type="spellStart"/>
      <w:r w:rsidRPr="00834B27">
        <w:rPr>
          <w:rFonts w:ascii="Calibri" w:hAnsi="Calibri" w:cs="Calibri"/>
          <w:lang w:val="fr-FR"/>
        </w:rPr>
        <w:t>principii</w:t>
      </w:r>
      <w:proofErr w:type="spellEnd"/>
      <w:r w:rsidRPr="00834B27">
        <w:rPr>
          <w:rFonts w:ascii="Calibri" w:hAnsi="Calibri" w:cs="Calibri"/>
          <w:lang w:val="fr-FR"/>
        </w:rPr>
        <w:t xml:space="preserve"> </w:t>
      </w:r>
      <w:proofErr w:type="spellStart"/>
      <w:r w:rsidRPr="00834B27">
        <w:rPr>
          <w:rFonts w:ascii="Calibri" w:hAnsi="Calibri" w:cs="Calibri"/>
          <w:lang w:val="fr-FR"/>
        </w:rPr>
        <w:t>corecte</w:t>
      </w:r>
      <w:proofErr w:type="spellEnd"/>
      <w:r w:rsidRPr="00834B27">
        <w:rPr>
          <w:rFonts w:ascii="Calibri" w:hAnsi="Calibri" w:cs="Calibri"/>
          <w:lang w:val="fr-FR"/>
        </w:rPr>
        <w:t xml:space="preserve"> se auto-</w:t>
      </w:r>
      <w:proofErr w:type="spellStart"/>
      <w:r w:rsidRPr="00834B27">
        <w:rPr>
          <w:rFonts w:ascii="Calibri" w:hAnsi="Calibri" w:cs="Calibri"/>
          <w:lang w:val="fr-FR"/>
        </w:rPr>
        <w:t>corectează</w:t>
      </w:r>
      <w:proofErr w:type="spellEnd"/>
      <w:r w:rsidRPr="00834B27">
        <w:rPr>
          <w:rFonts w:ascii="Calibri" w:hAnsi="Calibri" w:cs="Calibri"/>
          <w:lang w:val="fr-FR"/>
        </w:rPr>
        <w:t xml:space="preserve"> </w:t>
      </w:r>
      <w:proofErr w:type="spellStart"/>
      <w:r w:rsidRPr="00834B27">
        <w:rPr>
          <w:rFonts w:ascii="Calibri" w:hAnsi="Calibri" w:cs="Calibri"/>
          <w:lang w:val="fr-FR"/>
        </w:rPr>
        <w:t>în</w:t>
      </w:r>
      <w:proofErr w:type="spellEnd"/>
      <w:r w:rsidRPr="00834B27">
        <w:rPr>
          <w:rFonts w:ascii="Calibri" w:hAnsi="Calibri" w:cs="Calibri"/>
          <w:lang w:val="fr-FR"/>
        </w:rPr>
        <w:t xml:space="preserve"> </w:t>
      </w:r>
      <w:proofErr w:type="spellStart"/>
      <w:r w:rsidRPr="00834B27">
        <w:rPr>
          <w:rFonts w:ascii="Calibri" w:hAnsi="Calibri" w:cs="Calibri"/>
          <w:lang w:val="fr-FR"/>
        </w:rPr>
        <w:t>timp</w:t>
      </w:r>
      <w:proofErr w:type="spellEnd"/>
      <w:r w:rsidRPr="00834B27">
        <w:rPr>
          <w:rFonts w:ascii="Calibri" w:hAnsi="Calibri" w:cs="Calibri"/>
          <w:lang w:val="fr-FR"/>
        </w:rPr>
        <w:t xml:space="preserve">. O </w:t>
      </w:r>
      <w:proofErr w:type="spellStart"/>
      <w:r w:rsidRPr="00834B27">
        <w:rPr>
          <w:rFonts w:ascii="Calibri" w:hAnsi="Calibri" w:cs="Calibri"/>
          <w:lang w:val="fr-FR"/>
        </w:rPr>
        <w:t>politică</w:t>
      </w:r>
      <w:proofErr w:type="spellEnd"/>
      <w:r w:rsidRPr="00834B27">
        <w:rPr>
          <w:rFonts w:ascii="Calibri" w:hAnsi="Calibri" w:cs="Calibri"/>
          <w:lang w:val="fr-FR"/>
        </w:rPr>
        <w:t xml:space="preserve"> </w:t>
      </w:r>
      <w:proofErr w:type="spellStart"/>
      <w:r w:rsidRPr="00834B27">
        <w:rPr>
          <w:rFonts w:ascii="Calibri" w:hAnsi="Calibri" w:cs="Calibri"/>
          <w:lang w:val="fr-FR"/>
        </w:rPr>
        <w:t>fiscală</w:t>
      </w:r>
      <w:proofErr w:type="spellEnd"/>
      <w:r w:rsidRPr="00834B27">
        <w:rPr>
          <w:rFonts w:ascii="Calibri" w:hAnsi="Calibri" w:cs="Calibri"/>
          <w:lang w:val="fr-FR"/>
        </w:rPr>
        <w:t xml:space="preserve"> </w:t>
      </w:r>
      <w:proofErr w:type="spellStart"/>
      <w:r w:rsidRPr="00834B27">
        <w:rPr>
          <w:rFonts w:ascii="Calibri" w:hAnsi="Calibri" w:cs="Calibri"/>
          <w:lang w:val="fr-FR"/>
        </w:rPr>
        <w:t>construită</w:t>
      </w:r>
      <w:proofErr w:type="spellEnd"/>
      <w:r w:rsidRPr="00834B27">
        <w:rPr>
          <w:rFonts w:ascii="Calibri" w:hAnsi="Calibri" w:cs="Calibri"/>
          <w:lang w:val="fr-FR"/>
        </w:rPr>
        <w:t xml:space="preserve"> </w:t>
      </w:r>
      <w:proofErr w:type="spellStart"/>
      <w:r w:rsidRPr="00834B27">
        <w:rPr>
          <w:rFonts w:ascii="Calibri" w:hAnsi="Calibri" w:cs="Calibri"/>
          <w:lang w:val="fr-FR"/>
        </w:rPr>
        <w:t>pe</w:t>
      </w:r>
      <w:proofErr w:type="spellEnd"/>
      <w:r w:rsidRPr="00834B27">
        <w:rPr>
          <w:rFonts w:ascii="Calibri" w:hAnsi="Calibri" w:cs="Calibri"/>
          <w:lang w:val="fr-FR"/>
        </w:rPr>
        <w:t xml:space="preserve"> </w:t>
      </w:r>
      <w:proofErr w:type="spellStart"/>
      <w:r w:rsidRPr="00834B27">
        <w:rPr>
          <w:rFonts w:ascii="Calibri" w:hAnsi="Calibri" w:cs="Calibri"/>
          <w:lang w:val="fr-FR"/>
        </w:rPr>
        <w:t>principii</w:t>
      </w:r>
      <w:proofErr w:type="spellEnd"/>
      <w:r w:rsidRPr="00834B27">
        <w:rPr>
          <w:rFonts w:ascii="Calibri" w:hAnsi="Calibri" w:cs="Calibri"/>
          <w:lang w:val="fr-FR"/>
        </w:rPr>
        <w:t xml:space="preserve"> </w:t>
      </w:r>
      <w:proofErr w:type="spellStart"/>
      <w:r w:rsidRPr="00834B27">
        <w:rPr>
          <w:rFonts w:ascii="Calibri" w:hAnsi="Calibri" w:cs="Calibri"/>
          <w:lang w:val="fr-FR"/>
        </w:rPr>
        <w:t>greșite</w:t>
      </w:r>
      <w:proofErr w:type="spellEnd"/>
      <w:r w:rsidRPr="00834B27">
        <w:rPr>
          <w:rFonts w:ascii="Calibri" w:hAnsi="Calibri" w:cs="Calibri"/>
          <w:lang w:val="fr-FR"/>
        </w:rPr>
        <w:t xml:space="preserve">, </w:t>
      </w:r>
      <w:proofErr w:type="spellStart"/>
      <w:r w:rsidRPr="00834B27">
        <w:rPr>
          <w:rFonts w:ascii="Calibri" w:hAnsi="Calibri" w:cs="Calibri"/>
          <w:lang w:val="fr-FR"/>
        </w:rPr>
        <w:t>în</w:t>
      </w:r>
      <w:proofErr w:type="spellEnd"/>
      <w:r w:rsidRPr="00834B27">
        <w:rPr>
          <w:rFonts w:ascii="Calibri" w:hAnsi="Calibri" w:cs="Calibri"/>
          <w:lang w:val="fr-FR"/>
        </w:rPr>
        <w:t xml:space="preserve"> </w:t>
      </w:r>
      <w:proofErr w:type="spellStart"/>
      <w:r w:rsidRPr="00834B27">
        <w:rPr>
          <w:rFonts w:ascii="Calibri" w:hAnsi="Calibri" w:cs="Calibri"/>
          <w:lang w:val="fr-FR"/>
        </w:rPr>
        <w:t>schimb</w:t>
      </w:r>
      <w:proofErr w:type="spellEnd"/>
      <w:r w:rsidRPr="00834B27">
        <w:rPr>
          <w:rFonts w:ascii="Calibri" w:hAnsi="Calibri" w:cs="Calibri"/>
          <w:lang w:val="fr-FR"/>
        </w:rPr>
        <w:t xml:space="preserve">, se </w:t>
      </w:r>
      <w:proofErr w:type="spellStart"/>
      <w:r w:rsidRPr="00834B27">
        <w:rPr>
          <w:rFonts w:ascii="Calibri" w:hAnsi="Calibri" w:cs="Calibri"/>
          <w:lang w:val="fr-FR"/>
        </w:rPr>
        <w:t>deteriorează</w:t>
      </w:r>
      <w:proofErr w:type="spellEnd"/>
      <w:r w:rsidRPr="00834B27">
        <w:rPr>
          <w:rFonts w:ascii="Calibri" w:hAnsi="Calibri" w:cs="Calibri"/>
          <w:lang w:val="fr-FR"/>
        </w:rPr>
        <w:t xml:space="preserve"> </w:t>
      </w:r>
      <w:proofErr w:type="spellStart"/>
      <w:r w:rsidRPr="00834B27">
        <w:rPr>
          <w:rFonts w:ascii="Calibri" w:hAnsi="Calibri" w:cs="Calibri"/>
          <w:lang w:val="fr-FR"/>
        </w:rPr>
        <w:t>în</w:t>
      </w:r>
      <w:proofErr w:type="spellEnd"/>
      <w:r w:rsidRPr="00834B27">
        <w:rPr>
          <w:rFonts w:ascii="Calibri" w:hAnsi="Calibri" w:cs="Calibri"/>
          <w:lang w:val="fr-FR"/>
        </w:rPr>
        <w:t xml:space="preserve"> </w:t>
      </w:r>
      <w:proofErr w:type="spellStart"/>
      <w:r w:rsidRPr="00834B27">
        <w:rPr>
          <w:rFonts w:ascii="Calibri" w:hAnsi="Calibri" w:cs="Calibri"/>
          <w:lang w:val="fr-FR"/>
        </w:rPr>
        <w:t>timp</w:t>
      </w:r>
      <w:proofErr w:type="spellEnd"/>
      <w:r w:rsidRPr="00834B27">
        <w:rPr>
          <w:rFonts w:ascii="Calibri" w:hAnsi="Calibri" w:cs="Calibri"/>
          <w:lang w:val="fr-FR"/>
        </w:rPr>
        <w:t xml:space="preserve"> — exact cum s-a </w:t>
      </w:r>
      <w:proofErr w:type="spellStart"/>
      <w:r w:rsidRPr="00834B27">
        <w:rPr>
          <w:rFonts w:ascii="Calibri" w:hAnsi="Calibri" w:cs="Calibri"/>
          <w:lang w:val="fr-FR"/>
        </w:rPr>
        <w:t>deteriorat</w:t>
      </w:r>
      <w:proofErr w:type="spellEnd"/>
      <w:r w:rsidRPr="00834B27">
        <w:rPr>
          <w:rFonts w:ascii="Calibri" w:hAnsi="Calibri" w:cs="Calibri"/>
          <w:lang w:val="fr-FR"/>
        </w:rPr>
        <w:t xml:space="preserve"> </w:t>
      </w:r>
      <w:proofErr w:type="spellStart"/>
      <w:r w:rsidRPr="00834B27">
        <w:rPr>
          <w:rFonts w:ascii="Calibri" w:hAnsi="Calibri" w:cs="Calibri"/>
          <w:lang w:val="fr-FR"/>
        </w:rPr>
        <w:t>sistemul</w:t>
      </w:r>
      <w:proofErr w:type="spellEnd"/>
      <w:r w:rsidRPr="00834B27">
        <w:rPr>
          <w:rFonts w:ascii="Calibri" w:hAnsi="Calibri" w:cs="Calibri"/>
          <w:lang w:val="fr-FR"/>
        </w:rPr>
        <w:t xml:space="preserve"> </w:t>
      </w:r>
      <w:proofErr w:type="spellStart"/>
      <w:r w:rsidRPr="00834B27">
        <w:rPr>
          <w:rFonts w:ascii="Calibri" w:hAnsi="Calibri" w:cs="Calibri"/>
          <w:lang w:val="fr-FR"/>
        </w:rPr>
        <w:t>actual</w:t>
      </w:r>
      <w:proofErr w:type="spellEnd"/>
      <w:r w:rsidRPr="00834B27">
        <w:rPr>
          <w:rFonts w:ascii="Calibri" w:hAnsi="Calibri" w:cs="Calibri"/>
          <w:lang w:val="fr-FR"/>
        </w:rPr>
        <w:t xml:space="preserve">, </w:t>
      </w:r>
      <w:proofErr w:type="spellStart"/>
      <w:r w:rsidRPr="00834B27">
        <w:rPr>
          <w:rFonts w:ascii="Calibri" w:hAnsi="Calibri" w:cs="Calibri"/>
          <w:lang w:val="fr-FR"/>
        </w:rPr>
        <w:t>prin</w:t>
      </w:r>
      <w:proofErr w:type="spellEnd"/>
      <w:r w:rsidRPr="00834B27">
        <w:rPr>
          <w:rFonts w:ascii="Calibri" w:hAnsi="Calibri" w:cs="Calibri"/>
          <w:lang w:val="fr-FR"/>
        </w:rPr>
        <w:t xml:space="preserve"> 450 de </w:t>
      </w:r>
      <w:proofErr w:type="spellStart"/>
      <w:r w:rsidRPr="00834B27">
        <w:rPr>
          <w:rFonts w:ascii="Calibri" w:hAnsi="Calibri" w:cs="Calibri"/>
          <w:lang w:val="fr-FR"/>
        </w:rPr>
        <w:t>modificări</w:t>
      </w:r>
      <w:proofErr w:type="spellEnd"/>
      <w:r w:rsidRPr="00834B27">
        <w:rPr>
          <w:rFonts w:ascii="Calibri" w:hAnsi="Calibri" w:cs="Calibri"/>
          <w:lang w:val="fr-FR"/>
        </w:rPr>
        <w:t xml:space="preserve"> </w:t>
      </w:r>
      <w:proofErr w:type="spellStart"/>
      <w:r w:rsidRPr="00834B27">
        <w:rPr>
          <w:rFonts w:ascii="Calibri" w:hAnsi="Calibri" w:cs="Calibri"/>
          <w:lang w:val="fr-FR"/>
        </w:rPr>
        <w:t>în</w:t>
      </w:r>
      <w:proofErr w:type="spellEnd"/>
      <w:r w:rsidRPr="00834B27">
        <w:rPr>
          <w:rFonts w:ascii="Calibri" w:hAnsi="Calibri" w:cs="Calibri"/>
          <w:lang w:val="fr-FR"/>
        </w:rPr>
        <w:t xml:space="preserve"> 10 </w:t>
      </w:r>
      <w:proofErr w:type="spellStart"/>
      <w:r w:rsidRPr="00834B27">
        <w:rPr>
          <w:rFonts w:ascii="Calibri" w:hAnsi="Calibri" w:cs="Calibri"/>
          <w:lang w:val="fr-FR"/>
        </w:rPr>
        <w:t>ani</w:t>
      </w:r>
      <w:proofErr w:type="spellEnd"/>
      <w:r w:rsidRPr="00834B27">
        <w:rPr>
          <w:rFonts w:ascii="Calibri" w:hAnsi="Calibri" w:cs="Calibri"/>
          <w:lang w:val="fr-FR"/>
        </w:rPr>
        <w:t xml:space="preserve">, </w:t>
      </w:r>
      <w:proofErr w:type="spellStart"/>
      <w:r w:rsidRPr="00834B27">
        <w:rPr>
          <w:rFonts w:ascii="Calibri" w:hAnsi="Calibri" w:cs="Calibri"/>
          <w:lang w:val="fr-FR"/>
        </w:rPr>
        <w:t>fiecare</w:t>
      </w:r>
      <w:proofErr w:type="spellEnd"/>
      <w:r w:rsidRPr="00834B27">
        <w:rPr>
          <w:rFonts w:ascii="Calibri" w:hAnsi="Calibri" w:cs="Calibri"/>
          <w:lang w:val="fr-FR"/>
        </w:rPr>
        <w:t xml:space="preserve"> </w:t>
      </w:r>
      <w:proofErr w:type="spellStart"/>
      <w:r w:rsidRPr="00834B27">
        <w:rPr>
          <w:rFonts w:ascii="Calibri" w:hAnsi="Calibri" w:cs="Calibri"/>
          <w:lang w:val="fr-FR"/>
        </w:rPr>
        <w:t>încercând</w:t>
      </w:r>
      <w:proofErr w:type="spellEnd"/>
      <w:r w:rsidRPr="00834B27">
        <w:rPr>
          <w:rFonts w:ascii="Calibri" w:hAnsi="Calibri" w:cs="Calibri"/>
          <w:lang w:val="fr-FR"/>
        </w:rPr>
        <w:t xml:space="preserve"> </w:t>
      </w:r>
      <w:proofErr w:type="spellStart"/>
      <w:r w:rsidRPr="00834B27">
        <w:rPr>
          <w:rFonts w:ascii="Calibri" w:hAnsi="Calibri" w:cs="Calibri"/>
          <w:lang w:val="fr-FR"/>
        </w:rPr>
        <w:t>să</w:t>
      </w:r>
      <w:proofErr w:type="spellEnd"/>
      <w:r w:rsidRPr="00834B27">
        <w:rPr>
          <w:rFonts w:ascii="Calibri" w:hAnsi="Calibri" w:cs="Calibri"/>
          <w:lang w:val="fr-FR"/>
        </w:rPr>
        <w:t xml:space="preserve"> </w:t>
      </w:r>
      <w:proofErr w:type="spellStart"/>
      <w:r w:rsidRPr="00834B27">
        <w:rPr>
          <w:rFonts w:ascii="Calibri" w:hAnsi="Calibri" w:cs="Calibri"/>
          <w:lang w:val="fr-FR"/>
        </w:rPr>
        <w:t>repare</w:t>
      </w:r>
      <w:proofErr w:type="spellEnd"/>
      <w:r w:rsidRPr="00834B27">
        <w:rPr>
          <w:rFonts w:ascii="Calibri" w:hAnsi="Calibri" w:cs="Calibri"/>
          <w:lang w:val="fr-FR"/>
        </w:rPr>
        <w:t xml:space="preserve"> </w:t>
      </w:r>
      <w:proofErr w:type="spellStart"/>
      <w:r w:rsidRPr="00834B27">
        <w:rPr>
          <w:rFonts w:ascii="Calibri" w:hAnsi="Calibri" w:cs="Calibri"/>
          <w:lang w:val="fr-FR"/>
        </w:rPr>
        <w:t>consecințele</w:t>
      </w:r>
      <w:proofErr w:type="spellEnd"/>
      <w:r w:rsidRPr="00834B27">
        <w:rPr>
          <w:rFonts w:ascii="Calibri" w:hAnsi="Calibri" w:cs="Calibri"/>
          <w:lang w:val="fr-FR"/>
        </w:rPr>
        <w:t xml:space="preserve"> </w:t>
      </w:r>
      <w:proofErr w:type="spellStart"/>
      <w:r w:rsidRPr="00834B27">
        <w:rPr>
          <w:rFonts w:ascii="Calibri" w:hAnsi="Calibri" w:cs="Calibri"/>
          <w:lang w:val="fr-FR"/>
        </w:rPr>
        <w:t>celei</w:t>
      </w:r>
      <w:proofErr w:type="spellEnd"/>
      <w:r w:rsidRPr="00834B27">
        <w:rPr>
          <w:rFonts w:ascii="Calibri" w:hAnsi="Calibri" w:cs="Calibri"/>
          <w:lang w:val="fr-FR"/>
        </w:rPr>
        <w:t xml:space="preserve"> </w:t>
      </w:r>
      <w:proofErr w:type="spellStart"/>
      <w:r w:rsidRPr="00834B27">
        <w:rPr>
          <w:rFonts w:ascii="Calibri" w:hAnsi="Calibri" w:cs="Calibri"/>
          <w:lang w:val="fr-FR"/>
        </w:rPr>
        <w:t>anterioare</w:t>
      </w:r>
      <w:proofErr w:type="spellEnd"/>
      <w:r w:rsidRPr="00834B27">
        <w:rPr>
          <w:rFonts w:ascii="Calibri" w:hAnsi="Calibri" w:cs="Calibri"/>
          <w:lang w:val="fr-FR"/>
        </w:rPr>
        <w:t>.</w:t>
      </w:r>
    </w:p>
    <w:p w14:paraId="6FB7C693" w14:textId="77777777" w:rsidR="00BC5BFD" w:rsidRPr="00834B27" w:rsidRDefault="00BC5BFD" w:rsidP="00BC5BFD">
      <w:pPr>
        <w:pStyle w:val="font-claude-response-body"/>
        <w:spacing w:before="0" w:beforeAutospacing="0" w:after="0" w:afterAutospacing="0"/>
        <w:jc w:val="both"/>
        <w:rPr>
          <w:rFonts w:ascii="Calibri" w:hAnsi="Calibri" w:cs="Calibri"/>
          <w:b/>
          <w:bCs/>
          <w:lang w:val="it-IT"/>
        </w:rPr>
      </w:pPr>
      <w:r w:rsidRPr="00834B27">
        <w:rPr>
          <w:rFonts w:ascii="Calibri" w:hAnsi="Calibri" w:cs="Calibri"/>
          <w:b/>
          <w:bCs/>
          <w:lang w:val="it-IT"/>
        </w:rPr>
        <w:t>România își permite o reformă care necesită ajustări pe parcurs. Nu își permite încă un deceniu de modificări punctuale care agravează exact problemele pe care pretind că le rezolvă. Costul reformei este măsurabil și gestionabil. Costul alternativei — un sistem fiscal care erodează contractul social, penalizează conformarea, subvenționează arbitrajul și acumulează obligații de pensii nelimitate — este exponențial și ireversibil.</w:t>
      </w:r>
    </w:p>
    <w:p w14:paraId="7849D562" w14:textId="77777777" w:rsidR="00BC5BFD" w:rsidRPr="00834B27" w:rsidRDefault="00BC5BFD" w:rsidP="00BC5BFD">
      <w:pPr>
        <w:jc w:val="both"/>
        <w:rPr>
          <w:rFonts w:ascii="Calibri" w:hAnsi="Calibri" w:cs="Calibri"/>
          <w:lang w:val="it-IT"/>
        </w:rPr>
      </w:pPr>
    </w:p>
    <w:p w14:paraId="2DADF959" w14:textId="77777777" w:rsidR="00BC5BFD" w:rsidRPr="00834B27" w:rsidRDefault="00BC5BFD">
      <w:pPr>
        <w:rPr>
          <w:rFonts w:ascii="Calibri" w:hAnsi="Calibri" w:cs="Calibri"/>
          <w:lang w:val="ro-RO"/>
        </w:rPr>
      </w:pPr>
    </w:p>
    <w:p w14:paraId="471D1DCB" w14:textId="57A3457F" w:rsidR="00D62F7C" w:rsidRPr="00834B27" w:rsidRDefault="00D62F7C">
      <w:pPr>
        <w:rPr>
          <w:rFonts w:ascii="Calibri" w:hAnsi="Calibri" w:cs="Calibri"/>
          <w:lang w:val="ro-RO"/>
        </w:rPr>
      </w:pPr>
      <w:r w:rsidRPr="00834B27">
        <w:rPr>
          <w:rFonts w:ascii="Calibri" w:hAnsi="Calibri" w:cs="Calibri"/>
          <w:lang w:val="ro-RO"/>
        </w:rPr>
        <w:br w:type="page"/>
      </w:r>
    </w:p>
    <w:p w14:paraId="667AAC6F" w14:textId="7F843D36" w:rsidR="00D62F7C" w:rsidRPr="00834B27" w:rsidRDefault="00D62F7C" w:rsidP="00D62F7C">
      <w:pPr>
        <w:tabs>
          <w:tab w:val="left" w:pos="1260"/>
        </w:tabs>
        <w:spacing w:line="276" w:lineRule="auto"/>
        <w:jc w:val="both"/>
        <w:outlineLvl w:val="0"/>
        <w:rPr>
          <w:rFonts w:ascii="Calibri" w:hAnsi="Calibri" w:cs="Calibri"/>
          <w:b/>
          <w:bCs/>
          <w:sz w:val="20"/>
          <w:szCs w:val="20"/>
          <w:lang w:val="ro-RO"/>
        </w:rPr>
      </w:pPr>
      <w:bookmarkStart w:id="20" w:name="_Toc223643888"/>
      <w:r w:rsidRPr="00834B27">
        <w:rPr>
          <w:rFonts w:ascii="Calibri" w:hAnsi="Calibri" w:cs="Calibri"/>
          <w:b/>
          <w:bCs/>
          <w:lang w:val="ro-RO"/>
        </w:rPr>
        <w:lastRenderedPageBreak/>
        <w:t>Referințe bibliografice</w:t>
      </w:r>
      <w:bookmarkEnd w:id="20"/>
    </w:p>
    <w:p w14:paraId="690D66B8" w14:textId="77777777" w:rsidR="00D62F7C" w:rsidRPr="00834B27" w:rsidRDefault="00D62F7C" w:rsidP="00D62F7C">
      <w:pPr>
        <w:tabs>
          <w:tab w:val="left" w:pos="720"/>
        </w:tabs>
        <w:spacing w:line="276" w:lineRule="auto"/>
        <w:jc w:val="both"/>
        <w:rPr>
          <w:rFonts w:ascii="Calibri" w:hAnsi="Calibri" w:cs="Calibri"/>
          <w:sz w:val="20"/>
          <w:szCs w:val="20"/>
          <w:lang w:val="ro-RO"/>
        </w:rPr>
      </w:pPr>
      <w:r w:rsidRPr="00834B27">
        <w:rPr>
          <w:rFonts w:ascii="Calibri" w:hAnsi="Calibri" w:cs="Calibri"/>
          <w:sz w:val="20"/>
          <w:szCs w:val="20"/>
          <w:lang w:val="ro-RO"/>
        </w:rPr>
        <w:t xml:space="preserve">[1] OECD, Tax Administration 2023, OECD Publishing. </w:t>
      </w:r>
      <w:hyperlink r:id="rId9" w:history="1">
        <w:r w:rsidRPr="00834B27">
          <w:rPr>
            <w:rStyle w:val="Hyperlink"/>
            <w:rFonts w:ascii="Calibri" w:hAnsi="Calibri" w:cs="Calibri"/>
            <w:sz w:val="20"/>
            <w:szCs w:val="20"/>
            <w:lang w:val="ro-RO"/>
          </w:rPr>
          <w:t>https://www.oecd.org/content/dam/oecd/en/publications/reports/2023/09/tax-administration-2023_87655bc9/900b6382-en.pdf</w:t>
        </w:r>
      </w:hyperlink>
    </w:p>
    <w:p w14:paraId="422A974E" w14:textId="77777777" w:rsidR="00D62F7C" w:rsidRPr="00834B27" w:rsidRDefault="00D62F7C" w:rsidP="00D62F7C">
      <w:pPr>
        <w:tabs>
          <w:tab w:val="left" w:pos="720"/>
        </w:tabs>
        <w:spacing w:line="276" w:lineRule="auto"/>
        <w:jc w:val="both"/>
        <w:rPr>
          <w:rFonts w:ascii="Calibri" w:hAnsi="Calibri" w:cs="Calibri"/>
          <w:sz w:val="20"/>
          <w:szCs w:val="20"/>
          <w:lang w:val="ro-RO"/>
        </w:rPr>
      </w:pPr>
      <w:r w:rsidRPr="00834B27">
        <w:rPr>
          <w:rFonts w:ascii="Calibri" w:hAnsi="Calibri" w:cs="Calibri"/>
          <w:sz w:val="20"/>
          <w:szCs w:val="20"/>
          <w:lang w:val="ro-RO"/>
        </w:rPr>
        <w:t xml:space="preserve">[2] BMAS (Bundesministerium fur Arbeit und Soziales), Sozialversicherungs-Rechengroessenverordnung 2025. </w:t>
      </w:r>
      <w:hyperlink r:id="rId10" w:history="1">
        <w:r w:rsidRPr="00834B27">
          <w:rPr>
            <w:rStyle w:val="Hyperlink"/>
            <w:rFonts w:ascii="Calibri" w:hAnsi="Calibri" w:cs="Calibri"/>
            <w:sz w:val="20"/>
            <w:szCs w:val="20"/>
            <w:lang w:val="ro-RO"/>
          </w:rPr>
          <w:t>https://www.bmas.de/DE/Service/Gesetze-und-Gesetzesvorhaben/sozialversicherungs-rechengroessenverordnung-2025.html</w:t>
        </w:r>
      </w:hyperlink>
    </w:p>
    <w:p w14:paraId="76FB6BD7" w14:textId="77777777" w:rsidR="00D62F7C" w:rsidRPr="00834B27" w:rsidRDefault="00D62F7C" w:rsidP="00D62F7C">
      <w:pPr>
        <w:tabs>
          <w:tab w:val="left" w:pos="720"/>
        </w:tabs>
        <w:spacing w:line="276" w:lineRule="auto"/>
        <w:jc w:val="both"/>
        <w:rPr>
          <w:rFonts w:ascii="Calibri" w:hAnsi="Calibri" w:cs="Calibri"/>
          <w:sz w:val="20"/>
          <w:szCs w:val="20"/>
          <w:lang w:val="ro-RO"/>
        </w:rPr>
      </w:pPr>
      <w:r w:rsidRPr="00834B27">
        <w:rPr>
          <w:rFonts w:ascii="Calibri" w:hAnsi="Calibri" w:cs="Calibri"/>
          <w:sz w:val="20"/>
          <w:szCs w:val="20"/>
          <w:lang w:val="ro-RO"/>
        </w:rPr>
        <w:t xml:space="preserve">[3] PwC Tax Summaries, Germany - Individual - Significant developments, 2025. </w:t>
      </w:r>
      <w:hyperlink r:id="rId11" w:history="1">
        <w:r w:rsidRPr="00834B27">
          <w:rPr>
            <w:rStyle w:val="Hyperlink"/>
            <w:rFonts w:ascii="Calibri" w:hAnsi="Calibri" w:cs="Calibri"/>
            <w:sz w:val="20"/>
            <w:szCs w:val="20"/>
            <w:lang w:val="ro-RO"/>
          </w:rPr>
          <w:t>https://taxsummaries.pwc.com/germany/individual/significant-developments</w:t>
        </w:r>
      </w:hyperlink>
    </w:p>
    <w:p w14:paraId="26651583" w14:textId="77777777" w:rsidR="00D62F7C" w:rsidRPr="00834B27" w:rsidRDefault="00D62F7C" w:rsidP="00D62F7C">
      <w:pPr>
        <w:tabs>
          <w:tab w:val="left" w:pos="720"/>
        </w:tabs>
        <w:spacing w:line="276" w:lineRule="auto"/>
        <w:jc w:val="both"/>
        <w:rPr>
          <w:rFonts w:ascii="Calibri" w:hAnsi="Calibri" w:cs="Calibri"/>
          <w:sz w:val="20"/>
          <w:szCs w:val="20"/>
          <w:lang w:val="ro-RO"/>
        </w:rPr>
      </w:pPr>
      <w:r w:rsidRPr="00834B27">
        <w:rPr>
          <w:rFonts w:ascii="Calibri" w:hAnsi="Calibri" w:cs="Calibri"/>
          <w:sz w:val="20"/>
          <w:szCs w:val="20"/>
          <w:lang w:val="ro-RO"/>
        </w:rPr>
        <w:t xml:space="preserve">[4] Bundesregierung, Beitragsbemessungsgrenzen 2026, SV-Rechengroessenverordnung 2026. </w:t>
      </w:r>
      <w:hyperlink r:id="rId12" w:history="1">
        <w:r w:rsidRPr="00834B27">
          <w:rPr>
            <w:rStyle w:val="Hyperlink"/>
            <w:rFonts w:ascii="Calibri" w:hAnsi="Calibri" w:cs="Calibri"/>
            <w:sz w:val="20"/>
            <w:szCs w:val="20"/>
            <w:lang w:val="ro-RO"/>
          </w:rPr>
          <w:t>https://www.bundesregierung.de/breg-de/aktuelles/beitragsgemessungsgrenzen-2386514</w:t>
        </w:r>
      </w:hyperlink>
    </w:p>
    <w:p w14:paraId="0EF7068E" w14:textId="77777777" w:rsidR="00D62F7C" w:rsidRPr="00834B27" w:rsidRDefault="00D62F7C" w:rsidP="00D62F7C">
      <w:pPr>
        <w:tabs>
          <w:tab w:val="left" w:pos="720"/>
        </w:tabs>
        <w:spacing w:line="276" w:lineRule="auto"/>
        <w:jc w:val="both"/>
        <w:rPr>
          <w:rFonts w:ascii="Calibri" w:hAnsi="Calibri" w:cs="Calibri"/>
          <w:sz w:val="20"/>
          <w:szCs w:val="20"/>
          <w:lang w:val="ro-RO"/>
        </w:rPr>
      </w:pPr>
      <w:r w:rsidRPr="00834B27">
        <w:rPr>
          <w:rFonts w:ascii="Calibri" w:hAnsi="Calibri" w:cs="Calibri"/>
          <w:sz w:val="20"/>
          <w:szCs w:val="20"/>
          <w:lang w:val="ro-RO"/>
        </w:rPr>
        <w:t xml:space="preserve">[5] Belastingdienst (NL), Calculating wage tax / national insurance contributions. </w:t>
      </w:r>
      <w:hyperlink r:id="rId13" w:history="1">
        <w:r w:rsidRPr="00834B27">
          <w:rPr>
            <w:rStyle w:val="Hyperlink"/>
            <w:rFonts w:ascii="Calibri" w:hAnsi="Calibri" w:cs="Calibri"/>
            <w:sz w:val="20"/>
            <w:szCs w:val="20"/>
            <w:lang w:val="ro-RO"/>
          </w:rPr>
          <w:t>https://www.belastingdienst.nl/wps/wcm/connect/bldcontenten/belastingdienst/business/payroll_taxes/</w:t>
        </w:r>
      </w:hyperlink>
    </w:p>
    <w:p w14:paraId="35C31F66" w14:textId="77777777" w:rsidR="00D62F7C" w:rsidRPr="00834B27" w:rsidRDefault="00D62F7C" w:rsidP="00D62F7C">
      <w:pPr>
        <w:tabs>
          <w:tab w:val="left" w:pos="720"/>
        </w:tabs>
        <w:spacing w:line="276" w:lineRule="auto"/>
        <w:jc w:val="both"/>
        <w:rPr>
          <w:rFonts w:ascii="Calibri" w:hAnsi="Calibri" w:cs="Calibri"/>
          <w:sz w:val="20"/>
          <w:szCs w:val="20"/>
          <w:lang w:val="ro-RO"/>
        </w:rPr>
      </w:pPr>
      <w:r w:rsidRPr="00834B27">
        <w:rPr>
          <w:rFonts w:ascii="Calibri" w:hAnsi="Calibri" w:cs="Calibri"/>
          <w:sz w:val="20"/>
          <w:szCs w:val="20"/>
          <w:lang w:val="ro-RO"/>
        </w:rPr>
        <w:t xml:space="preserve">[6] GOV.UK, Rates and thresholds for employers 2025 to 2026. </w:t>
      </w:r>
      <w:hyperlink r:id="rId14" w:history="1">
        <w:r w:rsidRPr="00834B27">
          <w:rPr>
            <w:rStyle w:val="Hyperlink"/>
            <w:rFonts w:ascii="Calibri" w:hAnsi="Calibri" w:cs="Calibri"/>
            <w:sz w:val="20"/>
            <w:szCs w:val="20"/>
            <w:lang w:val="ro-RO"/>
          </w:rPr>
          <w:t>https://www.gov.uk/guidance/rates-and-thresholds-for-employers-2025-to-2026</w:t>
        </w:r>
      </w:hyperlink>
    </w:p>
    <w:p w14:paraId="19984D2C" w14:textId="77777777" w:rsidR="00D62F7C" w:rsidRPr="00834B27" w:rsidRDefault="00D62F7C" w:rsidP="00D62F7C">
      <w:pPr>
        <w:tabs>
          <w:tab w:val="left" w:pos="720"/>
        </w:tabs>
        <w:spacing w:line="276" w:lineRule="auto"/>
        <w:jc w:val="both"/>
        <w:rPr>
          <w:rFonts w:ascii="Calibri" w:hAnsi="Calibri" w:cs="Calibri"/>
          <w:sz w:val="20"/>
          <w:szCs w:val="20"/>
          <w:lang w:val="ro-RO"/>
        </w:rPr>
      </w:pPr>
      <w:r w:rsidRPr="00834B27">
        <w:rPr>
          <w:rFonts w:ascii="Calibri" w:hAnsi="Calibri" w:cs="Calibri"/>
          <w:sz w:val="20"/>
          <w:szCs w:val="20"/>
          <w:lang w:val="ro-RO"/>
        </w:rPr>
        <w:t xml:space="preserve">[7] CLEISS, The French social security system - Rates and ceilings, 2025. </w:t>
      </w:r>
      <w:hyperlink r:id="rId15" w:history="1">
        <w:r w:rsidRPr="00834B27">
          <w:rPr>
            <w:rStyle w:val="Hyperlink"/>
            <w:rFonts w:ascii="Calibri" w:hAnsi="Calibri" w:cs="Calibri"/>
            <w:sz w:val="20"/>
            <w:szCs w:val="20"/>
            <w:lang w:val="ro-RO"/>
          </w:rPr>
          <w:t>https://www.cleiss.fr/docs/regimes/regime_france/an_a2.html</w:t>
        </w:r>
      </w:hyperlink>
    </w:p>
    <w:p w14:paraId="02D53E8B" w14:textId="77777777" w:rsidR="00D62F7C" w:rsidRPr="00834B27" w:rsidRDefault="00D62F7C" w:rsidP="00D62F7C">
      <w:pPr>
        <w:tabs>
          <w:tab w:val="left" w:pos="720"/>
        </w:tabs>
        <w:spacing w:line="276" w:lineRule="auto"/>
        <w:jc w:val="both"/>
        <w:rPr>
          <w:rFonts w:ascii="Calibri" w:hAnsi="Calibri" w:cs="Calibri"/>
          <w:sz w:val="20"/>
          <w:szCs w:val="20"/>
          <w:lang w:val="ro-RO"/>
        </w:rPr>
      </w:pPr>
      <w:r w:rsidRPr="00834B27">
        <w:rPr>
          <w:rFonts w:ascii="Calibri" w:hAnsi="Calibri" w:cs="Calibri"/>
          <w:sz w:val="20"/>
          <w:szCs w:val="20"/>
          <w:lang w:val="ro-RO"/>
        </w:rPr>
        <w:t xml:space="preserve">[8] OECD, Social Security Contributions - Explanatory Annex, Taxing Wages 2025, Czechia. </w:t>
      </w:r>
      <w:hyperlink r:id="rId16" w:history="1">
        <w:r w:rsidRPr="00834B27">
          <w:rPr>
            <w:rStyle w:val="Hyperlink"/>
            <w:rFonts w:ascii="Calibri" w:hAnsi="Calibri" w:cs="Calibri"/>
            <w:sz w:val="20"/>
            <w:szCs w:val="20"/>
            <w:lang w:val="ro-RO"/>
          </w:rPr>
          <w:t>https://www.oecd.org/content/dam/oecd/en/topics/policy-issues/tax-policy/social-security-contributions-explanatory-annex.pdf</w:t>
        </w:r>
      </w:hyperlink>
    </w:p>
    <w:p w14:paraId="49CD1EC1" w14:textId="77777777" w:rsidR="00D62F7C" w:rsidRPr="00834B27" w:rsidRDefault="00D62F7C" w:rsidP="00D62F7C">
      <w:pPr>
        <w:tabs>
          <w:tab w:val="left" w:pos="720"/>
        </w:tabs>
        <w:spacing w:line="276" w:lineRule="auto"/>
        <w:jc w:val="both"/>
        <w:rPr>
          <w:rFonts w:ascii="Calibri" w:hAnsi="Calibri" w:cs="Calibri"/>
          <w:sz w:val="20"/>
          <w:szCs w:val="20"/>
          <w:lang w:val="ro-RO"/>
        </w:rPr>
      </w:pPr>
      <w:r w:rsidRPr="00834B27">
        <w:rPr>
          <w:rFonts w:ascii="Calibri" w:hAnsi="Calibri" w:cs="Calibri"/>
          <w:sz w:val="20"/>
          <w:szCs w:val="20"/>
          <w:lang w:val="ro-RO"/>
        </w:rPr>
        <w:t xml:space="preserve">[9] OECD, Taxing Wages 2025, OECD Publishing, April 2025. </w:t>
      </w:r>
      <w:hyperlink r:id="rId17" w:history="1">
        <w:r w:rsidRPr="00834B27">
          <w:rPr>
            <w:rStyle w:val="Hyperlink"/>
            <w:rFonts w:ascii="Calibri" w:hAnsi="Calibri" w:cs="Calibri"/>
            <w:sz w:val="20"/>
            <w:szCs w:val="20"/>
            <w:lang w:val="ro-RO"/>
          </w:rPr>
          <w:t>https://www.oecd.org/en/publications/2025/04/taxing-wages-2025_20d1a01d.html</w:t>
        </w:r>
      </w:hyperlink>
    </w:p>
    <w:p w14:paraId="5D21BE29" w14:textId="77777777" w:rsidR="00D62F7C" w:rsidRPr="00834B27" w:rsidRDefault="00D62F7C" w:rsidP="00D62F7C">
      <w:pPr>
        <w:tabs>
          <w:tab w:val="left" w:pos="720"/>
        </w:tabs>
        <w:spacing w:line="276" w:lineRule="auto"/>
        <w:jc w:val="both"/>
        <w:rPr>
          <w:rFonts w:ascii="Calibri" w:hAnsi="Calibri" w:cs="Calibri"/>
          <w:sz w:val="20"/>
          <w:szCs w:val="20"/>
          <w:lang w:val="ro-RO"/>
        </w:rPr>
      </w:pPr>
      <w:r w:rsidRPr="00834B27">
        <w:rPr>
          <w:rFonts w:ascii="Calibri" w:hAnsi="Calibri" w:cs="Calibri"/>
          <w:sz w:val="20"/>
          <w:szCs w:val="20"/>
          <w:lang w:val="ro-RO"/>
        </w:rPr>
        <w:t xml:space="preserve">[10] ECB, Flat taxes in Central and Eastern Europe, Monthly Bulletin, September 2007. </w:t>
      </w:r>
      <w:hyperlink r:id="rId18" w:history="1">
        <w:r w:rsidRPr="00834B27">
          <w:rPr>
            <w:rStyle w:val="Hyperlink"/>
            <w:rFonts w:ascii="Calibri" w:hAnsi="Calibri" w:cs="Calibri"/>
            <w:sz w:val="20"/>
            <w:szCs w:val="20"/>
            <w:lang w:val="ro-RO"/>
          </w:rPr>
          <w:t>https://www.ecb.europa.eu/pub/pdf/other/mb200709_focus10.en.pdf</w:t>
        </w:r>
      </w:hyperlink>
    </w:p>
    <w:p w14:paraId="728918E3" w14:textId="77777777" w:rsidR="00D62F7C" w:rsidRPr="00834B27" w:rsidRDefault="00D62F7C" w:rsidP="00D62F7C">
      <w:pPr>
        <w:tabs>
          <w:tab w:val="left" w:pos="720"/>
        </w:tabs>
        <w:spacing w:line="276" w:lineRule="auto"/>
        <w:jc w:val="both"/>
        <w:rPr>
          <w:rFonts w:ascii="Calibri" w:hAnsi="Calibri" w:cs="Calibri"/>
          <w:sz w:val="20"/>
          <w:szCs w:val="20"/>
          <w:lang w:val="ro-RO"/>
        </w:rPr>
      </w:pPr>
      <w:r w:rsidRPr="00834B27">
        <w:rPr>
          <w:rFonts w:ascii="Calibri" w:hAnsi="Calibri" w:cs="Calibri"/>
          <w:sz w:val="20"/>
          <w:szCs w:val="20"/>
          <w:lang w:val="ro-RO"/>
        </w:rPr>
        <w:t xml:space="preserve">[11] Ferraro, S. et al., Progressive Tax Reforms in Flat Tax Countries, Eastern European Economics, 2020. </w:t>
      </w:r>
      <w:hyperlink r:id="rId19" w:history="1">
        <w:r w:rsidRPr="00834B27">
          <w:rPr>
            <w:rStyle w:val="Hyperlink"/>
            <w:rFonts w:ascii="Calibri" w:hAnsi="Calibri" w:cs="Calibri"/>
            <w:sz w:val="20"/>
            <w:szCs w:val="20"/>
            <w:lang w:val="ro-RO"/>
          </w:rPr>
          <w:t>https://www.tandfonline.com/doi/full/10.1080/00128775.2019.1671201</w:t>
        </w:r>
      </w:hyperlink>
    </w:p>
    <w:p w14:paraId="108CAF2F" w14:textId="77777777" w:rsidR="00D62F7C" w:rsidRPr="00834B27" w:rsidRDefault="00D62F7C" w:rsidP="00D62F7C">
      <w:pPr>
        <w:tabs>
          <w:tab w:val="left" w:pos="720"/>
        </w:tabs>
        <w:spacing w:line="276" w:lineRule="auto"/>
        <w:jc w:val="both"/>
        <w:rPr>
          <w:rFonts w:ascii="Calibri" w:hAnsi="Calibri" w:cs="Calibri"/>
          <w:sz w:val="20"/>
          <w:szCs w:val="20"/>
          <w:lang w:val="ro-RO"/>
        </w:rPr>
      </w:pPr>
      <w:r w:rsidRPr="00834B27">
        <w:rPr>
          <w:rFonts w:ascii="Calibri" w:hAnsi="Calibri" w:cs="Calibri"/>
          <w:sz w:val="20"/>
          <w:szCs w:val="20"/>
          <w:lang w:val="ro-RO"/>
        </w:rPr>
        <w:t xml:space="preserve">[12] OECD, Using third-party information reports to assist taxpayers, 2006. </w:t>
      </w:r>
      <w:hyperlink r:id="rId20" w:history="1">
        <w:r w:rsidRPr="00834B27">
          <w:rPr>
            <w:rStyle w:val="Hyperlink"/>
            <w:rFonts w:ascii="Calibri" w:hAnsi="Calibri" w:cs="Calibri"/>
            <w:sz w:val="20"/>
            <w:szCs w:val="20"/>
            <w:lang w:val="ro-RO"/>
          </w:rPr>
          <w:t>https://www.oecd.org/ctp/administration/36280368.pdf</w:t>
        </w:r>
      </w:hyperlink>
    </w:p>
    <w:p w14:paraId="00295527" w14:textId="77777777" w:rsidR="00D62F7C" w:rsidRPr="00834B27" w:rsidRDefault="00D62F7C" w:rsidP="00D62F7C">
      <w:pPr>
        <w:tabs>
          <w:tab w:val="left" w:pos="720"/>
        </w:tabs>
        <w:spacing w:line="276" w:lineRule="auto"/>
        <w:jc w:val="both"/>
        <w:rPr>
          <w:rFonts w:ascii="Calibri" w:hAnsi="Calibri" w:cs="Calibri"/>
          <w:sz w:val="20"/>
          <w:szCs w:val="20"/>
          <w:lang w:val="ro-RO"/>
        </w:rPr>
      </w:pPr>
      <w:r w:rsidRPr="00834B27">
        <w:rPr>
          <w:rFonts w:ascii="Calibri" w:hAnsi="Calibri" w:cs="Calibri"/>
          <w:sz w:val="20"/>
          <w:szCs w:val="20"/>
          <w:lang w:val="ro-RO"/>
        </w:rPr>
        <w:t xml:space="preserve">[13] OECD, Tax Administration 2025 - Assessment, OECD Publishing. </w:t>
      </w:r>
      <w:hyperlink r:id="rId21" w:history="1">
        <w:r w:rsidRPr="00834B27">
          <w:rPr>
            <w:rStyle w:val="Hyperlink"/>
            <w:rFonts w:ascii="Calibri" w:hAnsi="Calibri" w:cs="Calibri"/>
            <w:sz w:val="20"/>
            <w:szCs w:val="20"/>
            <w:lang w:val="ro-RO"/>
          </w:rPr>
          <w:t>https://www.oecd.org/en/publications/tax-administration-2025_cc015ce8-en.html</w:t>
        </w:r>
      </w:hyperlink>
    </w:p>
    <w:p w14:paraId="4CB459B0" w14:textId="77777777" w:rsidR="00D62F7C" w:rsidRPr="00834B27" w:rsidRDefault="00D62F7C" w:rsidP="00D62F7C">
      <w:pPr>
        <w:tabs>
          <w:tab w:val="left" w:pos="720"/>
        </w:tabs>
        <w:spacing w:line="276" w:lineRule="auto"/>
        <w:jc w:val="both"/>
        <w:rPr>
          <w:rFonts w:ascii="Calibri" w:hAnsi="Calibri" w:cs="Calibri"/>
          <w:sz w:val="20"/>
          <w:szCs w:val="20"/>
          <w:lang w:val="ro-RO"/>
        </w:rPr>
      </w:pPr>
      <w:r w:rsidRPr="00834B27">
        <w:rPr>
          <w:rFonts w:ascii="Calibri" w:hAnsi="Calibri" w:cs="Calibri"/>
          <w:sz w:val="20"/>
          <w:szCs w:val="20"/>
          <w:lang w:val="ro-RO"/>
        </w:rPr>
        <w:t xml:space="preserve">[14] Skatteverket (SE), How to file your tax return - prefilled form. </w:t>
      </w:r>
      <w:hyperlink r:id="rId22" w:history="1">
        <w:r w:rsidRPr="00834B27">
          <w:rPr>
            <w:rStyle w:val="Hyperlink"/>
            <w:rFonts w:ascii="Calibri" w:hAnsi="Calibri" w:cs="Calibri"/>
            <w:sz w:val="20"/>
            <w:szCs w:val="20"/>
            <w:lang w:val="ro-RO"/>
          </w:rPr>
          <w:t>https://www.skatteverket.se/servicelankar/otherlanguages/englishengelska/individualsandemployees/declaringtaxesforindividuals/howtofileyourtaxreturn.4.7be5268414bea064694c620.html</w:t>
        </w:r>
      </w:hyperlink>
    </w:p>
    <w:p w14:paraId="3DE18856" w14:textId="77777777" w:rsidR="00D62F7C" w:rsidRPr="00834B27" w:rsidRDefault="00D62F7C" w:rsidP="00D62F7C">
      <w:pPr>
        <w:tabs>
          <w:tab w:val="left" w:pos="720"/>
        </w:tabs>
        <w:spacing w:line="276" w:lineRule="auto"/>
        <w:jc w:val="both"/>
        <w:rPr>
          <w:rFonts w:ascii="Calibri" w:hAnsi="Calibri" w:cs="Calibri"/>
          <w:sz w:val="20"/>
          <w:szCs w:val="20"/>
          <w:lang w:val="ro-RO"/>
        </w:rPr>
      </w:pPr>
      <w:r w:rsidRPr="00834B27">
        <w:rPr>
          <w:rFonts w:ascii="Calibri" w:hAnsi="Calibri" w:cs="Calibri"/>
          <w:sz w:val="20"/>
          <w:szCs w:val="20"/>
          <w:lang w:val="ro-RO"/>
        </w:rPr>
        <w:t xml:space="preserve">[15] Skatteverket (SE), Income statements (KU). </w:t>
      </w:r>
      <w:hyperlink r:id="rId23" w:history="1">
        <w:r w:rsidRPr="00834B27">
          <w:rPr>
            <w:rStyle w:val="Hyperlink"/>
            <w:rFonts w:ascii="Calibri" w:hAnsi="Calibri" w:cs="Calibri"/>
            <w:sz w:val="20"/>
            <w:szCs w:val="20"/>
            <w:lang w:val="ro-RO"/>
          </w:rPr>
          <w:t>https://skatteverket.se/servicelankar/otherlanguages/englishengelska/businessesandemployers/startingandrunningaswedishbusiness/registeringabusiness/incomestatements.4.34a801ea1041d54f9e28000326.html</w:t>
        </w:r>
      </w:hyperlink>
    </w:p>
    <w:p w14:paraId="1038137A" w14:textId="77777777" w:rsidR="00D62F7C" w:rsidRPr="00834B27" w:rsidRDefault="00D62F7C" w:rsidP="00D62F7C">
      <w:pPr>
        <w:tabs>
          <w:tab w:val="left" w:pos="720"/>
        </w:tabs>
        <w:spacing w:line="276" w:lineRule="auto"/>
        <w:jc w:val="both"/>
        <w:rPr>
          <w:rFonts w:ascii="Calibri" w:hAnsi="Calibri" w:cs="Calibri"/>
          <w:sz w:val="20"/>
          <w:szCs w:val="20"/>
          <w:lang w:val="ro-RO"/>
        </w:rPr>
      </w:pPr>
      <w:r w:rsidRPr="00834B27">
        <w:rPr>
          <w:rFonts w:ascii="Calibri" w:hAnsi="Calibri" w:cs="Calibri"/>
          <w:sz w:val="20"/>
          <w:szCs w:val="20"/>
          <w:lang w:val="ro-RO"/>
        </w:rPr>
        <w:lastRenderedPageBreak/>
        <w:t xml:space="preserve">[16] Estonian Tax and Customs Board, Income tax returns 2025 - pre-filled. </w:t>
      </w:r>
      <w:hyperlink r:id="rId24" w:history="1">
        <w:r w:rsidRPr="00834B27">
          <w:rPr>
            <w:rStyle w:val="Hyperlink"/>
            <w:rFonts w:ascii="Calibri" w:hAnsi="Calibri" w:cs="Calibri"/>
            <w:sz w:val="20"/>
            <w:szCs w:val="20"/>
            <w:lang w:val="ro-RO"/>
          </w:rPr>
          <w:t>https://www.emta.ee/en/private-client/taxes-and-payment/declaration-income/income-tax-returns-2025</w:t>
        </w:r>
      </w:hyperlink>
    </w:p>
    <w:p w14:paraId="524FE6B1" w14:textId="77777777" w:rsidR="00D62F7C" w:rsidRPr="00834B27" w:rsidRDefault="00D62F7C" w:rsidP="00D62F7C">
      <w:pPr>
        <w:tabs>
          <w:tab w:val="left" w:pos="720"/>
        </w:tabs>
        <w:spacing w:line="276" w:lineRule="auto"/>
        <w:jc w:val="both"/>
        <w:rPr>
          <w:rFonts w:ascii="Calibri" w:hAnsi="Calibri" w:cs="Calibri"/>
          <w:sz w:val="20"/>
          <w:szCs w:val="20"/>
          <w:lang w:val="ro-RO"/>
        </w:rPr>
      </w:pPr>
      <w:r w:rsidRPr="00834B27">
        <w:rPr>
          <w:rFonts w:ascii="Calibri" w:hAnsi="Calibri" w:cs="Calibri"/>
          <w:sz w:val="20"/>
          <w:szCs w:val="20"/>
          <w:lang w:val="ro-RO"/>
        </w:rPr>
        <w:t xml:space="preserve">[17] OECD, Statutory tax rates on dividends, interest and capital gains, 2018. </w:t>
      </w:r>
      <w:hyperlink r:id="rId25" w:history="1">
        <w:r w:rsidRPr="00834B27">
          <w:rPr>
            <w:rStyle w:val="Hyperlink"/>
            <w:rFonts w:ascii="Calibri" w:hAnsi="Calibri" w:cs="Calibri"/>
            <w:sz w:val="20"/>
            <w:szCs w:val="20"/>
            <w:lang w:val="ro-RO"/>
          </w:rPr>
          <w:t>https://www.oecd.org/content/dam/oecd/en/publications/reports/2018/02/statutory-tax-rates-on-dividends-interest-and-capital-gains_1746a468/1aa2825f-en.pdf</w:t>
        </w:r>
      </w:hyperlink>
    </w:p>
    <w:p w14:paraId="5E51F70E" w14:textId="77777777" w:rsidR="00D62F7C" w:rsidRPr="00834B27" w:rsidRDefault="00D62F7C" w:rsidP="00D62F7C">
      <w:pPr>
        <w:tabs>
          <w:tab w:val="left" w:pos="720"/>
        </w:tabs>
        <w:spacing w:line="276" w:lineRule="auto"/>
        <w:jc w:val="both"/>
        <w:rPr>
          <w:rFonts w:ascii="Calibri" w:hAnsi="Calibri" w:cs="Calibri"/>
          <w:sz w:val="20"/>
          <w:szCs w:val="20"/>
          <w:lang w:val="ro-RO"/>
        </w:rPr>
      </w:pPr>
      <w:r w:rsidRPr="00834B27">
        <w:rPr>
          <w:rFonts w:ascii="Calibri" w:hAnsi="Calibri" w:cs="Calibri"/>
          <w:sz w:val="20"/>
          <w:szCs w:val="20"/>
          <w:lang w:val="ro-RO"/>
        </w:rPr>
        <w:t xml:space="preserve">[18] Vero.fi (FI), Dividends from a listed company. </w:t>
      </w:r>
      <w:hyperlink r:id="rId26" w:history="1">
        <w:r w:rsidRPr="00834B27">
          <w:rPr>
            <w:rStyle w:val="Hyperlink"/>
            <w:rFonts w:ascii="Calibri" w:hAnsi="Calibri" w:cs="Calibri"/>
            <w:sz w:val="20"/>
            <w:szCs w:val="20"/>
            <w:lang w:val="ro-RO"/>
          </w:rPr>
          <w:t>https://www.vero.fi/en/individuals/property/investments/dividends/dividends-from-a-listed-company/</w:t>
        </w:r>
      </w:hyperlink>
    </w:p>
    <w:p w14:paraId="097FBD5D" w14:textId="77777777" w:rsidR="00D62F7C" w:rsidRPr="00834B27" w:rsidRDefault="00D62F7C" w:rsidP="00D62F7C">
      <w:pPr>
        <w:tabs>
          <w:tab w:val="left" w:pos="720"/>
        </w:tabs>
        <w:spacing w:line="276" w:lineRule="auto"/>
        <w:jc w:val="both"/>
        <w:rPr>
          <w:rFonts w:ascii="Calibri" w:hAnsi="Calibri" w:cs="Calibri"/>
          <w:sz w:val="20"/>
          <w:szCs w:val="20"/>
          <w:lang w:val="ro-RO"/>
        </w:rPr>
      </w:pPr>
      <w:r w:rsidRPr="00834B27">
        <w:rPr>
          <w:rFonts w:ascii="Calibri" w:hAnsi="Calibri" w:cs="Calibri"/>
          <w:sz w:val="20"/>
          <w:szCs w:val="20"/>
          <w:lang w:val="ro-RO"/>
        </w:rPr>
        <w:t xml:space="preserve">[19] Impots.gouv.fr (FR), Les revenus mobiliers. </w:t>
      </w:r>
      <w:hyperlink r:id="rId27" w:history="1">
        <w:r w:rsidRPr="00834B27">
          <w:rPr>
            <w:rStyle w:val="Hyperlink"/>
            <w:rFonts w:ascii="Calibri" w:hAnsi="Calibri" w:cs="Calibri"/>
            <w:sz w:val="20"/>
            <w:szCs w:val="20"/>
            <w:lang w:val="ro-RO"/>
          </w:rPr>
          <w:t>https://www.impots.gouv.fr/particulier/les-revenus-mobiliers</w:t>
        </w:r>
      </w:hyperlink>
    </w:p>
    <w:p w14:paraId="04905422" w14:textId="77777777" w:rsidR="00D62F7C" w:rsidRPr="00834B27" w:rsidRDefault="00D62F7C" w:rsidP="00D62F7C">
      <w:pPr>
        <w:tabs>
          <w:tab w:val="left" w:pos="720"/>
        </w:tabs>
        <w:spacing w:line="276" w:lineRule="auto"/>
        <w:jc w:val="both"/>
        <w:rPr>
          <w:rFonts w:ascii="Calibri" w:hAnsi="Calibri" w:cs="Calibri"/>
          <w:sz w:val="20"/>
          <w:szCs w:val="20"/>
          <w:lang w:val="ro-RO"/>
        </w:rPr>
      </w:pPr>
      <w:r w:rsidRPr="00834B27">
        <w:rPr>
          <w:rFonts w:ascii="Calibri" w:hAnsi="Calibri" w:cs="Calibri"/>
          <w:sz w:val="20"/>
          <w:szCs w:val="20"/>
          <w:lang w:val="ro-RO"/>
        </w:rPr>
        <w:t xml:space="preserve">[20] Economie.gouv.fr (FR), Comment fonctionne le prelevement forfaitaire unique. </w:t>
      </w:r>
      <w:hyperlink r:id="rId28" w:history="1">
        <w:r w:rsidRPr="00834B27">
          <w:rPr>
            <w:rStyle w:val="Hyperlink"/>
            <w:rFonts w:ascii="Calibri" w:hAnsi="Calibri" w:cs="Calibri"/>
            <w:sz w:val="20"/>
            <w:szCs w:val="20"/>
            <w:lang w:val="ro-RO"/>
          </w:rPr>
          <w:t>https://www.economie.gouv.fr/particuliers/impots-et-fiscalite/gerer-mes-autres-impots-et-taxes/comment-fonctionne-le-prelevement</w:t>
        </w:r>
      </w:hyperlink>
    </w:p>
    <w:p w14:paraId="2FF84A6F" w14:textId="77777777" w:rsidR="00D62F7C" w:rsidRPr="00834B27" w:rsidRDefault="00D62F7C" w:rsidP="00D62F7C">
      <w:pPr>
        <w:tabs>
          <w:tab w:val="left" w:pos="720"/>
        </w:tabs>
        <w:spacing w:line="276" w:lineRule="auto"/>
        <w:jc w:val="both"/>
        <w:rPr>
          <w:rFonts w:ascii="Calibri" w:hAnsi="Calibri" w:cs="Calibri"/>
          <w:sz w:val="20"/>
          <w:szCs w:val="20"/>
          <w:lang w:val="ro-RO"/>
        </w:rPr>
      </w:pPr>
      <w:r w:rsidRPr="00834B27">
        <w:rPr>
          <w:rFonts w:ascii="Calibri" w:hAnsi="Calibri" w:cs="Calibri"/>
          <w:sz w:val="20"/>
          <w:szCs w:val="20"/>
          <w:lang w:val="ro-RO"/>
        </w:rPr>
        <w:t xml:space="preserve">[21] Tax Foundation, International Tax Competitiveness Index 2025, October 2025. </w:t>
      </w:r>
      <w:hyperlink r:id="rId29" w:history="1">
        <w:r w:rsidRPr="00834B27">
          <w:rPr>
            <w:rStyle w:val="Hyperlink"/>
            <w:rFonts w:ascii="Calibri" w:hAnsi="Calibri" w:cs="Calibri"/>
            <w:sz w:val="20"/>
            <w:szCs w:val="20"/>
            <w:lang w:val="ro-RO"/>
          </w:rPr>
          <w:t>https://taxfoundation.org/research/all/global/2025-international-tax-competitiveness-index/</w:t>
        </w:r>
      </w:hyperlink>
    </w:p>
    <w:p w14:paraId="634C52FF" w14:textId="77777777" w:rsidR="00D62F7C" w:rsidRPr="00834B27" w:rsidRDefault="00D62F7C" w:rsidP="00D62F7C">
      <w:pPr>
        <w:tabs>
          <w:tab w:val="left" w:pos="720"/>
        </w:tabs>
        <w:spacing w:line="276" w:lineRule="auto"/>
        <w:jc w:val="both"/>
        <w:rPr>
          <w:rFonts w:ascii="Calibri" w:hAnsi="Calibri" w:cs="Calibri"/>
          <w:sz w:val="20"/>
          <w:szCs w:val="20"/>
          <w:lang w:val="ro-RO"/>
        </w:rPr>
      </w:pPr>
      <w:r w:rsidRPr="00834B27">
        <w:rPr>
          <w:rFonts w:ascii="Calibri" w:hAnsi="Calibri" w:cs="Calibri"/>
          <w:sz w:val="20"/>
          <w:szCs w:val="20"/>
          <w:lang w:val="ro-RO"/>
        </w:rPr>
        <w:t xml:space="preserve">[22] Tax Foundation, Integrated Tax Rates on Corporate Income in Europe, 2025. </w:t>
      </w:r>
      <w:hyperlink r:id="rId30" w:history="1">
        <w:r w:rsidRPr="00834B27">
          <w:rPr>
            <w:rStyle w:val="Hyperlink"/>
            <w:rFonts w:ascii="Calibri" w:hAnsi="Calibri" w:cs="Calibri"/>
            <w:sz w:val="20"/>
            <w:szCs w:val="20"/>
            <w:lang w:val="ro-RO"/>
          </w:rPr>
          <w:t>https://taxfoundation.org/data/all/eu/integrated-tax-rates-corporate-income-europe/</w:t>
        </w:r>
      </w:hyperlink>
    </w:p>
    <w:p w14:paraId="0218F634" w14:textId="77777777" w:rsidR="00D62F7C" w:rsidRPr="00834B27" w:rsidRDefault="00D62F7C" w:rsidP="00D62F7C">
      <w:pPr>
        <w:tabs>
          <w:tab w:val="left" w:pos="720"/>
        </w:tabs>
        <w:spacing w:line="276" w:lineRule="auto"/>
        <w:jc w:val="both"/>
        <w:rPr>
          <w:rFonts w:ascii="Calibri" w:hAnsi="Calibri" w:cs="Calibri"/>
          <w:sz w:val="20"/>
          <w:szCs w:val="20"/>
          <w:lang w:val="ro-RO"/>
        </w:rPr>
      </w:pPr>
      <w:r w:rsidRPr="00834B27">
        <w:rPr>
          <w:rFonts w:ascii="Calibri" w:hAnsi="Calibri" w:cs="Calibri"/>
          <w:sz w:val="20"/>
          <w:szCs w:val="20"/>
          <w:lang w:val="ro-RO"/>
        </w:rPr>
        <w:t xml:space="preserve">[23] OECD, Taxing Capital Gains, OECD Publishing, February 2025. </w:t>
      </w:r>
      <w:hyperlink r:id="rId31" w:history="1">
        <w:r w:rsidRPr="00834B27">
          <w:rPr>
            <w:rStyle w:val="Hyperlink"/>
            <w:rFonts w:ascii="Calibri" w:hAnsi="Calibri" w:cs="Calibri"/>
            <w:sz w:val="20"/>
            <w:szCs w:val="20"/>
            <w:lang w:val="ro-RO"/>
          </w:rPr>
          <w:t>https://www.oecd.org/content/dam/oecd/en/publications/reports/2025/02/taxing-capital-gains_76a32327/9e33bd2b-en.pdf</w:t>
        </w:r>
      </w:hyperlink>
    </w:p>
    <w:p w14:paraId="12A9DC25" w14:textId="77777777" w:rsidR="00D62F7C" w:rsidRPr="00834B27" w:rsidRDefault="00D62F7C" w:rsidP="00D62F7C">
      <w:pPr>
        <w:tabs>
          <w:tab w:val="left" w:pos="720"/>
        </w:tabs>
        <w:spacing w:line="276" w:lineRule="auto"/>
        <w:jc w:val="both"/>
        <w:rPr>
          <w:rFonts w:ascii="Calibri" w:hAnsi="Calibri" w:cs="Calibri"/>
          <w:sz w:val="20"/>
          <w:szCs w:val="20"/>
          <w:lang w:val="ro-RO"/>
        </w:rPr>
      </w:pPr>
      <w:r w:rsidRPr="00834B27">
        <w:rPr>
          <w:rFonts w:ascii="Calibri" w:hAnsi="Calibri" w:cs="Calibri"/>
          <w:sz w:val="20"/>
          <w:szCs w:val="20"/>
          <w:lang w:val="ro-RO"/>
        </w:rPr>
        <w:t xml:space="preserve">[24] Directiva (UE) 2016/1164 a Consiliului (ATAD), art. 5, 7-8. </w:t>
      </w:r>
      <w:hyperlink r:id="rId32" w:history="1">
        <w:r w:rsidRPr="00834B27">
          <w:rPr>
            <w:rStyle w:val="Hyperlink"/>
            <w:rFonts w:ascii="Calibri" w:hAnsi="Calibri" w:cs="Calibri"/>
            <w:sz w:val="20"/>
            <w:szCs w:val="20"/>
            <w:lang w:val="ro-RO"/>
          </w:rPr>
          <w:t>https://eur-lex.europa.eu/legal-content/EN/TXT/HTML/?uri=CELEX:32016L1164</w:t>
        </w:r>
      </w:hyperlink>
    </w:p>
    <w:p w14:paraId="196F3437" w14:textId="77777777" w:rsidR="00D62F7C" w:rsidRPr="00834B27" w:rsidRDefault="00D62F7C" w:rsidP="00D62F7C">
      <w:pPr>
        <w:tabs>
          <w:tab w:val="left" w:pos="720"/>
        </w:tabs>
        <w:spacing w:line="276" w:lineRule="auto"/>
        <w:jc w:val="both"/>
        <w:rPr>
          <w:rFonts w:ascii="Calibri" w:hAnsi="Calibri" w:cs="Calibri"/>
          <w:sz w:val="20"/>
          <w:szCs w:val="20"/>
          <w:lang w:val="ro-RO"/>
        </w:rPr>
      </w:pPr>
      <w:r w:rsidRPr="00834B27">
        <w:rPr>
          <w:rFonts w:ascii="Calibri" w:hAnsi="Calibri" w:cs="Calibri"/>
          <w:sz w:val="20"/>
          <w:szCs w:val="20"/>
          <w:lang w:val="ro-RO"/>
        </w:rPr>
        <w:t xml:space="preserve">[25] Comisia Europeana, COM(2020) 383, raport privind impactul ATAD. </w:t>
      </w:r>
      <w:hyperlink r:id="rId33" w:history="1">
        <w:r w:rsidRPr="00834B27">
          <w:rPr>
            <w:rStyle w:val="Hyperlink"/>
            <w:rFonts w:ascii="Calibri" w:hAnsi="Calibri" w:cs="Calibri"/>
            <w:sz w:val="20"/>
            <w:szCs w:val="20"/>
            <w:lang w:val="ro-RO"/>
          </w:rPr>
          <w:t>https://eur-lex.europa.eu/legal-content/EN/TXT/HTML/?uri=CELEX:52020DC0383</w:t>
        </w:r>
      </w:hyperlink>
    </w:p>
    <w:p w14:paraId="5A32D202" w14:textId="77777777" w:rsidR="00D62F7C" w:rsidRPr="00834B27" w:rsidRDefault="00D62F7C" w:rsidP="00D62F7C">
      <w:pPr>
        <w:tabs>
          <w:tab w:val="left" w:pos="720"/>
        </w:tabs>
        <w:spacing w:line="276" w:lineRule="auto"/>
        <w:jc w:val="both"/>
        <w:rPr>
          <w:rFonts w:ascii="Calibri" w:hAnsi="Calibri" w:cs="Calibri"/>
          <w:sz w:val="20"/>
          <w:szCs w:val="20"/>
          <w:lang w:val="ro-RO"/>
        </w:rPr>
      </w:pPr>
      <w:r w:rsidRPr="00834B27">
        <w:rPr>
          <w:rFonts w:ascii="Calibri" w:hAnsi="Calibri" w:cs="Calibri"/>
          <w:sz w:val="20"/>
          <w:szCs w:val="20"/>
          <w:lang w:val="ro-RO"/>
        </w:rPr>
        <w:t xml:space="preserve">[26] EUR-Lex, Exit taxation and the need for co-ordination of Member States' tax policies. </w:t>
      </w:r>
      <w:hyperlink r:id="rId34" w:history="1">
        <w:r w:rsidRPr="00834B27">
          <w:rPr>
            <w:rStyle w:val="Hyperlink"/>
            <w:rFonts w:ascii="Calibri" w:hAnsi="Calibri" w:cs="Calibri"/>
            <w:sz w:val="20"/>
            <w:szCs w:val="20"/>
            <w:lang w:val="ro-RO"/>
          </w:rPr>
          <w:t>https://eur-lex.europa.eu/EN/legal-content/summary/exit-taxation-and-the-need-for-co-ordination-of-member-states-tax-policies.html</w:t>
        </w:r>
      </w:hyperlink>
    </w:p>
    <w:p w14:paraId="6AAF811F" w14:textId="77777777" w:rsidR="00D62F7C" w:rsidRPr="00834B27" w:rsidRDefault="00D62F7C" w:rsidP="00D62F7C">
      <w:pPr>
        <w:tabs>
          <w:tab w:val="left" w:pos="720"/>
        </w:tabs>
        <w:spacing w:line="276" w:lineRule="auto"/>
        <w:jc w:val="both"/>
        <w:rPr>
          <w:rFonts w:ascii="Calibri" w:hAnsi="Calibri" w:cs="Calibri"/>
          <w:sz w:val="20"/>
          <w:szCs w:val="20"/>
          <w:lang w:val="ro-RO"/>
        </w:rPr>
      </w:pPr>
      <w:r w:rsidRPr="00834B27">
        <w:rPr>
          <w:rFonts w:ascii="Calibri" w:hAnsi="Calibri" w:cs="Calibri"/>
          <w:sz w:val="20"/>
          <w:szCs w:val="20"/>
          <w:lang w:val="ro-RO"/>
        </w:rPr>
        <w:t xml:space="preserve">[27] Syntaxe Avocats, The French Exit Tax in a Nutshell, July 2025. </w:t>
      </w:r>
      <w:hyperlink r:id="rId35" w:history="1">
        <w:r w:rsidRPr="00834B27">
          <w:rPr>
            <w:rStyle w:val="Hyperlink"/>
            <w:rFonts w:ascii="Calibri" w:hAnsi="Calibri" w:cs="Calibri"/>
            <w:sz w:val="20"/>
            <w:szCs w:val="20"/>
            <w:lang w:val="ro-RO"/>
          </w:rPr>
          <w:t>https://syntaxe.com/en/the-french-exit-tax-in-a-nutshell/</w:t>
        </w:r>
      </w:hyperlink>
    </w:p>
    <w:p w14:paraId="69F97FC4" w14:textId="77777777" w:rsidR="00D62F7C" w:rsidRPr="00834B27" w:rsidRDefault="00D62F7C" w:rsidP="00D62F7C">
      <w:pPr>
        <w:tabs>
          <w:tab w:val="left" w:pos="720"/>
        </w:tabs>
        <w:spacing w:line="276" w:lineRule="auto"/>
        <w:jc w:val="both"/>
        <w:rPr>
          <w:rFonts w:ascii="Calibri" w:hAnsi="Calibri" w:cs="Calibri"/>
          <w:sz w:val="20"/>
          <w:szCs w:val="20"/>
          <w:lang w:val="ro-RO"/>
        </w:rPr>
      </w:pPr>
      <w:r w:rsidRPr="00834B27">
        <w:rPr>
          <w:rFonts w:ascii="Calibri" w:hAnsi="Calibri" w:cs="Calibri"/>
          <w:sz w:val="20"/>
          <w:szCs w:val="20"/>
          <w:lang w:val="ro-RO"/>
        </w:rPr>
        <w:t xml:space="preserve">[28] KPMG, Poland: Compatibility of exit tax with EU law (CJEU C-430/25), August 2025. </w:t>
      </w:r>
      <w:hyperlink r:id="rId36" w:history="1">
        <w:r w:rsidRPr="00834B27">
          <w:rPr>
            <w:rStyle w:val="Hyperlink"/>
            <w:rFonts w:ascii="Calibri" w:hAnsi="Calibri" w:cs="Calibri"/>
            <w:sz w:val="20"/>
            <w:szCs w:val="20"/>
            <w:lang w:val="ro-RO"/>
          </w:rPr>
          <w:t>https://kpmg.com/us/en/taxnewsflash/news/2025/08/poland-compatibility-exit-tax-eu-law-cjeu.html</w:t>
        </w:r>
      </w:hyperlink>
    </w:p>
    <w:p w14:paraId="23A7658F" w14:textId="77777777" w:rsidR="00D62F7C" w:rsidRPr="00834B27" w:rsidRDefault="00D62F7C" w:rsidP="00D62F7C">
      <w:pPr>
        <w:tabs>
          <w:tab w:val="left" w:pos="720"/>
        </w:tabs>
        <w:spacing w:line="276" w:lineRule="auto"/>
        <w:jc w:val="both"/>
        <w:rPr>
          <w:rFonts w:ascii="Calibri" w:hAnsi="Calibri" w:cs="Calibri"/>
          <w:sz w:val="20"/>
          <w:szCs w:val="20"/>
          <w:lang w:val="ro-RO"/>
        </w:rPr>
      </w:pPr>
      <w:r w:rsidRPr="00834B27">
        <w:rPr>
          <w:rFonts w:ascii="Calibri" w:hAnsi="Calibri" w:cs="Calibri"/>
          <w:sz w:val="20"/>
          <w:szCs w:val="20"/>
          <w:lang w:val="ro-RO"/>
        </w:rPr>
        <w:t xml:space="preserve">[29] OECD, Designing Effective CFC Rules - BEPS Action 3, Final Report, 2015. </w:t>
      </w:r>
      <w:hyperlink r:id="rId37" w:history="1">
        <w:r w:rsidRPr="00834B27">
          <w:rPr>
            <w:rStyle w:val="Hyperlink"/>
            <w:rFonts w:ascii="Calibri" w:hAnsi="Calibri" w:cs="Calibri"/>
            <w:sz w:val="20"/>
            <w:szCs w:val="20"/>
            <w:lang w:val="ro-RO"/>
          </w:rPr>
          <w:t>https://www.oecd.org/content/dam/oecd/en/publications/reports/2015/10/designing-effective-controlled-foreign-company-rules-action-3-2015-final-report_g1g58ce1/9789264241152-en.pdf</w:t>
        </w:r>
      </w:hyperlink>
    </w:p>
    <w:p w14:paraId="67EFF33E" w14:textId="77777777" w:rsidR="00D62F7C" w:rsidRPr="00834B27" w:rsidRDefault="00D62F7C" w:rsidP="00D62F7C">
      <w:pPr>
        <w:tabs>
          <w:tab w:val="left" w:pos="720"/>
        </w:tabs>
        <w:spacing w:line="276" w:lineRule="auto"/>
        <w:jc w:val="both"/>
        <w:rPr>
          <w:rFonts w:ascii="Calibri" w:hAnsi="Calibri" w:cs="Calibri"/>
          <w:sz w:val="20"/>
          <w:szCs w:val="20"/>
          <w:lang w:val="ro-RO"/>
        </w:rPr>
      </w:pPr>
      <w:r w:rsidRPr="00834B27">
        <w:rPr>
          <w:rFonts w:ascii="Calibri" w:hAnsi="Calibri" w:cs="Calibri"/>
          <w:sz w:val="20"/>
          <w:szCs w:val="20"/>
          <w:lang w:val="ro-RO"/>
        </w:rPr>
        <w:t xml:space="preserve">[30] KPMG EU Tax Centre, EU ATAD - Member State Implementation Overview, August 2024. </w:t>
      </w:r>
      <w:hyperlink r:id="rId38" w:history="1">
        <w:r w:rsidRPr="00834B27">
          <w:rPr>
            <w:rStyle w:val="Hyperlink"/>
            <w:rFonts w:ascii="Calibri" w:hAnsi="Calibri" w:cs="Calibri"/>
            <w:sz w:val="20"/>
            <w:szCs w:val="20"/>
            <w:lang w:val="ro-RO"/>
          </w:rPr>
          <w:t>https://kpmg.com/xx/en/our-insights/eu-tax/eu-anti-tax-avoidance-directive.html</w:t>
        </w:r>
      </w:hyperlink>
    </w:p>
    <w:p w14:paraId="7B53789F" w14:textId="77777777" w:rsidR="00D62F7C" w:rsidRPr="00834B27" w:rsidRDefault="00D62F7C" w:rsidP="00D62F7C">
      <w:pPr>
        <w:tabs>
          <w:tab w:val="left" w:pos="720"/>
        </w:tabs>
        <w:spacing w:line="276" w:lineRule="auto"/>
        <w:jc w:val="both"/>
        <w:rPr>
          <w:rFonts w:ascii="Calibri" w:hAnsi="Calibri" w:cs="Calibri"/>
          <w:sz w:val="20"/>
          <w:szCs w:val="20"/>
          <w:lang w:val="ro-RO"/>
        </w:rPr>
      </w:pPr>
      <w:r w:rsidRPr="00834B27">
        <w:rPr>
          <w:rFonts w:ascii="Calibri" w:hAnsi="Calibri" w:cs="Calibri"/>
          <w:sz w:val="20"/>
          <w:szCs w:val="20"/>
          <w:lang w:val="ro-RO"/>
        </w:rPr>
        <w:t xml:space="preserve">[31] PwC, Overview of ATAD implementation, June 2020. </w:t>
      </w:r>
      <w:hyperlink r:id="rId39" w:history="1">
        <w:r w:rsidRPr="00834B27">
          <w:rPr>
            <w:rStyle w:val="Hyperlink"/>
            <w:rFonts w:ascii="Calibri" w:hAnsi="Calibri" w:cs="Calibri"/>
            <w:sz w:val="20"/>
            <w:szCs w:val="20"/>
            <w:lang w:val="ro-RO"/>
          </w:rPr>
          <w:t>https://www.pwc.nl/nl/actueel-publicaties/assets/pdfs/overview-of-the-implementation-of-the-atad.pdf</w:t>
        </w:r>
      </w:hyperlink>
    </w:p>
    <w:p w14:paraId="4C476991" w14:textId="77777777" w:rsidR="00D62F7C" w:rsidRPr="00834B27" w:rsidRDefault="00D62F7C" w:rsidP="00D62F7C">
      <w:pPr>
        <w:tabs>
          <w:tab w:val="left" w:pos="720"/>
        </w:tabs>
        <w:spacing w:line="276" w:lineRule="auto"/>
        <w:jc w:val="both"/>
        <w:rPr>
          <w:rFonts w:ascii="Calibri" w:hAnsi="Calibri" w:cs="Calibri"/>
          <w:sz w:val="20"/>
          <w:szCs w:val="20"/>
          <w:lang w:val="ro-RO"/>
        </w:rPr>
      </w:pPr>
      <w:r w:rsidRPr="00834B27">
        <w:rPr>
          <w:rFonts w:ascii="Calibri" w:hAnsi="Calibri" w:cs="Calibri"/>
          <w:sz w:val="20"/>
          <w:szCs w:val="20"/>
          <w:lang w:val="ro-RO"/>
        </w:rPr>
        <w:lastRenderedPageBreak/>
        <w:t xml:space="preserve">[32] Skatteverket (SE), Voluntary disclosure - CFC surplus. </w:t>
      </w:r>
      <w:hyperlink r:id="rId40" w:history="1">
        <w:r w:rsidRPr="00834B27">
          <w:rPr>
            <w:rStyle w:val="Hyperlink"/>
            <w:rFonts w:ascii="Calibri" w:hAnsi="Calibri" w:cs="Calibri"/>
            <w:sz w:val="20"/>
            <w:szCs w:val="20"/>
            <w:lang w:val="ro-RO"/>
          </w:rPr>
          <w:t>https://www.skatteverket.se/servicelankar/otherlanguages/englishengelska/individualsandemployees/declaringtaxesforindividuals/voluntarydisclosure.4.7be5268414bea064694c60b.html</w:t>
        </w:r>
      </w:hyperlink>
    </w:p>
    <w:p w14:paraId="6AA9B89D" w14:textId="77777777" w:rsidR="00D62F7C" w:rsidRPr="00834B27" w:rsidRDefault="00D62F7C" w:rsidP="00D62F7C">
      <w:pPr>
        <w:tabs>
          <w:tab w:val="left" w:pos="720"/>
        </w:tabs>
        <w:spacing w:line="276" w:lineRule="auto"/>
        <w:jc w:val="both"/>
        <w:rPr>
          <w:rFonts w:ascii="Calibri" w:hAnsi="Calibri" w:cs="Calibri"/>
          <w:sz w:val="20"/>
          <w:szCs w:val="20"/>
          <w:lang w:val="ro-RO"/>
        </w:rPr>
      </w:pPr>
      <w:r w:rsidRPr="00834B27">
        <w:rPr>
          <w:rFonts w:ascii="Calibri" w:hAnsi="Calibri" w:cs="Calibri"/>
          <w:sz w:val="20"/>
          <w:szCs w:val="20"/>
          <w:lang w:val="ro-RO"/>
        </w:rPr>
        <w:t xml:space="preserve">[33] International Tax Review, Italy amends CFC rules in corporate tax reform, June 2022. </w:t>
      </w:r>
      <w:hyperlink r:id="rId41" w:history="1">
        <w:r w:rsidRPr="00834B27">
          <w:rPr>
            <w:rStyle w:val="Hyperlink"/>
            <w:rFonts w:ascii="Calibri" w:hAnsi="Calibri" w:cs="Calibri"/>
            <w:sz w:val="20"/>
            <w:szCs w:val="20"/>
            <w:lang w:val="ro-RO"/>
          </w:rPr>
          <w:t>https://www.internationaltaxreview.com/article/2a68rfy5bw2ycq1wn3h3r/italy-amends-cfc-rules-in-corporate-tax-reform</w:t>
        </w:r>
      </w:hyperlink>
    </w:p>
    <w:p w14:paraId="0C1C502E" w14:textId="77777777" w:rsidR="00D62F7C" w:rsidRPr="00834B27" w:rsidRDefault="00D62F7C" w:rsidP="00D62F7C">
      <w:pPr>
        <w:tabs>
          <w:tab w:val="left" w:pos="720"/>
        </w:tabs>
        <w:spacing w:line="276" w:lineRule="auto"/>
        <w:jc w:val="both"/>
        <w:rPr>
          <w:rFonts w:ascii="Calibri" w:hAnsi="Calibri" w:cs="Calibri"/>
          <w:sz w:val="20"/>
          <w:szCs w:val="20"/>
          <w:lang w:val="ro-RO"/>
        </w:rPr>
      </w:pPr>
      <w:r w:rsidRPr="00834B27">
        <w:rPr>
          <w:rFonts w:ascii="Calibri" w:hAnsi="Calibri" w:cs="Calibri"/>
          <w:sz w:val="20"/>
          <w:szCs w:val="20"/>
          <w:lang w:val="ro-RO"/>
        </w:rPr>
        <w:t xml:space="preserve">[34] Comisia Europeana, DAC7. </w:t>
      </w:r>
      <w:hyperlink r:id="rId42" w:history="1">
        <w:r w:rsidRPr="00834B27">
          <w:rPr>
            <w:rStyle w:val="Hyperlink"/>
            <w:rFonts w:ascii="Calibri" w:hAnsi="Calibri" w:cs="Calibri"/>
            <w:sz w:val="20"/>
            <w:szCs w:val="20"/>
            <w:lang w:val="ro-RO"/>
          </w:rPr>
          <w:t>https://taxation-customs.ec.europa.eu/taxation/tax-transparency-cooperation/administrative-co-operation-and-mutual-assistance/dac7_en</w:t>
        </w:r>
      </w:hyperlink>
    </w:p>
    <w:p w14:paraId="353CB2D4" w14:textId="77777777" w:rsidR="00D62F7C" w:rsidRPr="00834B27" w:rsidRDefault="00D62F7C" w:rsidP="00D62F7C">
      <w:pPr>
        <w:tabs>
          <w:tab w:val="left" w:pos="720"/>
        </w:tabs>
        <w:spacing w:line="276" w:lineRule="auto"/>
        <w:jc w:val="both"/>
        <w:rPr>
          <w:rFonts w:ascii="Calibri" w:hAnsi="Calibri" w:cs="Calibri"/>
          <w:sz w:val="20"/>
          <w:szCs w:val="20"/>
          <w:lang w:val="ro-RO"/>
        </w:rPr>
      </w:pPr>
      <w:r w:rsidRPr="00834B27">
        <w:rPr>
          <w:rFonts w:ascii="Calibri" w:hAnsi="Calibri" w:cs="Calibri"/>
          <w:sz w:val="20"/>
          <w:szCs w:val="20"/>
          <w:lang w:val="ro-RO"/>
        </w:rPr>
        <w:t xml:space="preserve">[35] Revenue.ie (IE), DAC7 reporting obligations. </w:t>
      </w:r>
      <w:hyperlink r:id="rId43" w:history="1">
        <w:r w:rsidRPr="00834B27">
          <w:rPr>
            <w:rStyle w:val="Hyperlink"/>
            <w:rFonts w:ascii="Calibri" w:hAnsi="Calibri" w:cs="Calibri"/>
            <w:sz w:val="20"/>
            <w:szCs w:val="20"/>
            <w:lang w:val="ro-RO"/>
          </w:rPr>
          <w:t>https://www.revenue.ie/en/companies-and-charities/international-tax/aeoi/dac7/reporting.aspx</w:t>
        </w:r>
      </w:hyperlink>
    </w:p>
    <w:p w14:paraId="74A538BE" w14:textId="77777777" w:rsidR="00D62F7C" w:rsidRPr="00834B27" w:rsidRDefault="00D62F7C" w:rsidP="00D62F7C">
      <w:pPr>
        <w:tabs>
          <w:tab w:val="left" w:pos="720"/>
        </w:tabs>
        <w:spacing w:line="276" w:lineRule="auto"/>
        <w:jc w:val="both"/>
        <w:rPr>
          <w:rFonts w:ascii="Calibri" w:hAnsi="Calibri" w:cs="Calibri"/>
          <w:sz w:val="20"/>
          <w:szCs w:val="20"/>
          <w:lang w:val="ro-RO"/>
        </w:rPr>
      </w:pPr>
      <w:r w:rsidRPr="00834B27">
        <w:rPr>
          <w:rFonts w:ascii="Calibri" w:hAnsi="Calibri" w:cs="Calibri"/>
          <w:sz w:val="20"/>
          <w:szCs w:val="20"/>
          <w:lang w:val="ro-RO"/>
        </w:rPr>
        <w:t xml:space="preserve">[36] Comisia Europeana, DAC8 + Directiva (UE) 2023/2226. </w:t>
      </w:r>
      <w:hyperlink r:id="rId44" w:history="1">
        <w:r w:rsidRPr="00834B27">
          <w:rPr>
            <w:rStyle w:val="Hyperlink"/>
            <w:rFonts w:ascii="Calibri" w:hAnsi="Calibri" w:cs="Calibri"/>
            <w:sz w:val="20"/>
            <w:szCs w:val="20"/>
            <w:lang w:val="ro-RO"/>
          </w:rPr>
          <w:t>https://taxation-customs.ec.europa.eu/taxation/tax-transparency-cooperation/administrative-co-operation-and-mutual-assistance/directive-administrative-cooperation-dac/dac8_en</w:t>
        </w:r>
      </w:hyperlink>
    </w:p>
    <w:p w14:paraId="017EC70A" w14:textId="77777777" w:rsidR="00D62F7C" w:rsidRPr="00834B27" w:rsidRDefault="00D62F7C" w:rsidP="00D62F7C">
      <w:pPr>
        <w:tabs>
          <w:tab w:val="left" w:pos="720"/>
        </w:tabs>
        <w:spacing w:line="276" w:lineRule="auto"/>
        <w:jc w:val="both"/>
        <w:rPr>
          <w:rFonts w:ascii="Calibri" w:hAnsi="Calibri" w:cs="Calibri"/>
          <w:sz w:val="20"/>
          <w:szCs w:val="20"/>
          <w:lang w:val="ro-RO"/>
        </w:rPr>
      </w:pPr>
      <w:r w:rsidRPr="00834B27">
        <w:rPr>
          <w:rFonts w:ascii="Calibri" w:hAnsi="Calibri" w:cs="Calibri"/>
          <w:sz w:val="20"/>
          <w:szCs w:val="20"/>
          <w:lang w:val="ro-RO"/>
        </w:rPr>
        <w:t xml:space="preserve">[37] ELA (European Labour Authority), Redditometro online tool - fisa Italia. </w:t>
      </w:r>
      <w:hyperlink r:id="rId45" w:history="1">
        <w:r w:rsidRPr="00834B27">
          <w:rPr>
            <w:rStyle w:val="Hyperlink"/>
            <w:rFonts w:ascii="Calibri" w:hAnsi="Calibri" w:cs="Calibri"/>
            <w:sz w:val="20"/>
            <w:szCs w:val="20"/>
            <w:lang w:val="ro-RO"/>
          </w:rPr>
          <w:t>https://www.ela.europa.eu/sites/default/files/2021-10/Redditometro%20online%20tool.pdf</w:t>
        </w:r>
      </w:hyperlink>
    </w:p>
    <w:p w14:paraId="77A68167" w14:textId="77777777" w:rsidR="00D62F7C" w:rsidRPr="00834B27" w:rsidRDefault="00D62F7C" w:rsidP="00D62F7C">
      <w:pPr>
        <w:tabs>
          <w:tab w:val="left" w:pos="720"/>
        </w:tabs>
        <w:spacing w:line="276" w:lineRule="auto"/>
        <w:jc w:val="both"/>
        <w:rPr>
          <w:rFonts w:ascii="Calibri" w:hAnsi="Calibri" w:cs="Calibri"/>
          <w:sz w:val="20"/>
          <w:szCs w:val="20"/>
          <w:lang w:val="ro-RO"/>
        </w:rPr>
      </w:pPr>
      <w:r w:rsidRPr="00834B27">
        <w:rPr>
          <w:rFonts w:ascii="Calibri" w:hAnsi="Calibri" w:cs="Calibri"/>
          <w:sz w:val="20"/>
          <w:szCs w:val="20"/>
          <w:lang w:val="ro-RO"/>
        </w:rPr>
        <w:t xml:space="preserve">[38] Agencia Tributaria (ES), Form 720 - Informative tax return on goods and rights held abroad. </w:t>
      </w:r>
      <w:hyperlink r:id="rId46" w:history="1">
        <w:r w:rsidRPr="00834B27">
          <w:rPr>
            <w:rStyle w:val="Hyperlink"/>
            <w:rFonts w:ascii="Calibri" w:hAnsi="Calibri" w:cs="Calibri"/>
            <w:sz w:val="20"/>
            <w:szCs w:val="20"/>
            <w:lang w:val="ro-RO"/>
          </w:rPr>
          <w:t>https://sede.agenciatributaria.gob.es/Sede/en_gb/procedimientoini/GI34.shtml</w:t>
        </w:r>
      </w:hyperlink>
    </w:p>
    <w:p w14:paraId="49BF4427" w14:textId="77777777" w:rsidR="00D62F7C" w:rsidRPr="00834B27" w:rsidRDefault="00D62F7C" w:rsidP="00D62F7C">
      <w:pPr>
        <w:tabs>
          <w:tab w:val="left" w:pos="720"/>
        </w:tabs>
        <w:spacing w:line="276" w:lineRule="auto"/>
        <w:jc w:val="both"/>
        <w:rPr>
          <w:rFonts w:ascii="Calibri" w:hAnsi="Calibri" w:cs="Calibri"/>
          <w:sz w:val="20"/>
          <w:szCs w:val="20"/>
          <w:lang w:val="ro-RO"/>
        </w:rPr>
      </w:pPr>
      <w:r w:rsidRPr="00834B27">
        <w:rPr>
          <w:rFonts w:ascii="Calibri" w:hAnsi="Calibri" w:cs="Calibri"/>
          <w:sz w:val="20"/>
          <w:szCs w:val="20"/>
          <w:lang w:val="ro-RO"/>
        </w:rPr>
        <w:t xml:space="preserve">[39] OECD, Engaging with High Net Worth Individuals on Tax Compliance, 2009. </w:t>
      </w:r>
      <w:hyperlink r:id="rId47" w:history="1">
        <w:r w:rsidRPr="00834B27">
          <w:rPr>
            <w:rStyle w:val="Hyperlink"/>
            <w:rFonts w:ascii="Calibri" w:hAnsi="Calibri" w:cs="Calibri"/>
            <w:sz w:val="20"/>
            <w:szCs w:val="20"/>
            <w:lang w:val="ro-RO"/>
          </w:rPr>
          <w:t>https://www.oecd.org/content/dam/oecd/en/publications/reports/2009/09/engaging-with-high-net-worth-individuals-on-tax-compliance_g1ghb3da/9789264068872-en.pdf</w:t>
        </w:r>
      </w:hyperlink>
    </w:p>
    <w:p w14:paraId="49A67B96" w14:textId="77777777" w:rsidR="00D62F7C" w:rsidRPr="00834B27" w:rsidRDefault="00D62F7C" w:rsidP="00D62F7C">
      <w:pPr>
        <w:tabs>
          <w:tab w:val="left" w:pos="720"/>
        </w:tabs>
        <w:spacing w:line="276" w:lineRule="auto"/>
        <w:jc w:val="both"/>
        <w:rPr>
          <w:rFonts w:ascii="Calibri" w:hAnsi="Calibri" w:cs="Calibri"/>
          <w:sz w:val="20"/>
          <w:szCs w:val="20"/>
          <w:lang w:val="ro-RO"/>
        </w:rPr>
      </w:pPr>
      <w:r w:rsidRPr="00834B27">
        <w:rPr>
          <w:rFonts w:ascii="Calibri" w:hAnsi="Calibri" w:cs="Calibri"/>
          <w:sz w:val="20"/>
          <w:szCs w:val="20"/>
          <w:lang w:val="ro-RO"/>
        </w:rPr>
        <w:t xml:space="preserve">[40] Comisia Europeana, Compliance Risk Management Guide, 2024. </w:t>
      </w:r>
      <w:hyperlink r:id="rId48" w:history="1">
        <w:r w:rsidRPr="00834B27">
          <w:rPr>
            <w:rStyle w:val="Hyperlink"/>
            <w:rFonts w:ascii="Calibri" w:hAnsi="Calibri" w:cs="Calibri"/>
            <w:sz w:val="20"/>
            <w:szCs w:val="20"/>
            <w:lang w:val="ro-RO"/>
          </w:rPr>
          <w:t>https://taxation-customs.ec.europa.eu/system/files/2024-01/2023_CRM_Guide.pdf</w:t>
        </w:r>
      </w:hyperlink>
    </w:p>
    <w:p w14:paraId="12E00728" w14:textId="77777777" w:rsidR="00D62F7C" w:rsidRPr="00834B27" w:rsidRDefault="00D62F7C" w:rsidP="00D62F7C">
      <w:pPr>
        <w:tabs>
          <w:tab w:val="left" w:pos="720"/>
        </w:tabs>
        <w:spacing w:line="276" w:lineRule="auto"/>
        <w:jc w:val="both"/>
        <w:rPr>
          <w:rFonts w:ascii="Calibri" w:hAnsi="Calibri" w:cs="Calibri"/>
          <w:sz w:val="20"/>
          <w:szCs w:val="20"/>
          <w:lang w:val="ro-RO"/>
        </w:rPr>
      </w:pPr>
      <w:r w:rsidRPr="00834B27">
        <w:rPr>
          <w:rFonts w:ascii="Calibri" w:hAnsi="Calibri" w:cs="Calibri"/>
          <w:sz w:val="20"/>
          <w:szCs w:val="20"/>
          <w:lang w:val="ro-RO"/>
        </w:rPr>
        <w:t xml:space="preserve">[41] OECD Global Forum, Effective Beneficial Ownership Frameworks Toolkit. </w:t>
      </w:r>
      <w:hyperlink r:id="rId49" w:history="1">
        <w:r w:rsidRPr="00834B27">
          <w:rPr>
            <w:rStyle w:val="Hyperlink"/>
            <w:rFonts w:ascii="Calibri" w:hAnsi="Calibri" w:cs="Calibri"/>
            <w:sz w:val="20"/>
            <w:szCs w:val="20"/>
            <w:lang w:val="ro-RO"/>
          </w:rPr>
          <w:t>https://www.oecd.org/content/dam/oecd/en/networks/global-forum-tax-transparency/effective-beneficial-ownership-frameworks-toolkit-en.pdf</w:t>
        </w:r>
      </w:hyperlink>
    </w:p>
    <w:p w14:paraId="377F3EF5" w14:textId="77777777" w:rsidR="00D62F7C" w:rsidRPr="00834B27" w:rsidRDefault="00D62F7C" w:rsidP="00D62F7C">
      <w:pPr>
        <w:tabs>
          <w:tab w:val="left" w:pos="720"/>
        </w:tabs>
        <w:spacing w:line="276" w:lineRule="auto"/>
        <w:jc w:val="both"/>
        <w:rPr>
          <w:rFonts w:ascii="Calibri" w:hAnsi="Calibri" w:cs="Calibri"/>
          <w:sz w:val="20"/>
          <w:szCs w:val="20"/>
          <w:lang w:val="ro-RO"/>
        </w:rPr>
      </w:pPr>
      <w:r w:rsidRPr="00834B27">
        <w:rPr>
          <w:rFonts w:ascii="Calibri" w:hAnsi="Calibri" w:cs="Calibri"/>
          <w:sz w:val="20"/>
          <w:szCs w:val="20"/>
          <w:lang w:val="ro-RO"/>
        </w:rPr>
        <w:t xml:space="preserve">[42] OECD, Crypto-Asset Reporting Framework (CARF): 2025 Monitoring and Implementation Update, November 2025. </w:t>
      </w:r>
      <w:hyperlink r:id="rId50" w:history="1">
        <w:r w:rsidRPr="00834B27">
          <w:rPr>
            <w:rStyle w:val="Hyperlink"/>
            <w:rFonts w:ascii="Calibri" w:hAnsi="Calibri" w:cs="Calibri"/>
            <w:sz w:val="20"/>
            <w:szCs w:val="20"/>
            <w:lang w:val="ro-RO"/>
          </w:rPr>
          <w:t>https://www.oecd.org/content/dam/oecd/en/networks/global-forum-tax-transparency/crypto-asset-reporting-framework-monitoring-implementation-update-2025.pdf</w:t>
        </w:r>
      </w:hyperlink>
    </w:p>
    <w:p w14:paraId="279F040A" w14:textId="77777777" w:rsidR="00D62F7C" w:rsidRPr="00834B27" w:rsidRDefault="00D62F7C" w:rsidP="00D62F7C">
      <w:pPr>
        <w:tabs>
          <w:tab w:val="left" w:pos="720"/>
        </w:tabs>
        <w:spacing w:line="276" w:lineRule="auto"/>
        <w:jc w:val="both"/>
        <w:rPr>
          <w:rFonts w:ascii="Calibri" w:hAnsi="Calibri" w:cs="Calibri"/>
          <w:sz w:val="20"/>
          <w:szCs w:val="20"/>
          <w:lang w:val="ro-RO"/>
        </w:rPr>
      </w:pPr>
      <w:r w:rsidRPr="00834B27">
        <w:rPr>
          <w:rFonts w:ascii="Calibri" w:hAnsi="Calibri" w:cs="Calibri"/>
          <w:sz w:val="20"/>
          <w:szCs w:val="20"/>
          <w:lang w:val="ro-RO"/>
        </w:rPr>
        <w:t xml:space="preserve">[43] OECD, Jurisdictions committed to implement the CARF (joint statement), updated December 2025. </w:t>
      </w:r>
      <w:hyperlink r:id="rId51" w:history="1">
        <w:r w:rsidRPr="00834B27">
          <w:rPr>
            <w:rStyle w:val="Hyperlink"/>
            <w:rFonts w:ascii="Calibri" w:hAnsi="Calibri" w:cs="Calibri"/>
            <w:sz w:val="20"/>
            <w:szCs w:val="20"/>
            <w:lang w:val="ro-RO"/>
          </w:rPr>
          <w:t>https://www.oecd.org/content/dam/oecd/en/networks/global-forum-tax-transparency/carf-signatories-joint-statement.pdf</w:t>
        </w:r>
      </w:hyperlink>
    </w:p>
    <w:p w14:paraId="4860247A" w14:textId="0F2D4505" w:rsidR="00D62F7C" w:rsidRPr="00834B27" w:rsidRDefault="00D62F7C" w:rsidP="00B16370">
      <w:pPr>
        <w:tabs>
          <w:tab w:val="left" w:pos="720"/>
        </w:tabs>
        <w:spacing w:line="276" w:lineRule="auto"/>
        <w:jc w:val="both"/>
        <w:rPr>
          <w:rFonts w:ascii="Calibri" w:hAnsi="Calibri" w:cs="Calibri"/>
          <w:sz w:val="20"/>
          <w:szCs w:val="20"/>
          <w:lang w:val="ro-RO"/>
        </w:rPr>
      </w:pPr>
      <w:r w:rsidRPr="00834B27">
        <w:rPr>
          <w:rFonts w:ascii="Calibri" w:hAnsi="Calibri" w:cs="Calibri"/>
          <w:sz w:val="20"/>
          <w:szCs w:val="20"/>
          <w:lang w:val="ro-RO"/>
        </w:rPr>
        <w:t xml:space="preserve">[44] Regulamentul (UE) 2023/1114 al Parlamentului European si al Consiliului privind pietele de crypto-active (MiCA). Sinteza: Comisia Europeana, DAC8 + MiCA. </w:t>
      </w:r>
      <w:hyperlink r:id="rId52" w:history="1">
        <w:r w:rsidRPr="00834B27">
          <w:rPr>
            <w:rStyle w:val="Hyperlink"/>
            <w:rFonts w:ascii="Calibri" w:hAnsi="Calibri" w:cs="Calibri"/>
            <w:sz w:val="20"/>
            <w:szCs w:val="20"/>
            <w:lang w:val="ro-RO"/>
          </w:rPr>
          <w:t>https://taxation-customs.ec.europa.eu/taxation/tax-transparency-cooperation/administrative-co-operation-and-mutual-assistance/directive-administrative-cooperation-dac/dac8_en</w:t>
        </w:r>
      </w:hyperlink>
    </w:p>
    <w:p w14:paraId="5C83ABFE" w14:textId="77777777" w:rsidR="00D62F7C" w:rsidRPr="00834B27" w:rsidRDefault="00D62F7C">
      <w:pPr>
        <w:rPr>
          <w:rFonts w:ascii="Calibri" w:hAnsi="Calibri" w:cs="Calibri"/>
          <w:sz w:val="20"/>
          <w:szCs w:val="20"/>
          <w:lang w:val="ro-RO"/>
        </w:rPr>
      </w:pPr>
      <w:r w:rsidRPr="00834B27">
        <w:rPr>
          <w:rFonts w:ascii="Calibri" w:hAnsi="Calibri" w:cs="Calibri"/>
          <w:sz w:val="20"/>
          <w:szCs w:val="20"/>
          <w:lang w:val="ro-RO"/>
        </w:rPr>
        <w:br w:type="page"/>
      </w:r>
    </w:p>
    <w:p w14:paraId="68532699" w14:textId="0C5EA794" w:rsidR="007862FF" w:rsidRPr="00834B27" w:rsidRDefault="007862FF" w:rsidP="007862FF">
      <w:pPr>
        <w:tabs>
          <w:tab w:val="left" w:pos="1260"/>
        </w:tabs>
        <w:spacing w:line="276" w:lineRule="auto"/>
        <w:jc w:val="both"/>
        <w:outlineLvl w:val="0"/>
        <w:rPr>
          <w:rFonts w:ascii="Calibri" w:hAnsi="Calibri" w:cs="Calibri"/>
          <w:b/>
          <w:bCs/>
          <w:lang w:val="ro-RO"/>
        </w:rPr>
      </w:pPr>
      <w:bookmarkStart w:id="21" w:name="_Toc223643889"/>
      <w:r w:rsidRPr="00834B27">
        <w:rPr>
          <w:rFonts w:ascii="Calibri" w:hAnsi="Calibri" w:cs="Calibri"/>
          <w:b/>
          <w:bCs/>
          <w:lang w:val="ro-RO"/>
        </w:rPr>
        <w:lastRenderedPageBreak/>
        <w:t>Anexa 1 – Notă Metodologică</w:t>
      </w:r>
      <w:bookmarkEnd w:id="21"/>
    </w:p>
    <w:p w14:paraId="445C7D72" w14:textId="77777777" w:rsidR="00D62F7C" w:rsidRPr="00834B27" w:rsidRDefault="00D62F7C" w:rsidP="007862FF">
      <w:pPr>
        <w:jc w:val="both"/>
        <w:rPr>
          <w:rFonts w:ascii="Calibri" w:hAnsi="Calibri" w:cs="Calibri"/>
          <w:lang w:val="ro-RO"/>
        </w:rPr>
      </w:pPr>
    </w:p>
    <w:p w14:paraId="2B455868" w14:textId="7490134F" w:rsidR="00D62F7C" w:rsidRPr="00834B27" w:rsidRDefault="00D62F7C" w:rsidP="007862FF">
      <w:pPr>
        <w:jc w:val="both"/>
        <w:rPr>
          <w:rFonts w:ascii="Calibri" w:hAnsi="Calibri" w:cs="Calibri"/>
          <w:sz w:val="23"/>
          <w:szCs w:val="23"/>
          <w:lang w:val="ro-RO"/>
        </w:rPr>
      </w:pPr>
      <w:r w:rsidRPr="00834B27">
        <w:rPr>
          <w:rFonts w:ascii="Calibri" w:hAnsi="Calibri" w:cs="Calibri"/>
          <w:sz w:val="23"/>
          <w:szCs w:val="23"/>
          <w:lang w:val="ro-RO"/>
        </w:rPr>
        <w:t xml:space="preserve">Acolo unde nu am avut </w:t>
      </w:r>
      <w:r w:rsidR="007862FF" w:rsidRPr="00834B27">
        <w:rPr>
          <w:rFonts w:ascii="Calibri" w:hAnsi="Calibri" w:cs="Calibri"/>
          <w:sz w:val="23"/>
          <w:szCs w:val="23"/>
          <w:lang w:val="ro-RO"/>
        </w:rPr>
        <w:t>informații</w:t>
      </w:r>
      <w:r w:rsidRPr="00834B27">
        <w:rPr>
          <w:rFonts w:ascii="Calibri" w:hAnsi="Calibri" w:cs="Calibri"/>
          <w:sz w:val="23"/>
          <w:szCs w:val="23"/>
          <w:lang w:val="ro-RO"/>
        </w:rPr>
        <w:t xml:space="preserve"> cu privire la </w:t>
      </w:r>
      <w:r w:rsidR="007862FF" w:rsidRPr="00834B27">
        <w:rPr>
          <w:rFonts w:ascii="Calibri" w:hAnsi="Calibri" w:cs="Calibri"/>
          <w:sz w:val="23"/>
          <w:szCs w:val="23"/>
          <w:lang w:val="ro-RO"/>
        </w:rPr>
        <w:t>numărul</w:t>
      </w:r>
      <w:r w:rsidRPr="00834B27">
        <w:rPr>
          <w:rFonts w:ascii="Calibri" w:hAnsi="Calibri" w:cs="Calibri"/>
          <w:sz w:val="23"/>
          <w:szCs w:val="23"/>
          <w:lang w:val="ro-RO"/>
        </w:rPr>
        <w:t xml:space="preserve"> de contribuabili </w:t>
      </w:r>
      <w:r w:rsidR="007862FF" w:rsidRPr="00834B27">
        <w:rPr>
          <w:rFonts w:ascii="Calibri" w:hAnsi="Calibri" w:cs="Calibri"/>
          <w:sz w:val="23"/>
          <w:szCs w:val="23"/>
          <w:lang w:val="ro-RO"/>
        </w:rPr>
        <w:t>î</w:t>
      </w:r>
      <w:r w:rsidRPr="00834B27">
        <w:rPr>
          <w:rFonts w:ascii="Calibri" w:hAnsi="Calibri" w:cs="Calibri"/>
          <w:sz w:val="23"/>
          <w:szCs w:val="23"/>
          <w:lang w:val="ro-RO"/>
        </w:rPr>
        <w:t>n tran</w:t>
      </w:r>
      <w:r w:rsidR="007862FF" w:rsidRPr="00834B27">
        <w:rPr>
          <w:rFonts w:ascii="Calibri" w:hAnsi="Calibri" w:cs="Calibri"/>
          <w:sz w:val="23"/>
          <w:szCs w:val="23"/>
          <w:lang w:val="ro-RO"/>
        </w:rPr>
        <w:t>șă</w:t>
      </w:r>
      <w:r w:rsidRPr="00834B27">
        <w:rPr>
          <w:rFonts w:ascii="Calibri" w:hAnsi="Calibri" w:cs="Calibri"/>
          <w:sz w:val="23"/>
          <w:szCs w:val="23"/>
          <w:lang w:val="ro-RO"/>
        </w:rPr>
        <w:t>:</w:t>
      </w:r>
    </w:p>
    <w:p w14:paraId="1E5D4707" w14:textId="2C05EC1A" w:rsidR="00D62F7C" w:rsidRPr="00834B27" w:rsidRDefault="00D62F7C" w:rsidP="007862FF">
      <w:pPr>
        <w:pStyle w:val="Listparagraf"/>
        <w:numPr>
          <w:ilvl w:val="0"/>
          <w:numId w:val="56"/>
        </w:numPr>
        <w:jc w:val="both"/>
        <w:rPr>
          <w:rFonts w:ascii="Calibri" w:hAnsi="Calibri" w:cs="Calibri"/>
          <w:sz w:val="23"/>
          <w:szCs w:val="23"/>
          <w:lang w:val="ro-RO"/>
        </w:rPr>
      </w:pPr>
      <w:r w:rsidRPr="00834B27">
        <w:rPr>
          <w:rFonts w:ascii="Calibri" w:hAnsi="Calibri" w:cs="Calibri"/>
          <w:sz w:val="23"/>
          <w:szCs w:val="23"/>
          <w:lang w:val="ro-RO"/>
        </w:rPr>
        <w:t xml:space="preserve">Cu </w:t>
      </w:r>
      <w:r w:rsidR="007862FF" w:rsidRPr="00834B27">
        <w:rPr>
          <w:rFonts w:ascii="Calibri" w:hAnsi="Calibri" w:cs="Calibri"/>
          <w:sz w:val="23"/>
          <w:szCs w:val="23"/>
          <w:lang w:val="ro-RO"/>
        </w:rPr>
        <w:t>excepția</w:t>
      </w:r>
      <w:r w:rsidRPr="00834B27">
        <w:rPr>
          <w:rFonts w:ascii="Calibri" w:hAnsi="Calibri" w:cs="Calibri"/>
          <w:sz w:val="23"/>
          <w:szCs w:val="23"/>
          <w:lang w:val="ro-RO"/>
        </w:rPr>
        <w:t xml:space="preserve"> primei </w:t>
      </w:r>
      <w:r w:rsidR="007862FF" w:rsidRPr="00834B27">
        <w:rPr>
          <w:rFonts w:ascii="Calibri" w:hAnsi="Calibri" w:cs="Calibri"/>
          <w:sz w:val="23"/>
          <w:szCs w:val="23"/>
          <w:lang w:val="ro-RO"/>
        </w:rPr>
        <w:t>ș</w:t>
      </w:r>
      <w:r w:rsidRPr="00834B27">
        <w:rPr>
          <w:rFonts w:ascii="Calibri" w:hAnsi="Calibri" w:cs="Calibri"/>
          <w:sz w:val="23"/>
          <w:szCs w:val="23"/>
          <w:lang w:val="ro-RO"/>
        </w:rPr>
        <w:t>i ultimei tran</w:t>
      </w:r>
      <w:r w:rsidR="007862FF" w:rsidRPr="00834B27">
        <w:rPr>
          <w:rFonts w:ascii="Calibri" w:hAnsi="Calibri" w:cs="Calibri"/>
          <w:sz w:val="23"/>
          <w:szCs w:val="23"/>
          <w:lang w:val="ro-RO"/>
        </w:rPr>
        <w:t>ș</w:t>
      </w:r>
      <w:r w:rsidRPr="00834B27">
        <w:rPr>
          <w:rFonts w:ascii="Calibri" w:hAnsi="Calibri" w:cs="Calibri"/>
          <w:sz w:val="23"/>
          <w:szCs w:val="23"/>
          <w:lang w:val="ro-RO"/>
        </w:rPr>
        <w:t xml:space="preserve">e, am estimat venitul mediu </w:t>
      </w:r>
      <w:r w:rsidR="007862FF" w:rsidRPr="00834B27">
        <w:rPr>
          <w:rFonts w:ascii="Calibri" w:hAnsi="Calibri" w:cs="Calibri"/>
          <w:sz w:val="23"/>
          <w:szCs w:val="23"/>
          <w:lang w:val="ro-RO"/>
        </w:rPr>
        <w:t>î</w:t>
      </w:r>
      <w:r w:rsidRPr="00834B27">
        <w:rPr>
          <w:rFonts w:ascii="Calibri" w:hAnsi="Calibri" w:cs="Calibri"/>
          <w:sz w:val="23"/>
          <w:szCs w:val="23"/>
          <w:lang w:val="ro-RO"/>
        </w:rPr>
        <w:t>n tran</w:t>
      </w:r>
      <w:r w:rsidR="007862FF" w:rsidRPr="00834B27">
        <w:rPr>
          <w:rFonts w:ascii="Calibri" w:hAnsi="Calibri" w:cs="Calibri"/>
          <w:sz w:val="23"/>
          <w:szCs w:val="23"/>
          <w:lang w:val="ro-RO"/>
        </w:rPr>
        <w:t>șă</w:t>
      </w:r>
      <w:r w:rsidRPr="00834B27">
        <w:rPr>
          <w:rFonts w:ascii="Calibri" w:hAnsi="Calibri" w:cs="Calibri"/>
          <w:sz w:val="23"/>
          <w:szCs w:val="23"/>
          <w:lang w:val="ro-RO"/>
        </w:rPr>
        <w:t xml:space="preserve"> ca media limitelor, iar </w:t>
      </w:r>
      <w:r w:rsidR="007862FF" w:rsidRPr="00834B27">
        <w:rPr>
          <w:rFonts w:ascii="Calibri" w:hAnsi="Calibri" w:cs="Calibri"/>
          <w:sz w:val="23"/>
          <w:szCs w:val="23"/>
          <w:lang w:val="ro-RO"/>
        </w:rPr>
        <w:t>numărul</w:t>
      </w:r>
      <w:r w:rsidRPr="00834B27">
        <w:rPr>
          <w:rFonts w:ascii="Calibri" w:hAnsi="Calibri" w:cs="Calibri"/>
          <w:sz w:val="23"/>
          <w:szCs w:val="23"/>
          <w:lang w:val="ro-RO"/>
        </w:rPr>
        <w:t xml:space="preserve"> contribuabililor </w:t>
      </w:r>
      <w:r w:rsidR="007862FF" w:rsidRPr="00834B27">
        <w:rPr>
          <w:rFonts w:ascii="Calibri" w:hAnsi="Calibri" w:cs="Calibri"/>
          <w:sz w:val="23"/>
          <w:szCs w:val="23"/>
          <w:lang w:val="ro-RO"/>
        </w:rPr>
        <w:t>î</w:t>
      </w:r>
      <w:r w:rsidRPr="00834B27">
        <w:rPr>
          <w:rFonts w:ascii="Calibri" w:hAnsi="Calibri" w:cs="Calibri"/>
          <w:sz w:val="23"/>
          <w:szCs w:val="23"/>
          <w:lang w:val="ro-RO"/>
        </w:rPr>
        <w:t>n tran</w:t>
      </w:r>
      <w:r w:rsidR="007862FF" w:rsidRPr="00834B27">
        <w:rPr>
          <w:rFonts w:ascii="Calibri" w:hAnsi="Calibri" w:cs="Calibri"/>
          <w:sz w:val="23"/>
          <w:szCs w:val="23"/>
          <w:lang w:val="ro-RO"/>
        </w:rPr>
        <w:t>șă</w:t>
      </w:r>
      <w:r w:rsidRPr="00834B27">
        <w:rPr>
          <w:rFonts w:ascii="Calibri" w:hAnsi="Calibri" w:cs="Calibri"/>
          <w:sz w:val="23"/>
          <w:szCs w:val="23"/>
          <w:lang w:val="ro-RO"/>
        </w:rPr>
        <w:t xml:space="preserve"> a rezultat </w:t>
      </w:r>
      <w:r w:rsidR="007862FF" w:rsidRPr="00834B27">
        <w:rPr>
          <w:rFonts w:ascii="Calibri" w:hAnsi="Calibri" w:cs="Calibri"/>
          <w:sz w:val="23"/>
          <w:szCs w:val="23"/>
          <w:lang w:val="ro-RO"/>
        </w:rPr>
        <w:t>împărțind</w:t>
      </w:r>
      <w:r w:rsidRPr="00834B27">
        <w:rPr>
          <w:rFonts w:ascii="Calibri" w:hAnsi="Calibri" w:cs="Calibri"/>
          <w:sz w:val="23"/>
          <w:szCs w:val="23"/>
          <w:lang w:val="ro-RO"/>
        </w:rPr>
        <w:t xml:space="preserve"> venitul din tran</w:t>
      </w:r>
      <w:r w:rsidR="007862FF" w:rsidRPr="00834B27">
        <w:rPr>
          <w:rFonts w:ascii="Calibri" w:hAnsi="Calibri" w:cs="Calibri"/>
          <w:sz w:val="23"/>
          <w:szCs w:val="23"/>
          <w:lang w:val="ro-RO"/>
        </w:rPr>
        <w:t>șă</w:t>
      </w:r>
      <w:r w:rsidRPr="00834B27">
        <w:rPr>
          <w:rFonts w:ascii="Calibri" w:hAnsi="Calibri" w:cs="Calibri"/>
          <w:sz w:val="23"/>
          <w:szCs w:val="23"/>
          <w:lang w:val="ro-RO"/>
        </w:rPr>
        <w:t xml:space="preserve"> la venitul median;</w:t>
      </w:r>
    </w:p>
    <w:p w14:paraId="7B7AA8B0" w14:textId="50ED6C8C" w:rsidR="00D62F7C" w:rsidRPr="00834B27" w:rsidRDefault="00D62F7C" w:rsidP="007862FF">
      <w:pPr>
        <w:pStyle w:val="Listparagraf"/>
        <w:numPr>
          <w:ilvl w:val="0"/>
          <w:numId w:val="56"/>
        </w:numPr>
        <w:jc w:val="both"/>
        <w:rPr>
          <w:rFonts w:ascii="Calibri" w:hAnsi="Calibri" w:cs="Calibri"/>
          <w:sz w:val="23"/>
          <w:szCs w:val="23"/>
          <w:lang w:val="ro-RO"/>
        </w:rPr>
      </w:pPr>
      <w:r w:rsidRPr="00834B27">
        <w:rPr>
          <w:rFonts w:ascii="Calibri" w:hAnsi="Calibri" w:cs="Calibri"/>
          <w:sz w:val="23"/>
          <w:szCs w:val="23"/>
          <w:lang w:val="ro-RO"/>
        </w:rPr>
        <w:t>Pentru ultima tran</w:t>
      </w:r>
      <w:r w:rsidR="007862FF" w:rsidRPr="00834B27">
        <w:rPr>
          <w:rFonts w:ascii="Calibri" w:hAnsi="Calibri" w:cs="Calibri"/>
          <w:sz w:val="23"/>
          <w:szCs w:val="23"/>
          <w:lang w:val="ro-RO"/>
        </w:rPr>
        <w:t>șă,</w:t>
      </w:r>
      <w:r w:rsidRPr="00834B27">
        <w:rPr>
          <w:rFonts w:ascii="Calibri" w:hAnsi="Calibri" w:cs="Calibri"/>
          <w:sz w:val="23"/>
          <w:szCs w:val="23"/>
          <w:lang w:val="ro-RO"/>
        </w:rPr>
        <w:t xml:space="preserve"> am estimat venitul mediu </w:t>
      </w:r>
      <w:r w:rsidR="007862FF" w:rsidRPr="00834B27">
        <w:rPr>
          <w:rFonts w:ascii="Calibri" w:hAnsi="Calibri" w:cs="Calibri"/>
          <w:sz w:val="23"/>
          <w:szCs w:val="23"/>
          <w:lang w:val="ro-RO"/>
        </w:rPr>
        <w:t>ș</w:t>
      </w:r>
      <w:r w:rsidRPr="00834B27">
        <w:rPr>
          <w:rFonts w:ascii="Calibri" w:hAnsi="Calibri" w:cs="Calibri"/>
          <w:sz w:val="23"/>
          <w:szCs w:val="23"/>
          <w:lang w:val="ro-RO"/>
        </w:rPr>
        <w:t xml:space="preserve">i am calculat </w:t>
      </w:r>
      <w:r w:rsidR="007862FF" w:rsidRPr="00834B27">
        <w:rPr>
          <w:rFonts w:ascii="Calibri" w:hAnsi="Calibri" w:cs="Calibri"/>
          <w:sz w:val="23"/>
          <w:szCs w:val="23"/>
          <w:lang w:val="ro-RO"/>
        </w:rPr>
        <w:t>numărul</w:t>
      </w:r>
      <w:r w:rsidRPr="00834B27">
        <w:rPr>
          <w:rFonts w:ascii="Calibri" w:hAnsi="Calibri" w:cs="Calibri"/>
          <w:sz w:val="23"/>
          <w:szCs w:val="23"/>
          <w:lang w:val="ro-RO"/>
        </w:rPr>
        <w:t xml:space="preserve"> contribuabililor;</w:t>
      </w:r>
    </w:p>
    <w:p w14:paraId="2BA65D47" w14:textId="25255FFF" w:rsidR="00D62F7C" w:rsidRPr="00834B27" w:rsidRDefault="00D62F7C" w:rsidP="007862FF">
      <w:pPr>
        <w:pStyle w:val="Listparagraf"/>
        <w:numPr>
          <w:ilvl w:val="0"/>
          <w:numId w:val="56"/>
        </w:numPr>
        <w:jc w:val="both"/>
        <w:rPr>
          <w:rFonts w:ascii="Calibri" w:hAnsi="Calibri" w:cs="Calibri"/>
          <w:sz w:val="23"/>
          <w:szCs w:val="23"/>
          <w:lang w:val="ro-RO"/>
        </w:rPr>
      </w:pPr>
      <w:r w:rsidRPr="00834B27">
        <w:rPr>
          <w:rFonts w:ascii="Calibri" w:hAnsi="Calibri" w:cs="Calibri"/>
          <w:sz w:val="23"/>
          <w:szCs w:val="23"/>
          <w:lang w:val="ro-RO"/>
        </w:rPr>
        <w:t>Pentru prima tran</w:t>
      </w:r>
      <w:r w:rsidR="007862FF" w:rsidRPr="00834B27">
        <w:rPr>
          <w:rFonts w:ascii="Calibri" w:hAnsi="Calibri" w:cs="Calibri"/>
          <w:sz w:val="23"/>
          <w:szCs w:val="23"/>
          <w:lang w:val="ro-RO"/>
        </w:rPr>
        <w:t>șă</w:t>
      </w:r>
      <w:r w:rsidRPr="00834B27">
        <w:rPr>
          <w:rFonts w:ascii="Calibri" w:hAnsi="Calibri" w:cs="Calibri"/>
          <w:sz w:val="23"/>
          <w:szCs w:val="23"/>
          <w:lang w:val="ro-RO"/>
        </w:rPr>
        <w:t xml:space="preserve">, </w:t>
      </w:r>
      <w:r w:rsidR="007862FF" w:rsidRPr="00834B27">
        <w:rPr>
          <w:rFonts w:ascii="Calibri" w:hAnsi="Calibri" w:cs="Calibri"/>
          <w:sz w:val="23"/>
          <w:szCs w:val="23"/>
          <w:lang w:val="ro-RO"/>
        </w:rPr>
        <w:t>numărul</w:t>
      </w:r>
      <w:r w:rsidRPr="00834B27">
        <w:rPr>
          <w:rFonts w:ascii="Calibri" w:hAnsi="Calibri" w:cs="Calibri"/>
          <w:sz w:val="23"/>
          <w:szCs w:val="23"/>
          <w:lang w:val="ro-RO"/>
        </w:rPr>
        <w:t xml:space="preserve"> contribuabililor a fost calcul</w:t>
      </w:r>
      <w:r w:rsidR="007862FF" w:rsidRPr="00834B27">
        <w:rPr>
          <w:rFonts w:ascii="Calibri" w:hAnsi="Calibri" w:cs="Calibri"/>
          <w:sz w:val="23"/>
          <w:szCs w:val="23"/>
          <w:lang w:val="ro-RO"/>
        </w:rPr>
        <w:t>at</w:t>
      </w:r>
      <w:r w:rsidRPr="00834B27">
        <w:rPr>
          <w:rFonts w:ascii="Calibri" w:hAnsi="Calibri" w:cs="Calibri"/>
          <w:sz w:val="23"/>
          <w:szCs w:val="23"/>
          <w:lang w:val="ro-RO"/>
        </w:rPr>
        <w:t xml:space="preserve"> </w:t>
      </w:r>
      <w:r w:rsidR="007862FF" w:rsidRPr="00834B27">
        <w:rPr>
          <w:rFonts w:ascii="Calibri" w:hAnsi="Calibri" w:cs="Calibri"/>
          <w:sz w:val="23"/>
          <w:szCs w:val="23"/>
          <w:lang w:val="ro-RO"/>
        </w:rPr>
        <w:t>scăzând</w:t>
      </w:r>
      <w:r w:rsidRPr="00834B27">
        <w:rPr>
          <w:rFonts w:ascii="Calibri" w:hAnsi="Calibri" w:cs="Calibri"/>
          <w:sz w:val="23"/>
          <w:szCs w:val="23"/>
          <w:lang w:val="ro-RO"/>
        </w:rPr>
        <w:t xml:space="preserve"> din num</w:t>
      </w:r>
      <w:r w:rsidR="007862FF" w:rsidRPr="00834B27">
        <w:rPr>
          <w:rFonts w:ascii="Calibri" w:hAnsi="Calibri" w:cs="Calibri"/>
          <w:sz w:val="23"/>
          <w:szCs w:val="23"/>
          <w:lang w:val="ro-RO"/>
        </w:rPr>
        <w:t>ă</w:t>
      </w:r>
      <w:r w:rsidRPr="00834B27">
        <w:rPr>
          <w:rFonts w:ascii="Calibri" w:hAnsi="Calibri" w:cs="Calibri"/>
          <w:sz w:val="23"/>
          <w:szCs w:val="23"/>
          <w:lang w:val="ro-RO"/>
        </w:rPr>
        <w:t xml:space="preserve">rul total de contribuabili </w:t>
      </w:r>
      <w:r w:rsidR="007862FF" w:rsidRPr="00834B27">
        <w:rPr>
          <w:rFonts w:ascii="Calibri" w:hAnsi="Calibri" w:cs="Calibri"/>
          <w:sz w:val="23"/>
          <w:szCs w:val="23"/>
          <w:lang w:val="ro-RO"/>
        </w:rPr>
        <w:t>numărul</w:t>
      </w:r>
      <w:r w:rsidRPr="00834B27">
        <w:rPr>
          <w:rFonts w:ascii="Calibri" w:hAnsi="Calibri" w:cs="Calibri"/>
          <w:sz w:val="23"/>
          <w:szCs w:val="23"/>
          <w:lang w:val="ro-RO"/>
        </w:rPr>
        <w:t xml:space="preserve"> celor din tran</w:t>
      </w:r>
      <w:r w:rsidR="007862FF" w:rsidRPr="00834B27">
        <w:rPr>
          <w:rFonts w:ascii="Calibri" w:hAnsi="Calibri" w:cs="Calibri"/>
          <w:sz w:val="23"/>
          <w:szCs w:val="23"/>
          <w:lang w:val="ro-RO"/>
        </w:rPr>
        <w:t>ș</w:t>
      </w:r>
      <w:r w:rsidRPr="00834B27">
        <w:rPr>
          <w:rFonts w:ascii="Calibri" w:hAnsi="Calibri" w:cs="Calibri"/>
          <w:sz w:val="23"/>
          <w:szCs w:val="23"/>
          <w:lang w:val="ro-RO"/>
        </w:rPr>
        <w:t xml:space="preserve">ele </w:t>
      </w:r>
      <w:r w:rsidR="007862FF" w:rsidRPr="00834B27">
        <w:rPr>
          <w:rFonts w:ascii="Calibri" w:hAnsi="Calibri" w:cs="Calibri"/>
          <w:sz w:val="23"/>
          <w:szCs w:val="23"/>
          <w:lang w:val="ro-RO"/>
        </w:rPr>
        <w:t>următoare</w:t>
      </w:r>
      <w:r w:rsidRPr="00834B27">
        <w:rPr>
          <w:rFonts w:ascii="Calibri" w:hAnsi="Calibri" w:cs="Calibri"/>
          <w:sz w:val="23"/>
          <w:szCs w:val="23"/>
          <w:lang w:val="ro-RO"/>
        </w:rPr>
        <w:t>;</w:t>
      </w:r>
    </w:p>
    <w:p w14:paraId="285531A7" w14:textId="5A8C9C8B" w:rsidR="00D62F7C" w:rsidRPr="00834B27" w:rsidRDefault="00D62F7C" w:rsidP="007862FF">
      <w:pPr>
        <w:pStyle w:val="Listparagraf"/>
        <w:numPr>
          <w:ilvl w:val="0"/>
          <w:numId w:val="56"/>
        </w:numPr>
        <w:jc w:val="both"/>
        <w:rPr>
          <w:rFonts w:ascii="Calibri" w:hAnsi="Calibri" w:cs="Calibri"/>
          <w:sz w:val="23"/>
          <w:szCs w:val="23"/>
          <w:lang w:val="ro-RO"/>
        </w:rPr>
      </w:pPr>
      <w:r w:rsidRPr="00834B27">
        <w:rPr>
          <w:rFonts w:ascii="Calibri" w:hAnsi="Calibri" w:cs="Calibri"/>
          <w:sz w:val="23"/>
          <w:szCs w:val="23"/>
          <w:lang w:val="ro-RO"/>
        </w:rPr>
        <w:t>Venitul mediu in prima tran</w:t>
      </w:r>
      <w:r w:rsidR="007862FF" w:rsidRPr="00834B27">
        <w:rPr>
          <w:rFonts w:ascii="Calibri" w:hAnsi="Calibri" w:cs="Calibri"/>
          <w:sz w:val="23"/>
          <w:szCs w:val="23"/>
          <w:lang w:val="ro-RO"/>
        </w:rPr>
        <w:t>șă</w:t>
      </w:r>
      <w:r w:rsidRPr="00834B27">
        <w:rPr>
          <w:rFonts w:ascii="Calibri" w:hAnsi="Calibri" w:cs="Calibri"/>
          <w:sz w:val="23"/>
          <w:szCs w:val="23"/>
          <w:lang w:val="ro-RO"/>
        </w:rPr>
        <w:t xml:space="preserve"> a fost calculat </w:t>
      </w:r>
      <w:r w:rsidR="007862FF" w:rsidRPr="00834B27">
        <w:rPr>
          <w:rFonts w:ascii="Calibri" w:hAnsi="Calibri" w:cs="Calibri"/>
          <w:sz w:val="23"/>
          <w:szCs w:val="23"/>
          <w:lang w:val="ro-RO"/>
        </w:rPr>
        <w:t>împărțind</w:t>
      </w:r>
      <w:r w:rsidRPr="00834B27">
        <w:rPr>
          <w:rFonts w:ascii="Calibri" w:hAnsi="Calibri" w:cs="Calibri"/>
          <w:sz w:val="23"/>
          <w:szCs w:val="23"/>
          <w:lang w:val="ro-RO"/>
        </w:rPr>
        <w:t xml:space="preserve"> venitul total </w:t>
      </w:r>
      <w:r w:rsidR="007862FF" w:rsidRPr="00834B27">
        <w:rPr>
          <w:rFonts w:ascii="Calibri" w:hAnsi="Calibri" w:cs="Calibri"/>
          <w:sz w:val="23"/>
          <w:szCs w:val="23"/>
          <w:lang w:val="ro-RO"/>
        </w:rPr>
        <w:t>î</w:t>
      </w:r>
      <w:r w:rsidRPr="00834B27">
        <w:rPr>
          <w:rFonts w:ascii="Calibri" w:hAnsi="Calibri" w:cs="Calibri"/>
          <w:sz w:val="23"/>
          <w:szCs w:val="23"/>
          <w:lang w:val="ro-RO"/>
        </w:rPr>
        <w:t>n tran</w:t>
      </w:r>
      <w:r w:rsidR="007862FF" w:rsidRPr="00834B27">
        <w:rPr>
          <w:rFonts w:ascii="Calibri" w:hAnsi="Calibri" w:cs="Calibri"/>
          <w:sz w:val="23"/>
          <w:szCs w:val="23"/>
          <w:lang w:val="ro-RO"/>
        </w:rPr>
        <w:t>șă</w:t>
      </w:r>
      <w:r w:rsidRPr="00834B27">
        <w:rPr>
          <w:rFonts w:ascii="Calibri" w:hAnsi="Calibri" w:cs="Calibri"/>
          <w:sz w:val="23"/>
          <w:szCs w:val="23"/>
          <w:lang w:val="ro-RO"/>
        </w:rPr>
        <w:t xml:space="preserve"> la </w:t>
      </w:r>
      <w:r w:rsidR="007862FF" w:rsidRPr="00834B27">
        <w:rPr>
          <w:rFonts w:ascii="Calibri" w:hAnsi="Calibri" w:cs="Calibri"/>
          <w:sz w:val="23"/>
          <w:szCs w:val="23"/>
          <w:lang w:val="ro-RO"/>
        </w:rPr>
        <w:t>numărul</w:t>
      </w:r>
      <w:r w:rsidRPr="00834B27">
        <w:rPr>
          <w:rFonts w:ascii="Calibri" w:hAnsi="Calibri" w:cs="Calibri"/>
          <w:sz w:val="23"/>
          <w:szCs w:val="23"/>
          <w:lang w:val="ro-RO"/>
        </w:rPr>
        <w:t xml:space="preserve"> de contribuabili din tran</w:t>
      </w:r>
      <w:r w:rsidR="007862FF" w:rsidRPr="00834B27">
        <w:rPr>
          <w:rFonts w:ascii="Calibri" w:hAnsi="Calibri" w:cs="Calibri"/>
          <w:sz w:val="23"/>
          <w:szCs w:val="23"/>
          <w:lang w:val="ro-RO"/>
        </w:rPr>
        <w:t>șă</w:t>
      </w:r>
      <w:r w:rsidRPr="00834B27">
        <w:rPr>
          <w:rFonts w:ascii="Calibri" w:hAnsi="Calibri" w:cs="Calibri"/>
          <w:sz w:val="23"/>
          <w:szCs w:val="23"/>
          <w:lang w:val="ro-RO"/>
        </w:rPr>
        <w:t>;</w:t>
      </w:r>
    </w:p>
    <w:p w14:paraId="675EAABC" w14:textId="7B405ACB" w:rsidR="00D62F7C" w:rsidRPr="00834B27" w:rsidRDefault="00D62F7C" w:rsidP="007862FF">
      <w:pPr>
        <w:pStyle w:val="Listparagraf"/>
        <w:numPr>
          <w:ilvl w:val="0"/>
          <w:numId w:val="56"/>
        </w:numPr>
        <w:jc w:val="both"/>
        <w:rPr>
          <w:rFonts w:ascii="Calibri" w:hAnsi="Calibri" w:cs="Calibri"/>
          <w:sz w:val="23"/>
          <w:szCs w:val="23"/>
          <w:lang w:val="ro-RO"/>
        </w:rPr>
      </w:pPr>
      <w:r w:rsidRPr="00834B27">
        <w:rPr>
          <w:rFonts w:ascii="Calibri" w:hAnsi="Calibri" w:cs="Calibri"/>
          <w:sz w:val="23"/>
          <w:szCs w:val="23"/>
          <w:lang w:val="ro-RO"/>
        </w:rPr>
        <w:t>Metoda s-a dovedit a fi fiabil</w:t>
      </w:r>
      <w:r w:rsidR="007862FF" w:rsidRPr="00834B27">
        <w:rPr>
          <w:rFonts w:ascii="Calibri" w:hAnsi="Calibri" w:cs="Calibri"/>
          <w:sz w:val="23"/>
          <w:szCs w:val="23"/>
          <w:lang w:val="ro-RO"/>
        </w:rPr>
        <w:t>ă</w:t>
      </w:r>
      <w:r w:rsidRPr="00834B27">
        <w:rPr>
          <w:rFonts w:ascii="Calibri" w:hAnsi="Calibri" w:cs="Calibri"/>
          <w:sz w:val="23"/>
          <w:szCs w:val="23"/>
          <w:lang w:val="ro-RO"/>
        </w:rPr>
        <w:t xml:space="preserve"> </w:t>
      </w:r>
      <w:r w:rsidR="007862FF" w:rsidRPr="00834B27">
        <w:rPr>
          <w:rFonts w:ascii="Calibri" w:hAnsi="Calibri" w:cs="Calibri"/>
          <w:sz w:val="23"/>
          <w:szCs w:val="23"/>
          <w:lang w:val="ro-RO"/>
        </w:rPr>
        <w:t>î</w:t>
      </w:r>
      <w:r w:rsidRPr="00834B27">
        <w:rPr>
          <w:rFonts w:ascii="Calibri" w:hAnsi="Calibri" w:cs="Calibri"/>
          <w:sz w:val="23"/>
          <w:szCs w:val="23"/>
          <w:lang w:val="ro-RO"/>
        </w:rPr>
        <w:t>n cazul veniturilor din activit</w:t>
      </w:r>
      <w:r w:rsidR="007862FF" w:rsidRPr="00834B27">
        <w:rPr>
          <w:rFonts w:ascii="Calibri" w:hAnsi="Calibri" w:cs="Calibri"/>
          <w:sz w:val="23"/>
          <w:szCs w:val="23"/>
          <w:lang w:val="ro-RO"/>
        </w:rPr>
        <w:t>ăț</w:t>
      </w:r>
      <w:r w:rsidRPr="00834B27">
        <w:rPr>
          <w:rFonts w:ascii="Calibri" w:hAnsi="Calibri" w:cs="Calibri"/>
          <w:sz w:val="23"/>
          <w:szCs w:val="23"/>
          <w:lang w:val="ro-RO"/>
        </w:rPr>
        <w:t>i independe</w:t>
      </w:r>
      <w:r w:rsidR="007862FF" w:rsidRPr="00834B27">
        <w:rPr>
          <w:rFonts w:ascii="Calibri" w:hAnsi="Calibri" w:cs="Calibri"/>
          <w:sz w:val="23"/>
          <w:szCs w:val="23"/>
          <w:lang w:val="ro-RO"/>
        </w:rPr>
        <w:t>nte</w:t>
      </w:r>
      <w:r w:rsidRPr="00834B27">
        <w:rPr>
          <w:rFonts w:ascii="Calibri" w:hAnsi="Calibri" w:cs="Calibri"/>
          <w:sz w:val="23"/>
          <w:szCs w:val="23"/>
          <w:lang w:val="ro-RO"/>
        </w:rPr>
        <w:t>, unde cifrele rezultate din calcule au fost extrem de apropiate de cifrele primite ulterior de la ANAF.</w:t>
      </w:r>
    </w:p>
    <w:p w14:paraId="35C8CAAF" w14:textId="77777777" w:rsidR="00D62F7C" w:rsidRPr="00834B27" w:rsidRDefault="00D62F7C" w:rsidP="007862FF">
      <w:pPr>
        <w:jc w:val="both"/>
        <w:rPr>
          <w:rFonts w:ascii="Calibri" w:hAnsi="Calibri" w:cs="Calibri"/>
          <w:sz w:val="23"/>
          <w:szCs w:val="23"/>
          <w:lang w:val="ro-RO"/>
        </w:rPr>
      </w:pPr>
    </w:p>
    <w:p w14:paraId="731473FD" w14:textId="5019CA52" w:rsidR="00D62F7C" w:rsidRPr="00834B27" w:rsidRDefault="00D62F7C" w:rsidP="007862FF">
      <w:pPr>
        <w:jc w:val="both"/>
        <w:rPr>
          <w:rFonts w:ascii="Calibri" w:hAnsi="Calibri" w:cs="Calibri"/>
          <w:sz w:val="23"/>
          <w:szCs w:val="23"/>
          <w:lang w:val="ro-RO"/>
        </w:rPr>
      </w:pPr>
      <w:r w:rsidRPr="00834B27">
        <w:rPr>
          <w:rFonts w:ascii="Calibri" w:hAnsi="Calibri" w:cs="Calibri"/>
          <w:sz w:val="23"/>
          <w:szCs w:val="23"/>
          <w:lang w:val="ro-RO"/>
        </w:rPr>
        <w:t xml:space="preserve">Pentru veniturile din </w:t>
      </w:r>
      <w:r w:rsidR="007862FF" w:rsidRPr="00834B27">
        <w:rPr>
          <w:rFonts w:ascii="Calibri" w:hAnsi="Calibri" w:cs="Calibri"/>
          <w:sz w:val="23"/>
          <w:szCs w:val="23"/>
          <w:lang w:val="ro-RO"/>
        </w:rPr>
        <w:t>dobânzi</w:t>
      </w:r>
      <w:r w:rsidRPr="00834B27">
        <w:rPr>
          <w:rFonts w:ascii="Calibri" w:hAnsi="Calibri" w:cs="Calibri"/>
          <w:sz w:val="23"/>
          <w:szCs w:val="23"/>
          <w:lang w:val="ro-RO"/>
        </w:rPr>
        <w:t>, dividende, c</w:t>
      </w:r>
      <w:r w:rsidR="007862FF" w:rsidRPr="00834B27">
        <w:rPr>
          <w:rFonts w:ascii="Calibri" w:hAnsi="Calibri" w:cs="Calibri"/>
          <w:sz w:val="23"/>
          <w:szCs w:val="23"/>
          <w:lang w:val="ro-RO"/>
        </w:rPr>
        <w:t>âș</w:t>
      </w:r>
      <w:r w:rsidRPr="00834B27">
        <w:rPr>
          <w:rFonts w:ascii="Calibri" w:hAnsi="Calibri" w:cs="Calibri"/>
          <w:sz w:val="23"/>
          <w:szCs w:val="23"/>
          <w:lang w:val="ro-RO"/>
        </w:rPr>
        <w:t>tiguri din capital:</w:t>
      </w:r>
    </w:p>
    <w:p w14:paraId="72B297A2" w14:textId="2B8FDCDA" w:rsidR="00D62F7C" w:rsidRPr="00834B27" w:rsidRDefault="00D62F7C" w:rsidP="007862FF">
      <w:pPr>
        <w:pStyle w:val="Listparagraf"/>
        <w:numPr>
          <w:ilvl w:val="0"/>
          <w:numId w:val="56"/>
        </w:numPr>
        <w:jc w:val="both"/>
        <w:rPr>
          <w:rFonts w:ascii="Calibri" w:hAnsi="Calibri" w:cs="Calibri"/>
          <w:sz w:val="23"/>
          <w:szCs w:val="23"/>
          <w:lang w:val="ro-RO"/>
        </w:rPr>
      </w:pPr>
      <w:r w:rsidRPr="00834B27">
        <w:rPr>
          <w:rFonts w:ascii="Calibri" w:hAnsi="Calibri" w:cs="Calibri"/>
          <w:sz w:val="23"/>
          <w:szCs w:val="23"/>
          <w:lang w:val="ro-RO"/>
        </w:rPr>
        <w:t xml:space="preserve">Calculele de impact au fost </w:t>
      </w:r>
      <w:r w:rsidR="007862FF" w:rsidRPr="00834B27">
        <w:rPr>
          <w:rFonts w:ascii="Calibri" w:hAnsi="Calibri" w:cs="Calibri"/>
          <w:sz w:val="23"/>
          <w:szCs w:val="23"/>
          <w:lang w:val="ro-RO"/>
        </w:rPr>
        <w:t>făcute</w:t>
      </w:r>
      <w:r w:rsidRPr="00834B27">
        <w:rPr>
          <w:rFonts w:ascii="Calibri" w:hAnsi="Calibri" w:cs="Calibri"/>
          <w:sz w:val="23"/>
          <w:szCs w:val="23"/>
          <w:lang w:val="ro-RO"/>
        </w:rPr>
        <w:t xml:space="preserve"> cumulat pentru dividende </w:t>
      </w:r>
      <w:r w:rsidR="007862FF" w:rsidRPr="00834B27">
        <w:rPr>
          <w:rFonts w:ascii="Calibri" w:hAnsi="Calibri" w:cs="Calibri"/>
          <w:sz w:val="23"/>
          <w:szCs w:val="23"/>
          <w:lang w:val="ro-RO"/>
        </w:rPr>
        <w:t>ș</w:t>
      </w:r>
      <w:r w:rsidRPr="00834B27">
        <w:rPr>
          <w:rFonts w:ascii="Calibri" w:hAnsi="Calibri" w:cs="Calibri"/>
          <w:sz w:val="23"/>
          <w:szCs w:val="23"/>
          <w:lang w:val="ro-RO"/>
        </w:rPr>
        <w:t xml:space="preserve">i </w:t>
      </w:r>
      <w:r w:rsidR="007862FF" w:rsidRPr="00834B27">
        <w:rPr>
          <w:rFonts w:ascii="Calibri" w:hAnsi="Calibri" w:cs="Calibri"/>
          <w:sz w:val="23"/>
          <w:szCs w:val="23"/>
          <w:lang w:val="ro-RO"/>
        </w:rPr>
        <w:t>câștiguri</w:t>
      </w:r>
      <w:r w:rsidRPr="00834B27">
        <w:rPr>
          <w:rFonts w:ascii="Calibri" w:hAnsi="Calibri" w:cs="Calibri"/>
          <w:sz w:val="23"/>
          <w:szCs w:val="23"/>
          <w:lang w:val="ro-RO"/>
        </w:rPr>
        <w:t xml:space="preserve"> de capital, </w:t>
      </w:r>
      <w:r w:rsidR="007862FF" w:rsidRPr="00834B27">
        <w:rPr>
          <w:rFonts w:ascii="Calibri" w:hAnsi="Calibri" w:cs="Calibri"/>
          <w:sz w:val="23"/>
          <w:szCs w:val="23"/>
          <w:lang w:val="ro-RO"/>
        </w:rPr>
        <w:t>având</w:t>
      </w:r>
      <w:r w:rsidRPr="00834B27">
        <w:rPr>
          <w:rFonts w:ascii="Calibri" w:hAnsi="Calibri" w:cs="Calibri"/>
          <w:sz w:val="23"/>
          <w:szCs w:val="23"/>
          <w:lang w:val="ro-RO"/>
        </w:rPr>
        <w:t xml:space="preserve"> </w:t>
      </w:r>
      <w:r w:rsidR="007862FF" w:rsidRPr="00834B27">
        <w:rPr>
          <w:rFonts w:ascii="Calibri" w:hAnsi="Calibri" w:cs="Calibri"/>
          <w:sz w:val="23"/>
          <w:szCs w:val="23"/>
          <w:lang w:val="ro-RO"/>
        </w:rPr>
        <w:t>î</w:t>
      </w:r>
      <w:r w:rsidRPr="00834B27">
        <w:rPr>
          <w:rFonts w:ascii="Calibri" w:hAnsi="Calibri" w:cs="Calibri"/>
          <w:sz w:val="23"/>
          <w:szCs w:val="23"/>
          <w:lang w:val="ro-RO"/>
        </w:rPr>
        <w:t>n vedere c</w:t>
      </w:r>
      <w:r w:rsidR="007862FF" w:rsidRPr="00834B27">
        <w:rPr>
          <w:rFonts w:ascii="Calibri" w:hAnsi="Calibri" w:cs="Calibri"/>
          <w:sz w:val="23"/>
          <w:szCs w:val="23"/>
          <w:lang w:val="ro-RO"/>
        </w:rPr>
        <w:t>ă</w:t>
      </w:r>
      <w:r w:rsidRPr="00834B27">
        <w:rPr>
          <w:rFonts w:ascii="Calibri" w:hAnsi="Calibri" w:cs="Calibri"/>
          <w:sz w:val="23"/>
          <w:szCs w:val="23"/>
          <w:lang w:val="ro-RO"/>
        </w:rPr>
        <w:t xml:space="preserve"> impozitul este deja 16%;</w:t>
      </w:r>
    </w:p>
    <w:p w14:paraId="48702341" w14:textId="56A88EAF" w:rsidR="00D62F7C" w:rsidRPr="00834B27" w:rsidRDefault="007862FF" w:rsidP="007862FF">
      <w:pPr>
        <w:pStyle w:val="Listparagraf"/>
        <w:numPr>
          <w:ilvl w:val="0"/>
          <w:numId w:val="56"/>
        </w:numPr>
        <w:jc w:val="both"/>
        <w:rPr>
          <w:rFonts w:ascii="Calibri" w:hAnsi="Calibri" w:cs="Calibri"/>
          <w:sz w:val="23"/>
          <w:szCs w:val="23"/>
          <w:lang w:val="ro-RO"/>
        </w:rPr>
      </w:pPr>
      <w:r w:rsidRPr="00834B27">
        <w:rPr>
          <w:rFonts w:ascii="Calibri" w:hAnsi="Calibri" w:cs="Calibri"/>
          <w:sz w:val="23"/>
          <w:szCs w:val="23"/>
          <w:lang w:val="ro-RO"/>
        </w:rPr>
        <w:t>Dobânzile</w:t>
      </w:r>
      <w:r w:rsidR="00D62F7C" w:rsidRPr="00834B27">
        <w:rPr>
          <w:rFonts w:ascii="Calibri" w:hAnsi="Calibri" w:cs="Calibri"/>
          <w:sz w:val="23"/>
          <w:szCs w:val="23"/>
          <w:lang w:val="ro-RO"/>
        </w:rPr>
        <w:t xml:space="preserve"> le-am </w:t>
      </w:r>
      <w:r w:rsidRPr="00834B27">
        <w:rPr>
          <w:rFonts w:ascii="Calibri" w:hAnsi="Calibri" w:cs="Calibri"/>
          <w:sz w:val="23"/>
          <w:szCs w:val="23"/>
          <w:lang w:val="ro-RO"/>
        </w:rPr>
        <w:t>lăsat</w:t>
      </w:r>
      <w:r w:rsidR="00D62F7C" w:rsidRPr="00834B27">
        <w:rPr>
          <w:rFonts w:ascii="Calibri" w:hAnsi="Calibri" w:cs="Calibri"/>
          <w:sz w:val="23"/>
          <w:szCs w:val="23"/>
          <w:lang w:val="ro-RO"/>
        </w:rPr>
        <w:t xml:space="preserve"> separat, </w:t>
      </w:r>
      <w:r w:rsidRPr="00834B27">
        <w:rPr>
          <w:rFonts w:ascii="Calibri" w:hAnsi="Calibri" w:cs="Calibri"/>
          <w:sz w:val="23"/>
          <w:szCs w:val="23"/>
          <w:lang w:val="ro-RO"/>
        </w:rPr>
        <w:t>având</w:t>
      </w:r>
      <w:r w:rsidR="00D62F7C" w:rsidRPr="00834B27">
        <w:rPr>
          <w:rFonts w:ascii="Calibri" w:hAnsi="Calibri" w:cs="Calibri"/>
          <w:sz w:val="23"/>
          <w:szCs w:val="23"/>
          <w:lang w:val="ro-RO"/>
        </w:rPr>
        <w:t xml:space="preserve"> </w:t>
      </w:r>
      <w:r w:rsidRPr="00834B27">
        <w:rPr>
          <w:rFonts w:ascii="Calibri" w:hAnsi="Calibri" w:cs="Calibri"/>
          <w:sz w:val="23"/>
          <w:szCs w:val="23"/>
          <w:lang w:val="ro-RO"/>
        </w:rPr>
        <w:t>î</w:t>
      </w:r>
      <w:r w:rsidR="00D62F7C" w:rsidRPr="00834B27">
        <w:rPr>
          <w:rFonts w:ascii="Calibri" w:hAnsi="Calibri" w:cs="Calibri"/>
          <w:sz w:val="23"/>
          <w:szCs w:val="23"/>
          <w:lang w:val="ro-RO"/>
        </w:rPr>
        <w:t>n vedere c</w:t>
      </w:r>
      <w:r w:rsidRPr="00834B27">
        <w:rPr>
          <w:rFonts w:ascii="Calibri" w:hAnsi="Calibri" w:cs="Calibri"/>
          <w:sz w:val="23"/>
          <w:szCs w:val="23"/>
          <w:lang w:val="ro-RO"/>
        </w:rPr>
        <w:t>ă</w:t>
      </w:r>
      <w:r w:rsidR="00D62F7C" w:rsidRPr="00834B27">
        <w:rPr>
          <w:rFonts w:ascii="Calibri" w:hAnsi="Calibri" w:cs="Calibri"/>
          <w:sz w:val="23"/>
          <w:szCs w:val="23"/>
          <w:lang w:val="ro-RO"/>
        </w:rPr>
        <w:t xml:space="preserve"> impozitul este </w:t>
      </w:r>
      <w:r w:rsidRPr="00834B27">
        <w:rPr>
          <w:rFonts w:ascii="Calibri" w:hAnsi="Calibri" w:cs="Calibri"/>
          <w:sz w:val="23"/>
          <w:szCs w:val="23"/>
          <w:lang w:val="ro-RO"/>
        </w:rPr>
        <w:t>încă</w:t>
      </w:r>
      <w:r w:rsidR="00D62F7C" w:rsidRPr="00834B27">
        <w:rPr>
          <w:rFonts w:ascii="Calibri" w:hAnsi="Calibri" w:cs="Calibri"/>
          <w:sz w:val="23"/>
          <w:szCs w:val="23"/>
          <w:lang w:val="ro-RO"/>
        </w:rPr>
        <w:t xml:space="preserve"> 10%;</w:t>
      </w:r>
    </w:p>
    <w:p w14:paraId="110542C4" w14:textId="31FA196B" w:rsidR="00D62F7C" w:rsidRPr="00834B27" w:rsidRDefault="00D62F7C" w:rsidP="007862FF">
      <w:pPr>
        <w:pStyle w:val="Listparagraf"/>
        <w:numPr>
          <w:ilvl w:val="0"/>
          <w:numId w:val="56"/>
        </w:numPr>
        <w:jc w:val="both"/>
        <w:rPr>
          <w:rFonts w:ascii="Calibri" w:hAnsi="Calibri" w:cs="Calibri"/>
          <w:sz w:val="23"/>
          <w:szCs w:val="23"/>
          <w:lang w:val="ro-RO"/>
        </w:rPr>
      </w:pPr>
      <w:r w:rsidRPr="00834B27">
        <w:rPr>
          <w:rFonts w:ascii="Calibri" w:hAnsi="Calibri" w:cs="Calibri"/>
          <w:sz w:val="23"/>
          <w:szCs w:val="23"/>
          <w:lang w:val="ro-RO"/>
        </w:rPr>
        <w:t xml:space="preserve">Am avut </w:t>
      </w:r>
      <w:r w:rsidR="007862FF" w:rsidRPr="00834B27">
        <w:rPr>
          <w:rFonts w:ascii="Calibri" w:hAnsi="Calibri" w:cs="Calibri"/>
          <w:sz w:val="23"/>
          <w:szCs w:val="23"/>
          <w:lang w:val="ro-RO"/>
        </w:rPr>
        <w:t>informații</w:t>
      </w:r>
      <w:r w:rsidRPr="00834B27">
        <w:rPr>
          <w:rFonts w:ascii="Calibri" w:hAnsi="Calibri" w:cs="Calibri"/>
          <w:sz w:val="23"/>
          <w:szCs w:val="23"/>
          <w:lang w:val="ro-RO"/>
        </w:rPr>
        <w:t xml:space="preserve"> cu privire la veniturile declarate in D212, pe tran</w:t>
      </w:r>
      <w:r w:rsidR="007862FF" w:rsidRPr="00834B27">
        <w:rPr>
          <w:rFonts w:ascii="Calibri" w:hAnsi="Calibri" w:cs="Calibri"/>
          <w:sz w:val="23"/>
          <w:szCs w:val="23"/>
          <w:lang w:val="ro-RO"/>
        </w:rPr>
        <w:t>ș</w:t>
      </w:r>
      <w:r w:rsidRPr="00834B27">
        <w:rPr>
          <w:rFonts w:ascii="Calibri" w:hAnsi="Calibri" w:cs="Calibri"/>
          <w:sz w:val="23"/>
          <w:szCs w:val="23"/>
          <w:lang w:val="ro-RO"/>
        </w:rPr>
        <w:t xml:space="preserve">e, dar am estimat </w:t>
      </w:r>
      <w:r w:rsidR="007862FF" w:rsidRPr="00834B27">
        <w:rPr>
          <w:rFonts w:ascii="Calibri" w:hAnsi="Calibri" w:cs="Calibri"/>
          <w:sz w:val="23"/>
          <w:szCs w:val="23"/>
          <w:lang w:val="ro-RO"/>
        </w:rPr>
        <w:t>numărul</w:t>
      </w:r>
      <w:r w:rsidRPr="00834B27">
        <w:rPr>
          <w:rFonts w:ascii="Calibri" w:hAnsi="Calibri" w:cs="Calibri"/>
          <w:sz w:val="23"/>
          <w:szCs w:val="23"/>
          <w:lang w:val="ro-RO"/>
        </w:rPr>
        <w:t xml:space="preserve"> contribuabililor </w:t>
      </w:r>
      <w:r w:rsidR="007862FF" w:rsidRPr="00834B27">
        <w:rPr>
          <w:rFonts w:ascii="Calibri" w:hAnsi="Calibri" w:cs="Calibri"/>
          <w:sz w:val="23"/>
          <w:szCs w:val="23"/>
          <w:lang w:val="ro-RO"/>
        </w:rPr>
        <w:t>î</w:t>
      </w:r>
      <w:r w:rsidRPr="00834B27">
        <w:rPr>
          <w:rFonts w:ascii="Calibri" w:hAnsi="Calibri" w:cs="Calibri"/>
          <w:sz w:val="23"/>
          <w:szCs w:val="23"/>
          <w:lang w:val="ro-RO"/>
        </w:rPr>
        <w:t>n tran</w:t>
      </w:r>
      <w:r w:rsidR="007862FF" w:rsidRPr="00834B27">
        <w:rPr>
          <w:rFonts w:ascii="Calibri" w:hAnsi="Calibri" w:cs="Calibri"/>
          <w:sz w:val="23"/>
          <w:szCs w:val="23"/>
          <w:lang w:val="ro-RO"/>
        </w:rPr>
        <w:t>ș</w:t>
      </w:r>
      <w:r w:rsidRPr="00834B27">
        <w:rPr>
          <w:rFonts w:ascii="Calibri" w:hAnsi="Calibri" w:cs="Calibri"/>
          <w:sz w:val="23"/>
          <w:szCs w:val="23"/>
          <w:lang w:val="ro-RO"/>
        </w:rPr>
        <w:t>e, conform metodei descrise anterior;</w:t>
      </w:r>
    </w:p>
    <w:p w14:paraId="11DF1DFE" w14:textId="1CC91192" w:rsidR="00D62F7C" w:rsidRPr="00834B27" w:rsidRDefault="007862FF" w:rsidP="007862FF">
      <w:pPr>
        <w:pStyle w:val="Listparagraf"/>
        <w:numPr>
          <w:ilvl w:val="0"/>
          <w:numId w:val="56"/>
        </w:numPr>
        <w:jc w:val="both"/>
        <w:rPr>
          <w:rFonts w:ascii="Calibri" w:hAnsi="Calibri" w:cs="Calibri"/>
          <w:sz w:val="23"/>
          <w:szCs w:val="23"/>
          <w:lang w:val="ro-RO"/>
        </w:rPr>
      </w:pPr>
      <w:r w:rsidRPr="00834B27">
        <w:rPr>
          <w:rFonts w:ascii="Calibri" w:hAnsi="Calibri" w:cs="Calibri"/>
          <w:sz w:val="23"/>
          <w:szCs w:val="23"/>
          <w:lang w:val="ro-RO"/>
        </w:rPr>
        <w:t>Având</w:t>
      </w:r>
      <w:r w:rsidR="00D62F7C" w:rsidRPr="00834B27">
        <w:rPr>
          <w:rFonts w:ascii="Calibri" w:hAnsi="Calibri" w:cs="Calibri"/>
          <w:sz w:val="23"/>
          <w:szCs w:val="23"/>
          <w:lang w:val="ro-RO"/>
        </w:rPr>
        <w:t xml:space="preserve"> </w:t>
      </w:r>
      <w:r w:rsidRPr="00834B27">
        <w:rPr>
          <w:rFonts w:ascii="Calibri" w:hAnsi="Calibri" w:cs="Calibri"/>
          <w:sz w:val="23"/>
          <w:szCs w:val="23"/>
          <w:lang w:val="ro-RO"/>
        </w:rPr>
        <w:t>î</w:t>
      </w:r>
      <w:r w:rsidR="00D62F7C" w:rsidRPr="00834B27">
        <w:rPr>
          <w:rFonts w:ascii="Calibri" w:hAnsi="Calibri" w:cs="Calibri"/>
          <w:sz w:val="23"/>
          <w:szCs w:val="23"/>
          <w:lang w:val="ro-RO"/>
        </w:rPr>
        <w:t>n vedere c</w:t>
      </w:r>
      <w:r w:rsidR="00D44C65" w:rsidRPr="00834B27">
        <w:rPr>
          <w:rFonts w:ascii="Calibri" w:hAnsi="Calibri" w:cs="Calibri"/>
          <w:sz w:val="23"/>
          <w:szCs w:val="23"/>
          <w:lang w:val="ro-RO"/>
        </w:rPr>
        <w:t>ă</w:t>
      </w:r>
      <w:r w:rsidR="00D62F7C" w:rsidRPr="00834B27">
        <w:rPr>
          <w:rFonts w:ascii="Calibri" w:hAnsi="Calibri" w:cs="Calibri"/>
          <w:sz w:val="23"/>
          <w:szCs w:val="23"/>
          <w:lang w:val="ro-RO"/>
        </w:rPr>
        <w:t xml:space="preserve"> </w:t>
      </w:r>
      <w:r w:rsidR="00D44C65" w:rsidRPr="00834B27">
        <w:rPr>
          <w:rFonts w:ascii="Calibri" w:hAnsi="Calibri" w:cs="Calibri"/>
          <w:sz w:val="23"/>
          <w:szCs w:val="23"/>
          <w:lang w:val="ro-RO"/>
        </w:rPr>
        <w:t>î</w:t>
      </w:r>
      <w:r w:rsidR="00D62F7C" w:rsidRPr="00834B27">
        <w:rPr>
          <w:rFonts w:ascii="Calibri" w:hAnsi="Calibri" w:cs="Calibri"/>
          <w:sz w:val="23"/>
          <w:szCs w:val="23"/>
          <w:lang w:val="ro-RO"/>
        </w:rPr>
        <w:t xml:space="preserve">n D212 sunt declarate doar veniturile din dividende </w:t>
      </w:r>
      <w:r w:rsidR="00D44C65" w:rsidRPr="00834B27">
        <w:rPr>
          <w:rFonts w:ascii="Calibri" w:hAnsi="Calibri" w:cs="Calibri"/>
          <w:sz w:val="23"/>
          <w:szCs w:val="23"/>
          <w:lang w:val="ro-RO"/>
        </w:rPr>
        <w:t>ș</w:t>
      </w:r>
      <w:r w:rsidR="00D62F7C" w:rsidRPr="00834B27">
        <w:rPr>
          <w:rFonts w:ascii="Calibri" w:hAnsi="Calibri" w:cs="Calibri"/>
          <w:sz w:val="23"/>
          <w:szCs w:val="23"/>
          <w:lang w:val="ro-RO"/>
        </w:rPr>
        <w:t xml:space="preserve">i </w:t>
      </w:r>
      <w:r w:rsidR="00636FEF" w:rsidRPr="00834B27">
        <w:rPr>
          <w:rFonts w:ascii="Calibri" w:hAnsi="Calibri" w:cs="Calibri"/>
          <w:sz w:val="23"/>
          <w:szCs w:val="23"/>
          <w:lang w:val="ro-RO"/>
        </w:rPr>
        <w:t>dobânzi</w:t>
      </w:r>
      <w:r w:rsidR="00D62F7C" w:rsidRPr="00834B27">
        <w:rPr>
          <w:rFonts w:ascii="Calibri" w:hAnsi="Calibri" w:cs="Calibri"/>
          <w:sz w:val="23"/>
          <w:szCs w:val="23"/>
          <w:lang w:val="ro-RO"/>
        </w:rPr>
        <w:t xml:space="preserve"> </w:t>
      </w:r>
      <w:r w:rsidR="00636FEF" w:rsidRPr="00834B27">
        <w:rPr>
          <w:rFonts w:ascii="Calibri" w:hAnsi="Calibri" w:cs="Calibri"/>
          <w:sz w:val="23"/>
          <w:szCs w:val="23"/>
          <w:lang w:val="ro-RO"/>
        </w:rPr>
        <w:t>obținute</w:t>
      </w:r>
      <w:r w:rsidR="00D62F7C" w:rsidRPr="00834B27">
        <w:rPr>
          <w:rFonts w:ascii="Calibri" w:hAnsi="Calibri" w:cs="Calibri"/>
          <w:sz w:val="23"/>
          <w:szCs w:val="23"/>
          <w:lang w:val="ro-RO"/>
        </w:rPr>
        <w:t xml:space="preserve"> din </w:t>
      </w:r>
      <w:r w:rsidR="00636FEF" w:rsidRPr="00834B27">
        <w:rPr>
          <w:rFonts w:ascii="Calibri" w:hAnsi="Calibri" w:cs="Calibri"/>
          <w:sz w:val="23"/>
          <w:szCs w:val="23"/>
          <w:lang w:val="ro-RO"/>
        </w:rPr>
        <w:t>străinătate</w:t>
      </w:r>
      <w:r w:rsidR="00D62F7C" w:rsidRPr="00834B27">
        <w:rPr>
          <w:rFonts w:ascii="Calibri" w:hAnsi="Calibri" w:cs="Calibri"/>
          <w:sz w:val="23"/>
          <w:szCs w:val="23"/>
          <w:lang w:val="ro-RO"/>
        </w:rPr>
        <w:t xml:space="preserve"> </w:t>
      </w:r>
      <w:r w:rsidR="00636FEF" w:rsidRPr="00834B27">
        <w:rPr>
          <w:rFonts w:ascii="Calibri" w:hAnsi="Calibri" w:cs="Calibri"/>
          <w:sz w:val="23"/>
          <w:szCs w:val="23"/>
          <w:lang w:val="ro-RO"/>
        </w:rPr>
        <w:t>ș</w:t>
      </w:r>
      <w:r w:rsidR="00D62F7C" w:rsidRPr="00834B27">
        <w:rPr>
          <w:rFonts w:ascii="Calibri" w:hAnsi="Calibri" w:cs="Calibri"/>
          <w:sz w:val="23"/>
          <w:szCs w:val="23"/>
          <w:lang w:val="ro-RO"/>
        </w:rPr>
        <w:t xml:space="preserve">i </w:t>
      </w:r>
      <w:r w:rsidR="00636FEF" w:rsidRPr="00834B27">
        <w:rPr>
          <w:rFonts w:ascii="Calibri" w:hAnsi="Calibri" w:cs="Calibri"/>
          <w:sz w:val="23"/>
          <w:szCs w:val="23"/>
          <w:lang w:val="ro-RO"/>
        </w:rPr>
        <w:t>câștigurile</w:t>
      </w:r>
      <w:r w:rsidR="00D62F7C" w:rsidRPr="00834B27">
        <w:rPr>
          <w:rFonts w:ascii="Calibri" w:hAnsi="Calibri" w:cs="Calibri"/>
          <w:sz w:val="23"/>
          <w:szCs w:val="23"/>
          <w:lang w:val="ro-RO"/>
        </w:rPr>
        <w:t xml:space="preserve"> din transferul titlurilor </w:t>
      </w:r>
      <w:r w:rsidR="00636FEF" w:rsidRPr="00834B27">
        <w:rPr>
          <w:rFonts w:ascii="Calibri" w:hAnsi="Calibri" w:cs="Calibri"/>
          <w:sz w:val="23"/>
          <w:szCs w:val="23"/>
          <w:lang w:val="ro-RO"/>
        </w:rPr>
        <w:t>tranzacționate</w:t>
      </w:r>
      <w:r w:rsidR="00D62F7C" w:rsidRPr="00834B27">
        <w:rPr>
          <w:rFonts w:ascii="Calibri" w:hAnsi="Calibri" w:cs="Calibri"/>
          <w:sz w:val="23"/>
          <w:szCs w:val="23"/>
          <w:lang w:val="ro-RO"/>
        </w:rPr>
        <w:t xml:space="preserve"> prin intermediari </w:t>
      </w:r>
      <w:r w:rsidR="00636FEF" w:rsidRPr="00834B27">
        <w:rPr>
          <w:rFonts w:ascii="Calibri" w:hAnsi="Calibri" w:cs="Calibri"/>
          <w:sz w:val="23"/>
          <w:szCs w:val="23"/>
          <w:lang w:val="ro-RO"/>
        </w:rPr>
        <w:t>străini</w:t>
      </w:r>
      <w:r w:rsidR="00D62F7C" w:rsidRPr="00834B27">
        <w:rPr>
          <w:rFonts w:ascii="Calibri" w:hAnsi="Calibri" w:cs="Calibri"/>
          <w:sz w:val="23"/>
          <w:szCs w:val="23"/>
          <w:lang w:val="ro-RO"/>
        </w:rPr>
        <w:t xml:space="preserve">, </w:t>
      </w:r>
    </w:p>
    <w:p w14:paraId="378E4302" w14:textId="74638B4E" w:rsidR="00D62F7C" w:rsidRPr="00834B27" w:rsidRDefault="00D62F7C" w:rsidP="007862FF">
      <w:pPr>
        <w:pStyle w:val="Listparagraf"/>
        <w:numPr>
          <w:ilvl w:val="0"/>
          <w:numId w:val="56"/>
        </w:numPr>
        <w:jc w:val="both"/>
        <w:rPr>
          <w:rFonts w:ascii="Calibri" w:hAnsi="Calibri" w:cs="Calibri"/>
          <w:sz w:val="23"/>
          <w:szCs w:val="23"/>
          <w:lang w:val="ro-RO"/>
        </w:rPr>
      </w:pPr>
      <w:r w:rsidRPr="00834B27">
        <w:rPr>
          <w:rFonts w:ascii="Calibri" w:hAnsi="Calibri" w:cs="Calibri"/>
          <w:sz w:val="23"/>
          <w:szCs w:val="23"/>
          <w:lang w:val="ro-RO"/>
        </w:rPr>
        <w:t xml:space="preserve">Pornind de la impozitele </w:t>
      </w:r>
      <w:r w:rsidR="00636FEF" w:rsidRPr="00834B27">
        <w:rPr>
          <w:rFonts w:ascii="Calibri" w:hAnsi="Calibri" w:cs="Calibri"/>
          <w:kern w:val="0"/>
          <w:sz w:val="23"/>
          <w:szCs w:val="23"/>
          <w:lang w:val="ro-RO"/>
          <w14:ligatures w14:val="none"/>
        </w:rPr>
        <w:t xml:space="preserve">prevăzute a fi realizate pentru acestea în Legea 341/2023 (BS 2024) pentru impozitul pe aceste tipuri de impozit, am calculat baza de impunere totală prin metoda </w:t>
      </w:r>
      <w:r w:rsidR="00636FEF" w:rsidRPr="00834B27">
        <w:rPr>
          <w:rFonts w:ascii="Calibri" w:hAnsi="Calibri" w:cs="Calibri"/>
          <w:i/>
          <w:iCs/>
          <w:kern w:val="0"/>
          <w:sz w:val="23"/>
          <w:szCs w:val="23"/>
          <w:lang w:val="ro-RO"/>
          <w14:ligatures w14:val="none"/>
        </w:rPr>
        <w:t>gross-up,</w:t>
      </w:r>
      <w:r w:rsidR="00636FEF" w:rsidRPr="00834B27">
        <w:rPr>
          <w:rFonts w:ascii="Calibri" w:hAnsi="Calibri" w:cs="Calibri"/>
          <w:kern w:val="0"/>
          <w:sz w:val="23"/>
          <w:szCs w:val="23"/>
          <w:lang w:val="ro-RO"/>
          <w14:ligatures w14:val="none"/>
        </w:rPr>
        <w:t xml:space="preserve"> considerând impozitul de 8% pentru dividende, 10% pentru dobânzi și luând o rată medie de 2% pentru câștigurile</w:t>
      </w:r>
      <w:r w:rsidRPr="00834B27">
        <w:rPr>
          <w:rFonts w:ascii="Calibri" w:hAnsi="Calibri" w:cs="Calibri"/>
          <w:sz w:val="23"/>
          <w:szCs w:val="23"/>
          <w:lang w:val="ro-RO"/>
        </w:rPr>
        <w:t xml:space="preserve"> de capital. </w:t>
      </w:r>
      <w:r w:rsidR="00636FEF" w:rsidRPr="00834B27">
        <w:rPr>
          <w:rFonts w:ascii="Calibri" w:hAnsi="Calibri" w:cs="Calibri"/>
          <w:kern w:val="0"/>
          <w:sz w:val="23"/>
          <w:szCs w:val="23"/>
          <w:lang w:val="ro-RO"/>
          <w14:ligatures w14:val="none"/>
        </w:rPr>
        <w:t>Având în vedere că veniturile medii în tranșă/numărul de contribuabili în tranșă rezultate din D212 nu sunt relevante (fiind evident concentrate în ultima tranșă) și faptul că nu am primit informații cu privire la sumele reținute la sursă, am făcut propriile estimări.</w:t>
      </w:r>
      <w:r w:rsidRPr="00834B27">
        <w:rPr>
          <w:rFonts w:ascii="Calibri" w:hAnsi="Calibri" w:cs="Calibri"/>
          <w:sz w:val="23"/>
          <w:szCs w:val="23"/>
          <w:lang w:val="ro-RO"/>
        </w:rPr>
        <w:t xml:space="preserve"> Am estimat </w:t>
      </w:r>
      <w:r w:rsidR="00636FEF" w:rsidRPr="00834B27">
        <w:rPr>
          <w:rFonts w:ascii="Calibri" w:hAnsi="Calibri" w:cs="Calibri"/>
          <w:sz w:val="23"/>
          <w:szCs w:val="23"/>
          <w:lang w:val="ro-RO"/>
        </w:rPr>
        <w:t>distribuțiile</w:t>
      </w:r>
      <w:r w:rsidRPr="00834B27">
        <w:rPr>
          <w:rFonts w:ascii="Calibri" w:hAnsi="Calibri" w:cs="Calibri"/>
          <w:sz w:val="23"/>
          <w:szCs w:val="23"/>
          <w:lang w:val="ro-RO"/>
        </w:rPr>
        <w:t xml:space="preserve"> </w:t>
      </w:r>
      <w:r w:rsidR="00636FEF" w:rsidRPr="00834B27">
        <w:rPr>
          <w:rFonts w:ascii="Calibri" w:hAnsi="Calibri" w:cs="Calibri"/>
          <w:sz w:val="23"/>
          <w:szCs w:val="23"/>
          <w:lang w:val="ro-RO"/>
        </w:rPr>
        <w:t>î</w:t>
      </w:r>
      <w:r w:rsidRPr="00834B27">
        <w:rPr>
          <w:rFonts w:ascii="Calibri" w:hAnsi="Calibri" w:cs="Calibri"/>
          <w:sz w:val="23"/>
          <w:szCs w:val="23"/>
          <w:lang w:val="ro-RO"/>
        </w:rPr>
        <w:t xml:space="preserve">n capul de tabel. Am neglijat impactul veniturilor din </w:t>
      </w:r>
      <w:r w:rsidR="00636FEF" w:rsidRPr="00834B27">
        <w:rPr>
          <w:rFonts w:ascii="Calibri" w:hAnsi="Calibri" w:cs="Calibri"/>
          <w:sz w:val="23"/>
          <w:szCs w:val="23"/>
          <w:lang w:val="ro-RO"/>
        </w:rPr>
        <w:t>dobânzi</w:t>
      </w:r>
      <w:r w:rsidRPr="00834B27">
        <w:rPr>
          <w:rFonts w:ascii="Calibri" w:hAnsi="Calibri" w:cs="Calibri"/>
          <w:sz w:val="23"/>
          <w:szCs w:val="23"/>
          <w:lang w:val="ro-RO"/>
        </w:rPr>
        <w:t xml:space="preserve"> </w:t>
      </w:r>
      <w:r w:rsidR="00636FEF" w:rsidRPr="00834B27">
        <w:rPr>
          <w:rFonts w:ascii="Calibri" w:hAnsi="Calibri" w:cs="Calibri"/>
          <w:sz w:val="23"/>
          <w:szCs w:val="23"/>
          <w:lang w:val="ro-RO"/>
        </w:rPr>
        <w:t>obținute</w:t>
      </w:r>
      <w:r w:rsidRPr="00834B27">
        <w:rPr>
          <w:rFonts w:ascii="Calibri" w:hAnsi="Calibri" w:cs="Calibri"/>
          <w:sz w:val="23"/>
          <w:szCs w:val="23"/>
          <w:lang w:val="ro-RO"/>
        </w:rPr>
        <w:t xml:space="preserve"> din </w:t>
      </w:r>
      <w:r w:rsidR="00636FEF" w:rsidRPr="00834B27">
        <w:rPr>
          <w:rFonts w:ascii="Calibri" w:hAnsi="Calibri" w:cs="Calibri"/>
          <w:sz w:val="23"/>
          <w:szCs w:val="23"/>
          <w:lang w:val="ro-RO"/>
        </w:rPr>
        <w:t>străinătate</w:t>
      </w:r>
      <w:r w:rsidRPr="00834B27">
        <w:rPr>
          <w:rFonts w:ascii="Calibri" w:hAnsi="Calibri" w:cs="Calibri"/>
          <w:sz w:val="23"/>
          <w:szCs w:val="23"/>
          <w:lang w:val="ro-RO"/>
        </w:rPr>
        <w:t>, acestea fiind derizorii.</w:t>
      </w:r>
    </w:p>
    <w:p w14:paraId="67AD843B" w14:textId="45C49D3F" w:rsidR="00D62F7C" w:rsidRPr="00834B27" w:rsidRDefault="00D62F7C" w:rsidP="007862FF">
      <w:pPr>
        <w:pStyle w:val="Listparagraf"/>
        <w:numPr>
          <w:ilvl w:val="0"/>
          <w:numId w:val="56"/>
        </w:numPr>
        <w:jc w:val="both"/>
        <w:rPr>
          <w:rFonts w:ascii="Calibri" w:hAnsi="Calibri" w:cs="Calibri"/>
          <w:sz w:val="23"/>
          <w:szCs w:val="23"/>
          <w:lang w:val="ro-RO"/>
        </w:rPr>
      </w:pPr>
      <w:r w:rsidRPr="00834B27">
        <w:rPr>
          <w:rFonts w:ascii="Calibri" w:hAnsi="Calibri" w:cs="Calibri"/>
          <w:sz w:val="23"/>
          <w:szCs w:val="23"/>
          <w:lang w:val="ro-RO"/>
        </w:rPr>
        <w:t>In ceea</w:t>
      </w:r>
      <w:r w:rsidR="00636FEF" w:rsidRPr="00834B27">
        <w:rPr>
          <w:rFonts w:ascii="Calibri" w:hAnsi="Calibri" w:cs="Calibri"/>
          <w:sz w:val="23"/>
          <w:szCs w:val="23"/>
          <w:lang w:val="ro-RO"/>
        </w:rPr>
        <w:t xml:space="preserve"> </w:t>
      </w:r>
      <w:r w:rsidRPr="00834B27">
        <w:rPr>
          <w:rFonts w:ascii="Calibri" w:hAnsi="Calibri" w:cs="Calibri"/>
          <w:sz w:val="23"/>
          <w:szCs w:val="23"/>
          <w:lang w:val="ro-RO"/>
        </w:rPr>
        <w:t>ce prive</w:t>
      </w:r>
      <w:r w:rsidR="00636FEF" w:rsidRPr="00834B27">
        <w:rPr>
          <w:rFonts w:ascii="Calibri" w:hAnsi="Calibri" w:cs="Calibri"/>
          <w:sz w:val="23"/>
          <w:szCs w:val="23"/>
          <w:lang w:val="ro-RO"/>
        </w:rPr>
        <w:t>ș</w:t>
      </w:r>
      <w:r w:rsidRPr="00834B27">
        <w:rPr>
          <w:rFonts w:ascii="Calibri" w:hAnsi="Calibri" w:cs="Calibri"/>
          <w:sz w:val="23"/>
          <w:szCs w:val="23"/>
          <w:lang w:val="ro-RO"/>
        </w:rPr>
        <w:t xml:space="preserve">te veniturile din dividende, pentru impozitele </w:t>
      </w:r>
      <w:r w:rsidR="00636FEF" w:rsidRPr="00834B27">
        <w:rPr>
          <w:rFonts w:ascii="Calibri" w:hAnsi="Calibri" w:cs="Calibri"/>
          <w:sz w:val="23"/>
          <w:szCs w:val="23"/>
          <w:lang w:val="ro-RO"/>
        </w:rPr>
        <w:t>reținute</w:t>
      </w:r>
      <w:r w:rsidRPr="00834B27">
        <w:rPr>
          <w:rFonts w:ascii="Calibri" w:hAnsi="Calibri" w:cs="Calibri"/>
          <w:sz w:val="23"/>
          <w:szCs w:val="23"/>
          <w:lang w:val="ro-RO"/>
        </w:rPr>
        <w:t xml:space="preserve"> la surs</w:t>
      </w:r>
      <w:r w:rsidR="00636FEF" w:rsidRPr="00834B27">
        <w:rPr>
          <w:rFonts w:ascii="Calibri" w:hAnsi="Calibri" w:cs="Calibri"/>
          <w:sz w:val="23"/>
          <w:szCs w:val="23"/>
          <w:lang w:val="ro-RO"/>
        </w:rPr>
        <w:t>ă</w:t>
      </w:r>
      <w:r w:rsidRPr="00834B27">
        <w:rPr>
          <w:rFonts w:ascii="Calibri" w:hAnsi="Calibri" w:cs="Calibri"/>
          <w:sz w:val="23"/>
          <w:szCs w:val="23"/>
          <w:lang w:val="ro-RO"/>
        </w:rPr>
        <w:t>, am calculat veniturile din dividende din Rom</w:t>
      </w:r>
      <w:r w:rsidR="00636FEF" w:rsidRPr="00834B27">
        <w:rPr>
          <w:rFonts w:ascii="Calibri" w:hAnsi="Calibri" w:cs="Calibri"/>
          <w:sz w:val="23"/>
          <w:szCs w:val="23"/>
          <w:lang w:val="ro-RO"/>
        </w:rPr>
        <w:t>â</w:t>
      </w:r>
      <w:r w:rsidRPr="00834B27">
        <w:rPr>
          <w:rFonts w:ascii="Calibri" w:hAnsi="Calibri" w:cs="Calibri"/>
          <w:sz w:val="23"/>
          <w:szCs w:val="23"/>
          <w:lang w:val="ro-RO"/>
        </w:rPr>
        <w:t xml:space="preserve">nia </w:t>
      </w:r>
      <w:r w:rsidR="00636FEF" w:rsidRPr="00834B27">
        <w:rPr>
          <w:rFonts w:ascii="Calibri" w:hAnsi="Calibri" w:cs="Calibri"/>
          <w:sz w:val="23"/>
          <w:szCs w:val="23"/>
          <w:lang w:val="ro-RO"/>
        </w:rPr>
        <w:t>scăzând</w:t>
      </w:r>
      <w:r w:rsidRPr="00834B27">
        <w:rPr>
          <w:rFonts w:ascii="Calibri" w:hAnsi="Calibri" w:cs="Calibri"/>
          <w:sz w:val="23"/>
          <w:szCs w:val="23"/>
          <w:lang w:val="ro-RO"/>
        </w:rPr>
        <w:t xml:space="preserve"> din baza total</w:t>
      </w:r>
      <w:r w:rsidR="00636FEF" w:rsidRPr="00834B27">
        <w:rPr>
          <w:rFonts w:ascii="Calibri" w:hAnsi="Calibri" w:cs="Calibri"/>
          <w:sz w:val="23"/>
          <w:szCs w:val="23"/>
          <w:lang w:val="ro-RO"/>
        </w:rPr>
        <w:t>ă</w:t>
      </w:r>
      <w:r w:rsidRPr="00834B27">
        <w:rPr>
          <w:rFonts w:ascii="Calibri" w:hAnsi="Calibri" w:cs="Calibri"/>
          <w:sz w:val="23"/>
          <w:szCs w:val="23"/>
          <w:lang w:val="ro-RO"/>
        </w:rPr>
        <w:t xml:space="preserve"> de calcul rezultat</w:t>
      </w:r>
      <w:r w:rsidR="00636FEF" w:rsidRPr="00834B27">
        <w:rPr>
          <w:rFonts w:ascii="Calibri" w:hAnsi="Calibri" w:cs="Calibri"/>
          <w:sz w:val="23"/>
          <w:szCs w:val="23"/>
          <w:lang w:val="ro-RO"/>
        </w:rPr>
        <w:t>ă</w:t>
      </w:r>
      <w:r w:rsidRPr="00834B27">
        <w:rPr>
          <w:rFonts w:ascii="Calibri" w:hAnsi="Calibri" w:cs="Calibri"/>
          <w:sz w:val="23"/>
          <w:szCs w:val="23"/>
          <w:lang w:val="ro-RO"/>
        </w:rPr>
        <w:t xml:space="preserve"> prin </w:t>
      </w:r>
      <w:r w:rsidRPr="00834B27">
        <w:rPr>
          <w:rFonts w:ascii="Calibri" w:hAnsi="Calibri" w:cs="Calibri"/>
          <w:i/>
          <w:iCs/>
          <w:sz w:val="23"/>
          <w:szCs w:val="23"/>
          <w:lang w:val="ro-RO"/>
        </w:rPr>
        <w:t>gross-up</w:t>
      </w:r>
      <w:r w:rsidRPr="00834B27">
        <w:rPr>
          <w:rFonts w:ascii="Calibri" w:hAnsi="Calibri" w:cs="Calibri"/>
          <w:sz w:val="23"/>
          <w:szCs w:val="23"/>
          <w:lang w:val="ro-RO"/>
        </w:rPr>
        <w:t xml:space="preserve">, veniturile din dividende primite din </w:t>
      </w:r>
      <w:r w:rsidR="00636FEF" w:rsidRPr="00834B27">
        <w:rPr>
          <w:rFonts w:ascii="Calibri" w:hAnsi="Calibri" w:cs="Calibri"/>
          <w:sz w:val="23"/>
          <w:szCs w:val="23"/>
          <w:lang w:val="ro-RO"/>
        </w:rPr>
        <w:t>străinătate</w:t>
      </w:r>
      <w:r w:rsidRPr="00834B27">
        <w:rPr>
          <w:rFonts w:ascii="Calibri" w:hAnsi="Calibri" w:cs="Calibri"/>
          <w:sz w:val="23"/>
          <w:szCs w:val="23"/>
          <w:lang w:val="ro-RO"/>
        </w:rPr>
        <w:t>, conform D212</w:t>
      </w:r>
    </w:p>
    <w:p w14:paraId="06B6C9D7" w14:textId="76E870E6" w:rsidR="00D62F7C" w:rsidRPr="00834B27" w:rsidRDefault="00D62F7C" w:rsidP="007862FF">
      <w:pPr>
        <w:pStyle w:val="Listparagraf"/>
        <w:numPr>
          <w:ilvl w:val="0"/>
          <w:numId w:val="56"/>
        </w:numPr>
        <w:jc w:val="both"/>
        <w:rPr>
          <w:rFonts w:ascii="Calibri" w:hAnsi="Calibri" w:cs="Calibri"/>
          <w:sz w:val="23"/>
          <w:szCs w:val="23"/>
          <w:lang w:val="ro-RO"/>
        </w:rPr>
      </w:pPr>
      <w:r w:rsidRPr="00834B27">
        <w:rPr>
          <w:rFonts w:ascii="Calibri" w:hAnsi="Calibri" w:cs="Calibri"/>
          <w:sz w:val="23"/>
          <w:szCs w:val="23"/>
          <w:lang w:val="ro-RO"/>
        </w:rPr>
        <w:t xml:space="preserve">Nu am avut </w:t>
      </w:r>
      <w:r w:rsidR="00636FEF" w:rsidRPr="00834B27">
        <w:rPr>
          <w:rFonts w:ascii="Calibri" w:hAnsi="Calibri" w:cs="Calibri"/>
          <w:kern w:val="0"/>
          <w:sz w:val="23"/>
          <w:szCs w:val="23"/>
          <w:lang w:val="ro-RO"/>
          <w14:ligatures w14:val="none"/>
        </w:rPr>
        <w:t>informații privind numărul total de contribuabili care au obținut venituri impuse cu reținere la sursă; am estimat că numărul celor care au obținut astfel de venituri este de câte 600.000 pentru dobânzi și</w:t>
      </w:r>
      <w:r w:rsidRPr="00834B27">
        <w:rPr>
          <w:rFonts w:ascii="Calibri" w:hAnsi="Calibri" w:cs="Calibri"/>
          <w:sz w:val="23"/>
          <w:szCs w:val="23"/>
          <w:lang w:val="ro-RO"/>
        </w:rPr>
        <w:t xml:space="preserve"> dividende.</w:t>
      </w:r>
    </w:p>
    <w:p w14:paraId="2D6A00FE" w14:textId="7C7CFFF9" w:rsidR="00D62F7C" w:rsidRPr="00834B27" w:rsidRDefault="00D62F7C" w:rsidP="007862FF">
      <w:pPr>
        <w:pStyle w:val="Listparagraf"/>
        <w:numPr>
          <w:ilvl w:val="0"/>
          <w:numId w:val="56"/>
        </w:numPr>
        <w:jc w:val="both"/>
        <w:rPr>
          <w:rFonts w:ascii="Calibri" w:hAnsi="Calibri" w:cs="Calibri"/>
          <w:sz w:val="23"/>
          <w:szCs w:val="23"/>
          <w:lang w:val="ro-RO"/>
        </w:rPr>
      </w:pPr>
      <w:r w:rsidRPr="00834B27">
        <w:rPr>
          <w:rFonts w:ascii="Calibri" w:hAnsi="Calibri" w:cs="Calibri"/>
          <w:sz w:val="23"/>
          <w:szCs w:val="23"/>
          <w:lang w:val="ro-RO"/>
        </w:rPr>
        <w:lastRenderedPageBreak/>
        <w:t>Am observat o “</w:t>
      </w:r>
      <w:r w:rsidR="00636FEF" w:rsidRPr="00834B27">
        <w:rPr>
          <w:rFonts w:ascii="Calibri" w:hAnsi="Calibri" w:cs="Calibri"/>
          <w:sz w:val="23"/>
          <w:szCs w:val="23"/>
          <w:lang w:val="ro-RO"/>
        </w:rPr>
        <w:t>ciudățenie</w:t>
      </w:r>
      <w:r w:rsidRPr="00834B27">
        <w:rPr>
          <w:rFonts w:ascii="Calibri" w:hAnsi="Calibri" w:cs="Calibri"/>
          <w:sz w:val="23"/>
          <w:szCs w:val="23"/>
          <w:lang w:val="ro-RO"/>
        </w:rPr>
        <w:t xml:space="preserve">” </w:t>
      </w:r>
      <w:r w:rsidR="00636FEF" w:rsidRPr="00834B27">
        <w:rPr>
          <w:rFonts w:ascii="Calibri" w:hAnsi="Calibri" w:cs="Calibri"/>
          <w:sz w:val="23"/>
          <w:szCs w:val="23"/>
          <w:lang w:val="ro-RO"/>
        </w:rPr>
        <w:t>î</w:t>
      </w:r>
      <w:r w:rsidRPr="00834B27">
        <w:rPr>
          <w:rFonts w:ascii="Calibri" w:hAnsi="Calibri" w:cs="Calibri"/>
          <w:sz w:val="23"/>
          <w:szCs w:val="23"/>
          <w:lang w:val="ro-RO"/>
        </w:rPr>
        <w:t xml:space="preserve">n ceea ce </w:t>
      </w:r>
      <w:r w:rsidR="00636FEF" w:rsidRPr="00834B27">
        <w:rPr>
          <w:rFonts w:ascii="Calibri" w:hAnsi="Calibri" w:cs="Calibri"/>
          <w:sz w:val="23"/>
          <w:szCs w:val="23"/>
          <w:lang w:val="ro-RO"/>
        </w:rPr>
        <w:t>privește</w:t>
      </w:r>
      <w:r w:rsidRPr="00834B27">
        <w:rPr>
          <w:rFonts w:ascii="Calibri" w:hAnsi="Calibri" w:cs="Calibri"/>
          <w:sz w:val="23"/>
          <w:szCs w:val="23"/>
          <w:lang w:val="ro-RO"/>
        </w:rPr>
        <w:t xml:space="preserve"> veniturile din transferul titlurilor de participare. Din D212 </w:t>
      </w:r>
      <w:r w:rsidR="00CC6874" w:rsidRPr="00834B27">
        <w:rPr>
          <w:rFonts w:ascii="Calibri" w:hAnsi="Calibri" w:cs="Calibri"/>
          <w:kern w:val="0"/>
          <w:sz w:val="23"/>
          <w:szCs w:val="23"/>
          <w:lang w:val="ro-RO"/>
          <w14:ligatures w14:val="none"/>
        </w:rPr>
        <w:t>rezultă venituri declarate de aprox. 5 miliarde de lei, dar – pe baza veniturilor din impozitul pe câștigul din transferul de titluri de participare, ceea ce luând în calcul o rată medie de impozitare de 1,5% ne dă</w:t>
      </w:r>
      <w:r w:rsidRPr="00834B27">
        <w:rPr>
          <w:rFonts w:ascii="Calibri" w:hAnsi="Calibri" w:cs="Calibri"/>
          <w:sz w:val="23"/>
          <w:szCs w:val="23"/>
          <w:lang w:val="ro-RO"/>
        </w:rPr>
        <w:t xml:space="preserve"> venituri de doar aprox. 1,2 miliarde de lei pentru </w:t>
      </w:r>
      <w:r w:rsidR="00636FEF" w:rsidRPr="00834B27">
        <w:rPr>
          <w:rFonts w:ascii="Calibri" w:hAnsi="Calibri" w:cs="Calibri"/>
          <w:sz w:val="23"/>
          <w:szCs w:val="23"/>
          <w:lang w:val="ro-RO"/>
        </w:rPr>
        <w:t>câștigurile</w:t>
      </w:r>
      <w:r w:rsidRPr="00834B27">
        <w:rPr>
          <w:rFonts w:ascii="Calibri" w:hAnsi="Calibri" w:cs="Calibri"/>
          <w:sz w:val="23"/>
          <w:szCs w:val="23"/>
          <w:lang w:val="ro-RO"/>
        </w:rPr>
        <w:t xml:space="preserve"> din </w:t>
      </w:r>
      <w:r w:rsidR="00636FEF" w:rsidRPr="00834B27">
        <w:rPr>
          <w:rFonts w:ascii="Calibri" w:hAnsi="Calibri" w:cs="Calibri"/>
          <w:sz w:val="23"/>
          <w:szCs w:val="23"/>
          <w:lang w:val="ro-RO"/>
        </w:rPr>
        <w:t>ț</w:t>
      </w:r>
      <w:r w:rsidRPr="00834B27">
        <w:rPr>
          <w:rFonts w:ascii="Calibri" w:hAnsi="Calibri" w:cs="Calibri"/>
          <w:sz w:val="23"/>
          <w:szCs w:val="23"/>
          <w:lang w:val="ro-RO"/>
        </w:rPr>
        <w:t>ar</w:t>
      </w:r>
      <w:r w:rsidR="00636FEF" w:rsidRPr="00834B27">
        <w:rPr>
          <w:rFonts w:ascii="Calibri" w:hAnsi="Calibri" w:cs="Calibri"/>
          <w:sz w:val="23"/>
          <w:szCs w:val="23"/>
          <w:lang w:val="ro-RO"/>
        </w:rPr>
        <w:t>ă</w:t>
      </w:r>
      <w:r w:rsidRPr="00834B27">
        <w:rPr>
          <w:rFonts w:ascii="Calibri" w:hAnsi="Calibri" w:cs="Calibri"/>
          <w:sz w:val="23"/>
          <w:szCs w:val="23"/>
          <w:lang w:val="ro-RO"/>
        </w:rPr>
        <w:t>. Consider</w:t>
      </w:r>
      <w:r w:rsidR="00636FEF" w:rsidRPr="00834B27">
        <w:rPr>
          <w:rFonts w:ascii="Calibri" w:hAnsi="Calibri" w:cs="Calibri"/>
          <w:sz w:val="23"/>
          <w:szCs w:val="23"/>
          <w:lang w:val="ro-RO"/>
        </w:rPr>
        <w:t>ă</w:t>
      </w:r>
      <w:r w:rsidRPr="00834B27">
        <w:rPr>
          <w:rFonts w:ascii="Calibri" w:hAnsi="Calibri" w:cs="Calibri"/>
          <w:sz w:val="23"/>
          <w:szCs w:val="23"/>
          <w:lang w:val="ro-RO"/>
        </w:rPr>
        <w:t xml:space="preserve">m </w:t>
      </w:r>
      <w:r w:rsidR="00CC6874" w:rsidRPr="00834B27">
        <w:rPr>
          <w:rFonts w:ascii="Calibri" w:hAnsi="Calibri" w:cs="Calibri"/>
          <w:kern w:val="0"/>
          <w:sz w:val="23"/>
          <w:szCs w:val="23"/>
          <w:lang w:val="ro-RO"/>
          <w14:ligatures w14:val="none"/>
        </w:rPr>
        <w:t>că aici avem o posibilă eroare de bugetare, pe care însă nu am analizat-o</w:t>
      </w:r>
      <w:r w:rsidR="008F60B0" w:rsidRPr="00834B27">
        <w:rPr>
          <w:rFonts w:ascii="Calibri" w:hAnsi="Calibri" w:cs="Calibri"/>
          <w:kern w:val="0"/>
          <w:sz w:val="23"/>
          <w:szCs w:val="23"/>
          <w:lang w:val="ro-RO"/>
          <w14:ligatures w14:val="none"/>
        </w:rPr>
        <w:t>,</w:t>
      </w:r>
      <w:r w:rsidR="00CC6874" w:rsidRPr="00834B27">
        <w:rPr>
          <w:rFonts w:ascii="Calibri" w:hAnsi="Calibri" w:cs="Calibri"/>
          <w:kern w:val="0"/>
          <w:sz w:val="23"/>
          <w:szCs w:val="23"/>
          <w:lang w:val="ro-RO"/>
          <w14:ligatures w14:val="none"/>
        </w:rPr>
        <w:t xml:space="preserve"> având în vedere că sumele în discuție au</w:t>
      </w:r>
      <w:r w:rsidR="008F60B0" w:rsidRPr="00834B27">
        <w:rPr>
          <w:rFonts w:ascii="Calibri" w:hAnsi="Calibri" w:cs="Calibri"/>
          <w:kern w:val="0"/>
          <w:sz w:val="23"/>
          <w:szCs w:val="23"/>
          <w:lang w:val="ro-RO"/>
          <w14:ligatures w14:val="none"/>
        </w:rPr>
        <w:t xml:space="preserve"> un</w:t>
      </w:r>
      <w:r w:rsidR="00CC6874" w:rsidRPr="00834B27">
        <w:rPr>
          <w:rFonts w:ascii="Calibri" w:hAnsi="Calibri" w:cs="Calibri"/>
          <w:kern w:val="0"/>
          <w:sz w:val="23"/>
          <w:szCs w:val="23"/>
          <w:lang w:val="ro-RO"/>
          <w14:ligatures w14:val="none"/>
        </w:rPr>
        <w:t xml:space="preserve"> impact nesemnificativ în</w:t>
      </w:r>
      <w:r w:rsidRPr="00834B27">
        <w:rPr>
          <w:rFonts w:ascii="Calibri" w:hAnsi="Calibri" w:cs="Calibri"/>
          <w:sz w:val="23"/>
          <w:szCs w:val="23"/>
          <w:lang w:val="ro-RO"/>
        </w:rPr>
        <w:t xml:space="preserve"> economia studiului.</w:t>
      </w:r>
    </w:p>
    <w:p w14:paraId="56B4D97A" w14:textId="225DF99A" w:rsidR="00D62F7C" w:rsidRPr="00834B27" w:rsidRDefault="00D62F7C" w:rsidP="007862FF">
      <w:pPr>
        <w:jc w:val="both"/>
        <w:rPr>
          <w:rFonts w:ascii="Calibri" w:hAnsi="Calibri" w:cs="Calibri"/>
          <w:sz w:val="23"/>
          <w:szCs w:val="23"/>
          <w:lang w:val="ro-RO"/>
        </w:rPr>
      </w:pPr>
      <w:r w:rsidRPr="00834B27">
        <w:rPr>
          <w:rFonts w:ascii="Calibri" w:hAnsi="Calibri" w:cs="Calibri"/>
          <w:sz w:val="23"/>
          <w:szCs w:val="23"/>
          <w:lang w:val="ro-RO"/>
        </w:rPr>
        <w:t xml:space="preserve">Am primit </w:t>
      </w:r>
      <w:r w:rsidR="00CC6874" w:rsidRPr="00834B27">
        <w:rPr>
          <w:rFonts w:ascii="Calibri" w:hAnsi="Calibri" w:cs="Calibri"/>
          <w:kern w:val="0"/>
          <w:sz w:val="23"/>
          <w:szCs w:val="23"/>
          <w:lang w:val="ro-RO"/>
          <w14:ligatures w14:val="none"/>
        </w:rPr>
        <w:t>și informații cu privire la distribuția veniturilor din agricultură, silvicultură și piscicultură.</w:t>
      </w:r>
      <w:r w:rsidRPr="00834B27">
        <w:rPr>
          <w:rFonts w:ascii="Calibri" w:hAnsi="Calibri" w:cs="Calibri"/>
          <w:sz w:val="23"/>
          <w:szCs w:val="23"/>
          <w:lang w:val="ro-RO"/>
        </w:rPr>
        <w:t xml:space="preserve"> </w:t>
      </w:r>
      <w:r w:rsidR="00CC6874" w:rsidRPr="00834B27">
        <w:rPr>
          <w:rFonts w:ascii="Calibri" w:hAnsi="Calibri" w:cs="Calibri"/>
          <w:kern w:val="0"/>
          <w:sz w:val="23"/>
          <w:szCs w:val="23"/>
          <w:lang w:val="ro-RO"/>
          <w14:ligatures w14:val="none"/>
        </w:rPr>
        <w:t>Deși numărul de contribuabili care declară acest tip de venituri este relativ important (puțin sub 160.000), nivelul total al veniturilor este de doar aproximativ 700 de milioane de lei, imensa majoritate (150.000 de contribuabili/381 de milioane de lei veniți impozabili) înregistrând venituri sub 6 salarii minime/an (venit mediu impozabil 2.434 lei/an, adică 200 lei/lună!!!).</w:t>
      </w:r>
    </w:p>
    <w:p w14:paraId="730808EA" w14:textId="5FDDF9CF" w:rsidR="00D62F7C" w:rsidRPr="00834B27" w:rsidRDefault="00D62F7C" w:rsidP="007862FF">
      <w:pPr>
        <w:jc w:val="both"/>
        <w:rPr>
          <w:rFonts w:ascii="Calibri" w:hAnsi="Calibri" w:cs="Calibri"/>
          <w:sz w:val="23"/>
          <w:szCs w:val="23"/>
          <w:lang w:val="ro-RO"/>
        </w:rPr>
      </w:pPr>
      <w:r w:rsidRPr="00834B27">
        <w:rPr>
          <w:rFonts w:ascii="Calibri" w:hAnsi="Calibri" w:cs="Calibri"/>
          <w:sz w:val="23"/>
          <w:szCs w:val="23"/>
          <w:lang w:val="ro-RO"/>
        </w:rPr>
        <w:t xml:space="preserve">Pentru pensii, am avut </w:t>
      </w:r>
      <w:r w:rsidR="00CC6874" w:rsidRPr="00834B27">
        <w:rPr>
          <w:rFonts w:ascii="Calibri" w:hAnsi="Calibri" w:cs="Calibri"/>
          <w:kern w:val="0"/>
          <w:sz w:val="23"/>
          <w:szCs w:val="23"/>
          <w:lang w:val="ro-RO"/>
          <w14:ligatures w14:val="none"/>
        </w:rPr>
        <w:t>distribuția acestora până la 5.000 lei/lună, fără însă să avem și pensia medie în tranșă, pe care am calculat-o ca fiind media tranșei, cu excepția primei (750 lei) și</w:t>
      </w:r>
      <w:r w:rsidRPr="00834B27">
        <w:rPr>
          <w:rFonts w:ascii="Calibri" w:hAnsi="Calibri" w:cs="Calibri"/>
          <w:sz w:val="23"/>
          <w:szCs w:val="23"/>
          <w:lang w:val="ro-RO"/>
        </w:rPr>
        <w:t xml:space="preserve"> ultimei (7.500 lei).</w:t>
      </w:r>
    </w:p>
    <w:p w14:paraId="164AF2EB" w14:textId="03B7956C" w:rsidR="00D62F7C" w:rsidRPr="00834B27" w:rsidRDefault="00D62F7C" w:rsidP="007862FF">
      <w:pPr>
        <w:jc w:val="both"/>
        <w:rPr>
          <w:rFonts w:ascii="Calibri" w:hAnsi="Calibri" w:cs="Calibri"/>
          <w:sz w:val="23"/>
          <w:szCs w:val="23"/>
          <w:lang w:val="ro-RO"/>
        </w:rPr>
      </w:pPr>
      <w:r w:rsidRPr="00834B27">
        <w:rPr>
          <w:rFonts w:ascii="Calibri" w:hAnsi="Calibri" w:cs="Calibri"/>
          <w:sz w:val="23"/>
          <w:szCs w:val="23"/>
          <w:lang w:val="ro-RO"/>
        </w:rPr>
        <w:t xml:space="preserve">Pentru pensiile sub 1.000 </w:t>
      </w:r>
      <w:r w:rsidR="00CC6874" w:rsidRPr="00834B27">
        <w:rPr>
          <w:rFonts w:ascii="Calibri" w:hAnsi="Calibri" w:cs="Calibri"/>
          <w:kern w:val="0"/>
          <w:sz w:val="23"/>
          <w:szCs w:val="23"/>
          <w:lang w:val="ro-RO"/>
          <w14:ligatures w14:val="none"/>
        </w:rPr>
        <w:t>de lei, am aproximat distribuția acestora sub 810 lei și cele între 810 și 1.000 de lei.</w:t>
      </w:r>
    </w:p>
    <w:p w14:paraId="5455E93A" w14:textId="46E5976B" w:rsidR="00D62F7C" w:rsidRPr="00834B27" w:rsidRDefault="00D62F7C" w:rsidP="007862FF">
      <w:pPr>
        <w:jc w:val="both"/>
        <w:rPr>
          <w:rFonts w:ascii="Calibri" w:hAnsi="Calibri" w:cs="Calibri"/>
          <w:sz w:val="23"/>
          <w:szCs w:val="23"/>
          <w:lang w:val="ro-RO"/>
        </w:rPr>
      </w:pPr>
      <w:r w:rsidRPr="00834B27">
        <w:rPr>
          <w:rFonts w:ascii="Calibri" w:hAnsi="Calibri" w:cs="Calibri"/>
          <w:sz w:val="23"/>
          <w:szCs w:val="23"/>
          <w:lang w:val="ro-RO"/>
        </w:rPr>
        <w:t xml:space="preserve">Pentru a calcula </w:t>
      </w:r>
      <w:r w:rsidR="00CC6874" w:rsidRPr="00834B27">
        <w:rPr>
          <w:rFonts w:ascii="Calibri" w:hAnsi="Calibri" w:cs="Calibri"/>
          <w:sz w:val="23"/>
          <w:szCs w:val="23"/>
          <w:lang w:val="ro-RO"/>
        </w:rPr>
        <w:t>distribuția</w:t>
      </w:r>
      <w:r w:rsidRPr="00834B27">
        <w:rPr>
          <w:rFonts w:ascii="Calibri" w:hAnsi="Calibri" w:cs="Calibri"/>
          <w:sz w:val="23"/>
          <w:szCs w:val="23"/>
          <w:lang w:val="ro-RO"/>
        </w:rPr>
        <w:t xml:space="preserve"> pensiilor peste 5.000 lei, am aproximat </w:t>
      </w:r>
      <w:r w:rsidR="00CC6874" w:rsidRPr="00834B27">
        <w:rPr>
          <w:rFonts w:ascii="Calibri" w:hAnsi="Calibri" w:cs="Calibri"/>
          <w:sz w:val="23"/>
          <w:szCs w:val="23"/>
          <w:lang w:val="ro-RO"/>
        </w:rPr>
        <w:t>ținând</w:t>
      </w:r>
      <w:r w:rsidRPr="00834B27">
        <w:rPr>
          <w:rFonts w:ascii="Calibri" w:hAnsi="Calibri" w:cs="Calibri"/>
          <w:sz w:val="23"/>
          <w:szCs w:val="23"/>
          <w:lang w:val="ro-RO"/>
        </w:rPr>
        <w:t xml:space="preserve"> cont de pasul de </w:t>
      </w:r>
      <w:r w:rsidR="00CC6874" w:rsidRPr="00834B27">
        <w:rPr>
          <w:rFonts w:ascii="Calibri" w:hAnsi="Calibri" w:cs="Calibri"/>
          <w:sz w:val="23"/>
          <w:szCs w:val="23"/>
          <w:lang w:val="ro-RO"/>
        </w:rPr>
        <w:t>scădere</w:t>
      </w:r>
      <w:r w:rsidRPr="00834B27">
        <w:rPr>
          <w:rFonts w:ascii="Calibri" w:hAnsi="Calibri" w:cs="Calibri"/>
          <w:sz w:val="23"/>
          <w:szCs w:val="23"/>
          <w:lang w:val="ro-RO"/>
        </w:rPr>
        <w:t xml:space="preserve"> al </w:t>
      </w:r>
      <w:r w:rsidR="00CC6874" w:rsidRPr="00834B27">
        <w:rPr>
          <w:rFonts w:ascii="Calibri" w:hAnsi="Calibri" w:cs="Calibri"/>
          <w:sz w:val="23"/>
          <w:szCs w:val="23"/>
          <w:lang w:val="ro-RO"/>
        </w:rPr>
        <w:t>numărului</w:t>
      </w:r>
      <w:r w:rsidRPr="00834B27">
        <w:rPr>
          <w:rFonts w:ascii="Calibri" w:hAnsi="Calibri" w:cs="Calibri"/>
          <w:sz w:val="23"/>
          <w:szCs w:val="23"/>
          <w:lang w:val="ro-RO"/>
        </w:rPr>
        <w:t xml:space="preserve"> in transele anterioare:</w:t>
      </w:r>
    </w:p>
    <w:p w14:paraId="7EE13753" w14:textId="5C7C6C19" w:rsidR="00D62F7C" w:rsidRPr="00834B27" w:rsidRDefault="00CC6874" w:rsidP="007862FF">
      <w:pPr>
        <w:pStyle w:val="Listparagraf"/>
        <w:numPr>
          <w:ilvl w:val="0"/>
          <w:numId w:val="56"/>
        </w:numPr>
        <w:jc w:val="both"/>
        <w:rPr>
          <w:rFonts w:ascii="Calibri" w:hAnsi="Calibri" w:cs="Calibri"/>
          <w:sz w:val="23"/>
          <w:szCs w:val="23"/>
          <w:lang w:val="ro-RO"/>
        </w:rPr>
      </w:pPr>
      <w:r w:rsidRPr="00834B27">
        <w:rPr>
          <w:rFonts w:ascii="Calibri" w:hAnsi="Calibri" w:cs="Calibri"/>
          <w:sz w:val="23"/>
          <w:szCs w:val="23"/>
          <w:lang w:val="ro-RO"/>
        </w:rPr>
        <w:t>î</w:t>
      </w:r>
      <w:r w:rsidR="00D62F7C" w:rsidRPr="00834B27">
        <w:rPr>
          <w:rFonts w:ascii="Calibri" w:hAnsi="Calibri" w:cs="Calibri"/>
          <w:sz w:val="23"/>
          <w:szCs w:val="23"/>
          <w:lang w:val="ro-RO"/>
        </w:rPr>
        <w:t xml:space="preserve">ntre 5.000 </w:t>
      </w:r>
      <w:r w:rsidRPr="00834B27">
        <w:rPr>
          <w:rFonts w:ascii="Calibri" w:hAnsi="Calibri" w:cs="Calibri"/>
          <w:sz w:val="23"/>
          <w:szCs w:val="23"/>
          <w:lang w:val="ro-RO"/>
        </w:rPr>
        <w:t>ș</w:t>
      </w:r>
      <w:r w:rsidR="00D62F7C" w:rsidRPr="00834B27">
        <w:rPr>
          <w:rFonts w:ascii="Calibri" w:hAnsi="Calibri" w:cs="Calibri"/>
          <w:sz w:val="23"/>
          <w:szCs w:val="23"/>
          <w:lang w:val="ro-RO"/>
        </w:rPr>
        <w:t>i 5.500 lei – 170.000</w:t>
      </w:r>
    </w:p>
    <w:p w14:paraId="21146284" w14:textId="7775CDE6" w:rsidR="00D62F7C" w:rsidRPr="00834B27" w:rsidRDefault="00CC6874" w:rsidP="007862FF">
      <w:pPr>
        <w:pStyle w:val="Listparagraf"/>
        <w:numPr>
          <w:ilvl w:val="0"/>
          <w:numId w:val="56"/>
        </w:numPr>
        <w:jc w:val="both"/>
        <w:rPr>
          <w:rFonts w:ascii="Calibri" w:hAnsi="Calibri" w:cs="Calibri"/>
          <w:sz w:val="23"/>
          <w:szCs w:val="23"/>
          <w:lang w:val="ro-RO"/>
        </w:rPr>
      </w:pPr>
      <w:r w:rsidRPr="00834B27">
        <w:rPr>
          <w:rFonts w:ascii="Calibri" w:hAnsi="Calibri" w:cs="Calibri"/>
          <w:sz w:val="23"/>
          <w:szCs w:val="23"/>
          <w:lang w:val="ro-RO"/>
        </w:rPr>
        <w:t>î</w:t>
      </w:r>
      <w:r w:rsidR="00D62F7C" w:rsidRPr="00834B27">
        <w:rPr>
          <w:rFonts w:ascii="Calibri" w:hAnsi="Calibri" w:cs="Calibri"/>
          <w:sz w:val="23"/>
          <w:szCs w:val="23"/>
          <w:lang w:val="ro-RO"/>
        </w:rPr>
        <w:t xml:space="preserve">ntre 5.510 </w:t>
      </w:r>
      <w:r w:rsidRPr="00834B27">
        <w:rPr>
          <w:rFonts w:ascii="Calibri" w:hAnsi="Calibri" w:cs="Calibri"/>
          <w:sz w:val="23"/>
          <w:szCs w:val="23"/>
          <w:lang w:val="ro-RO"/>
        </w:rPr>
        <w:t>ș</w:t>
      </w:r>
      <w:r w:rsidR="00D62F7C" w:rsidRPr="00834B27">
        <w:rPr>
          <w:rFonts w:ascii="Calibri" w:hAnsi="Calibri" w:cs="Calibri"/>
          <w:sz w:val="23"/>
          <w:szCs w:val="23"/>
          <w:lang w:val="ro-RO"/>
        </w:rPr>
        <w:t>i 6.050 lei – 140.000</w:t>
      </w:r>
    </w:p>
    <w:p w14:paraId="26142311" w14:textId="511A71FF" w:rsidR="00D62F7C" w:rsidRPr="00834B27" w:rsidRDefault="00D62F7C" w:rsidP="007862FF">
      <w:pPr>
        <w:pStyle w:val="Listparagraf"/>
        <w:numPr>
          <w:ilvl w:val="0"/>
          <w:numId w:val="56"/>
        </w:numPr>
        <w:jc w:val="both"/>
        <w:rPr>
          <w:rFonts w:ascii="Calibri" w:hAnsi="Calibri" w:cs="Calibri"/>
          <w:sz w:val="23"/>
          <w:szCs w:val="23"/>
          <w:lang w:val="ro-RO"/>
        </w:rPr>
      </w:pPr>
      <w:r w:rsidRPr="00834B27">
        <w:rPr>
          <w:rFonts w:ascii="Calibri" w:hAnsi="Calibri" w:cs="Calibri"/>
          <w:sz w:val="23"/>
          <w:szCs w:val="23"/>
          <w:lang w:val="ro-RO"/>
        </w:rPr>
        <w:t xml:space="preserve">Peste 6.050 – </w:t>
      </w:r>
      <w:r w:rsidR="00CC6874" w:rsidRPr="00834B27">
        <w:rPr>
          <w:rFonts w:ascii="Calibri" w:hAnsi="Calibri" w:cs="Calibri"/>
          <w:sz w:val="23"/>
          <w:szCs w:val="23"/>
          <w:lang w:val="ro-RO"/>
        </w:rPr>
        <w:t>diferența</w:t>
      </w:r>
      <w:r w:rsidRPr="00834B27">
        <w:rPr>
          <w:rFonts w:ascii="Calibri" w:hAnsi="Calibri" w:cs="Calibri"/>
          <w:sz w:val="23"/>
          <w:szCs w:val="23"/>
          <w:lang w:val="ro-RO"/>
        </w:rPr>
        <w:t xml:space="preserve"> de 191.094;</w:t>
      </w:r>
    </w:p>
    <w:p w14:paraId="6D921718" w14:textId="7A00C87E" w:rsidR="00D62F7C" w:rsidRPr="00834B27" w:rsidRDefault="00D62F7C" w:rsidP="007862FF">
      <w:pPr>
        <w:pStyle w:val="Listparagraf"/>
        <w:numPr>
          <w:ilvl w:val="0"/>
          <w:numId w:val="56"/>
        </w:numPr>
        <w:jc w:val="both"/>
        <w:rPr>
          <w:rFonts w:ascii="Calibri" w:hAnsi="Calibri" w:cs="Calibri"/>
          <w:sz w:val="23"/>
          <w:szCs w:val="23"/>
          <w:lang w:val="ro-RO"/>
        </w:rPr>
      </w:pPr>
      <w:r w:rsidRPr="00834B27">
        <w:rPr>
          <w:rFonts w:ascii="Calibri" w:hAnsi="Calibri" w:cs="Calibri"/>
          <w:sz w:val="23"/>
          <w:szCs w:val="23"/>
          <w:lang w:val="ro-RO"/>
        </w:rPr>
        <w:t>Pentru ultima tran</w:t>
      </w:r>
      <w:r w:rsidR="00CC6874" w:rsidRPr="00834B27">
        <w:rPr>
          <w:rFonts w:ascii="Calibri" w:hAnsi="Calibri" w:cs="Calibri"/>
          <w:sz w:val="23"/>
          <w:szCs w:val="23"/>
          <w:lang w:val="ro-RO"/>
        </w:rPr>
        <w:t>șă</w:t>
      </w:r>
      <w:r w:rsidRPr="00834B27">
        <w:rPr>
          <w:rFonts w:ascii="Calibri" w:hAnsi="Calibri" w:cs="Calibri"/>
          <w:sz w:val="23"/>
          <w:szCs w:val="23"/>
          <w:lang w:val="ro-RO"/>
        </w:rPr>
        <w:t xml:space="preserve"> (&gt;6.050 lei), am aproximat un venit mediu de 7.500 lei.</w:t>
      </w:r>
    </w:p>
    <w:p w14:paraId="188CDE58" w14:textId="5C801551" w:rsidR="00D62F7C" w:rsidRPr="00834B27" w:rsidRDefault="00D62F7C" w:rsidP="007862FF">
      <w:pPr>
        <w:jc w:val="both"/>
        <w:rPr>
          <w:rFonts w:ascii="Calibri" w:hAnsi="Calibri" w:cs="Calibri"/>
          <w:sz w:val="23"/>
          <w:szCs w:val="23"/>
          <w:lang w:val="ro-RO"/>
        </w:rPr>
      </w:pPr>
      <w:r w:rsidRPr="00834B27">
        <w:rPr>
          <w:rFonts w:ascii="Calibri" w:hAnsi="Calibri" w:cs="Calibri"/>
          <w:sz w:val="23"/>
          <w:szCs w:val="23"/>
          <w:lang w:val="ro-RO"/>
        </w:rPr>
        <w:t xml:space="preserve">Am calculat impactul </w:t>
      </w:r>
      <w:r w:rsidR="00CC6874" w:rsidRPr="00834B27">
        <w:rPr>
          <w:rFonts w:ascii="Calibri" w:hAnsi="Calibri" w:cs="Calibri"/>
          <w:sz w:val="23"/>
          <w:szCs w:val="23"/>
          <w:lang w:val="ro-RO"/>
        </w:rPr>
        <w:t>aplicării</w:t>
      </w:r>
      <w:r w:rsidRPr="00834B27">
        <w:rPr>
          <w:rFonts w:ascii="Calibri" w:hAnsi="Calibri" w:cs="Calibri"/>
          <w:sz w:val="23"/>
          <w:szCs w:val="23"/>
          <w:lang w:val="ro-RO"/>
        </w:rPr>
        <w:t xml:space="preserve"> </w:t>
      </w:r>
      <w:r w:rsidR="00CC6874" w:rsidRPr="00834B27">
        <w:rPr>
          <w:rFonts w:ascii="Calibri" w:hAnsi="Calibri" w:cs="Calibri"/>
          <w:sz w:val="23"/>
          <w:szCs w:val="23"/>
          <w:lang w:val="ro-RO"/>
        </w:rPr>
        <w:t>aceluiași</w:t>
      </w:r>
      <w:r w:rsidRPr="00834B27">
        <w:rPr>
          <w:rFonts w:ascii="Calibri" w:hAnsi="Calibri" w:cs="Calibri"/>
          <w:sz w:val="23"/>
          <w:szCs w:val="23"/>
          <w:lang w:val="ro-RO"/>
        </w:rPr>
        <w:t xml:space="preserve"> mod de calcul al CASS si IV ca </w:t>
      </w:r>
      <w:r w:rsidR="00CC6874" w:rsidRPr="00834B27">
        <w:rPr>
          <w:rFonts w:ascii="Calibri" w:hAnsi="Calibri" w:cs="Calibri"/>
          <w:sz w:val="23"/>
          <w:szCs w:val="23"/>
          <w:lang w:val="ro-RO"/>
        </w:rPr>
        <w:t>î</w:t>
      </w:r>
      <w:r w:rsidRPr="00834B27">
        <w:rPr>
          <w:rFonts w:ascii="Calibri" w:hAnsi="Calibri" w:cs="Calibri"/>
          <w:sz w:val="23"/>
          <w:szCs w:val="23"/>
          <w:lang w:val="ro-RO"/>
        </w:rPr>
        <w:t xml:space="preserve">n cazul salariilor, </w:t>
      </w:r>
      <w:r w:rsidR="00CC6874" w:rsidRPr="00834B27">
        <w:rPr>
          <w:rFonts w:ascii="Calibri" w:hAnsi="Calibri" w:cs="Calibri"/>
          <w:sz w:val="23"/>
          <w:szCs w:val="23"/>
          <w:lang w:val="ro-RO"/>
        </w:rPr>
        <w:t>î</w:t>
      </w:r>
      <w:r w:rsidRPr="00834B27">
        <w:rPr>
          <w:rFonts w:ascii="Calibri" w:hAnsi="Calibri" w:cs="Calibri"/>
          <w:sz w:val="23"/>
          <w:szCs w:val="23"/>
          <w:lang w:val="ro-RO"/>
        </w:rPr>
        <w:t xml:space="preserve">n 2 scenarii: </w:t>
      </w:r>
    </w:p>
    <w:p w14:paraId="6F3A9BB9" w14:textId="44816DD6" w:rsidR="00D62F7C" w:rsidRPr="00834B27" w:rsidRDefault="00D62F7C" w:rsidP="007862FF">
      <w:pPr>
        <w:pStyle w:val="Listparagraf"/>
        <w:numPr>
          <w:ilvl w:val="0"/>
          <w:numId w:val="56"/>
        </w:numPr>
        <w:jc w:val="both"/>
        <w:rPr>
          <w:rFonts w:ascii="Calibri" w:hAnsi="Calibri" w:cs="Calibri"/>
          <w:sz w:val="23"/>
          <w:szCs w:val="23"/>
          <w:lang w:val="ro-RO"/>
        </w:rPr>
      </w:pPr>
      <w:r w:rsidRPr="00834B27">
        <w:rPr>
          <w:rFonts w:ascii="Calibri" w:hAnsi="Calibri" w:cs="Calibri"/>
          <w:sz w:val="23"/>
          <w:szCs w:val="23"/>
          <w:lang w:val="ro-RO"/>
        </w:rPr>
        <w:t>Suma neimpozabil</w:t>
      </w:r>
      <w:r w:rsidR="00CC6874" w:rsidRPr="00834B27">
        <w:rPr>
          <w:rFonts w:ascii="Calibri" w:hAnsi="Calibri" w:cs="Calibri"/>
          <w:sz w:val="23"/>
          <w:szCs w:val="23"/>
          <w:lang w:val="ro-RO"/>
        </w:rPr>
        <w:t>ă</w:t>
      </w:r>
      <w:r w:rsidRPr="00834B27">
        <w:rPr>
          <w:rFonts w:ascii="Calibri" w:hAnsi="Calibri" w:cs="Calibri"/>
          <w:sz w:val="23"/>
          <w:szCs w:val="23"/>
          <w:lang w:val="ro-RO"/>
        </w:rPr>
        <w:t xml:space="preserve"> egal</w:t>
      </w:r>
      <w:r w:rsidR="00CC6874" w:rsidRPr="00834B27">
        <w:rPr>
          <w:rFonts w:ascii="Calibri" w:hAnsi="Calibri" w:cs="Calibri"/>
          <w:sz w:val="23"/>
          <w:szCs w:val="23"/>
          <w:lang w:val="ro-RO"/>
        </w:rPr>
        <w:t>ă</w:t>
      </w:r>
      <w:r w:rsidRPr="00834B27">
        <w:rPr>
          <w:rFonts w:ascii="Calibri" w:hAnsi="Calibri" w:cs="Calibri"/>
          <w:sz w:val="23"/>
          <w:szCs w:val="23"/>
          <w:lang w:val="ro-RO"/>
        </w:rPr>
        <w:t xml:space="preserve"> cu DP pentru un angajat f</w:t>
      </w:r>
      <w:r w:rsidR="00CC6874" w:rsidRPr="00834B27">
        <w:rPr>
          <w:rFonts w:ascii="Calibri" w:hAnsi="Calibri" w:cs="Calibri"/>
          <w:sz w:val="23"/>
          <w:szCs w:val="23"/>
          <w:lang w:val="ro-RO"/>
        </w:rPr>
        <w:t>ără</w:t>
      </w:r>
      <w:r w:rsidRPr="00834B27">
        <w:rPr>
          <w:rFonts w:ascii="Calibri" w:hAnsi="Calibri" w:cs="Calibri"/>
          <w:sz w:val="23"/>
          <w:szCs w:val="23"/>
          <w:lang w:val="ro-RO"/>
        </w:rPr>
        <w:t xml:space="preserve"> persoane </w:t>
      </w:r>
      <w:r w:rsidR="00CC6874" w:rsidRPr="00834B27">
        <w:rPr>
          <w:rFonts w:ascii="Calibri" w:hAnsi="Calibri" w:cs="Calibri"/>
          <w:sz w:val="23"/>
          <w:szCs w:val="23"/>
          <w:lang w:val="ro-RO"/>
        </w:rPr>
        <w:t>î</w:t>
      </w:r>
      <w:r w:rsidRPr="00834B27">
        <w:rPr>
          <w:rFonts w:ascii="Calibri" w:hAnsi="Calibri" w:cs="Calibri"/>
          <w:sz w:val="23"/>
          <w:szCs w:val="23"/>
          <w:lang w:val="ro-RO"/>
        </w:rPr>
        <w:t xml:space="preserve">n </w:t>
      </w:r>
      <w:r w:rsidR="00CC6874" w:rsidRPr="00834B27">
        <w:rPr>
          <w:rFonts w:ascii="Calibri" w:hAnsi="Calibri" w:cs="Calibri"/>
          <w:sz w:val="23"/>
          <w:szCs w:val="23"/>
          <w:lang w:val="ro-RO"/>
        </w:rPr>
        <w:t>întreț</w:t>
      </w:r>
      <w:r w:rsidRPr="00834B27">
        <w:rPr>
          <w:rFonts w:ascii="Calibri" w:hAnsi="Calibri" w:cs="Calibri"/>
          <w:sz w:val="23"/>
          <w:szCs w:val="23"/>
          <w:lang w:val="ro-RO"/>
        </w:rPr>
        <w:t>inere (4050*20%=810 lei).</w:t>
      </w:r>
    </w:p>
    <w:p w14:paraId="36750C88" w14:textId="7A1C7B10" w:rsidR="00D62F7C" w:rsidRPr="00834B27" w:rsidRDefault="00D62F7C" w:rsidP="007862FF">
      <w:pPr>
        <w:pStyle w:val="Listparagraf"/>
        <w:numPr>
          <w:ilvl w:val="0"/>
          <w:numId w:val="56"/>
        </w:numPr>
        <w:jc w:val="both"/>
        <w:rPr>
          <w:rFonts w:ascii="Calibri" w:hAnsi="Calibri" w:cs="Calibri"/>
          <w:sz w:val="23"/>
          <w:szCs w:val="23"/>
          <w:lang w:val="ro-RO"/>
        </w:rPr>
      </w:pPr>
      <w:r w:rsidRPr="00834B27">
        <w:rPr>
          <w:rFonts w:ascii="Calibri" w:hAnsi="Calibri" w:cs="Calibri"/>
          <w:sz w:val="23"/>
          <w:szCs w:val="23"/>
          <w:lang w:val="ro-RO"/>
        </w:rPr>
        <w:t>Suma neimpozabil</w:t>
      </w:r>
      <w:r w:rsidR="00CC6874" w:rsidRPr="00834B27">
        <w:rPr>
          <w:rFonts w:ascii="Calibri" w:hAnsi="Calibri" w:cs="Calibri"/>
          <w:sz w:val="23"/>
          <w:szCs w:val="23"/>
          <w:lang w:val="ro-RO"/>
        </w:rPr>
        <w:t>ă</w:t>
      </w:r>
      <w:r w:rsidRPr="00834B27">
        <w:rPr>
          <w:rFonts w:ascii="Calibri" w:hAnsi="Calibri" w:cs="Calibri"/>
          <w:sz w:val="23"/>
          <w:szCs w:val="23"/>
          <w:lang w:val="ro-RO"/>
        </w:rPr>
        <w:t xml:space="preserve"> egal</w:t>
      </w:r>
      <w:r w:rsidR="00CC6874" w:rsidRPr="00834B27">
        <w:rPr>
          <w:rFonts w:ascii="Calibri" w:hAnsi="Calibri" w:cs="Calibri"/>
          <w:sz w:val="23"/>
          <w:szCs w:val="23"/>
          <w:lang w:val="ro-RO"/>
        </w:rPr>
        <w:t>ă</w:t>
      </w:r>
      <w:r w:rsidRPr="00834B27">
        <w:rPr>
          <w:rFonts w:ascii="Calibri" w:hAnsi="Calibri" w:cs="Calibri"/>
          <w:sz w:val="23"/>
          <w:szCs w:val="23"/>
          <w:lang w:val="ro-RO"/>
        </w:rPr>
        <w:t xml:space="preserve"> cu DP maxim</w:t>
      </w:r>
      <w:r w:rsidR="00CC6874" w:rsidRPr="00834B27">
        <w:rPr>
          <w:rFonts w:ascii="Calibri" w:hAnsi="Calibri" w:cs="Calibri"/>
          <w:sz w:val="23"/>
          <w:szCs w:val="23"/>
          <w:lang w:val="ro-RO"/>
        </w:rPr>
        <w:t>ă</w:t>
      </w:r>
      <w:r w:rsidRPr="00834B27">
        <w:rPr>
          <w:rFonts w:ascii="Calibri" w:hAnsi="Calibri" w:cs="Calibri"/>
          <w:sz w:val="23"/>
          <w:szCs w:val="23"/>
          <w:lang w:val="ro-RO"/>
        </w:rPr>
        <w:t xml:space="preserve">, pentru </w:t>
      </w:r>
      <w:r w:rsidR="00CC6874" w:rsidRPr="00834B27">
        <w:rPr>
          <w:rFonts w:ascii="Calibri" w:hAnsi="Calibri" w:cs="Calibri"/>
          <w:sz w:val="23"/>
          <w:szCs w:val="23"/>
          <w:lang w:val="ro-RO"/>
        </w:rPr>
        <w:t>angajații</w:t>
      </w:r>
      <w:r w:rsidRPr="00834B27">
        <w:rPr>
          <w:rFonts w:ascii="Calibri" w:hAnsi="Calibri" w:cs="Calibri"/>
          <w:sz w:val="23"/>
          <w:szCs w:val="23"/>
          <w:lang w:val="ro-RO"/>
        </w:rPr>
        <w:t xml:space="preserve"> cu 4 sau mai multe persoane </w:t>
      </w:r>
      <w:r w:rsidR="00CC6874" w:rsidRPr="00834B27">
        <w:rPr>
          <w:rFonts w:ascii="Calibri" w:hAnsi="Calibri" w:cs="Calibri"/>
          <w:sz w:val="23"/>
          <w:szCs w:val="23"/>
          <w:lang w:val="ro-RO"/>
        </w:rPr>
        <w:t>î</w:t>
      </w:r>
      <w:r w:rsidRPr="00834B27">
        <w:rPr>
          <w:rFonts w:ascii="Calibri" w:hAnsi="Calibri" w:cs="Calibri"/>
          <w:sz w:val="23"/>
          <w:szCs w:val="23"/>
          <w:lang w:val="ro-RO"/>
        </w:rPr>
        <w:t xml:space="preserve">n </w:t>
      </w:r>
      <w:r w:rsidR="00CC6874" w:rsidRPr="00834B27">
        <w:rPr>
          <w:rFonts w:ascii="Calibri" w:hAnsi="Calibri" w:cs="Calibri"/>
          <w:sz w:val="23"/>
          <w:szCs w:val="23"/>
          <w:lang w:val="ro-RO"/>
        </w:rPr>
        <w:t>întreținere</w:t>
      </w:r>
      <w:r w:rsidRPr="00834B27">
        <w:rPr>
          <w:rFonts w:ascii="Calibri" w:hAnsi="Calibri" w:cs="Calibri"/>
          <w:sz w:val="23"/>
          <w:szCs w:val="23"/>
          <w:lang w:val="ro-RO"/>
        </w:rPr>
        <w:t xml:space="preserve"> (1.823, am luat </w:t>
      </w:r>
      <w:r w:rsidR="00CC6874" w:rsidRPr="00834B27">
        <w:rPr>
          <w:rFonts w:ascii="Calibri" w:hAnsi="Calibri" w:cs="Calibri"/>
          <w:sz w:val="23"/>
          <w:szCs w:val="23"/>
          <w:lang w:val="ro-RO"/>
        </w:rPr>
        <w:t>î</w:t>
      </w:r>
      <w:r w:rsidRPr="00834B27">
        <w:rPr>
          <w:rFonts w:ascii="Calibri" w:hAnsi="Calibri" w:cs="Calibri"/>
          <w:sz w:val="23"/>
          <w:szCs w:val="23"/>
          <w:lang w:val="ro-RO"/>
        </w:rPr>
        <w:t>n calcul 1.800 lei);</w:t>
      </w:r>
    </w:p>
    <w:p w14:paraId="436E8EDA" w14:textId="1CE26FA8" w:rsidR="00D62F7C" w:rsidRPr="00834B27" w:rsidRDefault="00D62F7C" w:rsidP="007862FF">
      <w:pPr>
        <w:pStyle w:val="Listparagraf"/>
        <w:numPr>
          <w:ilvl w:val="0"/>
          <w:numId w:val="56"/>
        </w:numPr>
        <w:jc w:val="both"/>
        <w:rPr>
          <w:rFonts w:ascii="Calibri" w:hAnsi="Calibri" w:cs="Calibri"/>
          <w:sz w:val="23"/>
          <w:szCs w:val="23"/>
          <w:lang w:val="ro-RO"/>
        </w:rPr>
      </w:pPr>
      <w:r w:rsidRPr="00834B27">
        <w:rPr>
          <w:rFonts w:ascii="Calibri" w:hAnsi="Calibri" w:cs="Calibri"/>
          <w:sz w:val="23"/>
          <w:szCs w:val="23"/>
          <w:lang w:val="ro-RO"/>
        </w:rPr>
        <w:t xml:space="preserve">Evident, am luat </w:t>
      </w:r>
      <w:r w:rsidR="00CC6874" w:rsidRPr="00834B27">
        <w:rPr>
          <w:rFonts w:ascii="Calibri" w:hAnsi="Calibri" w:cs="Calibri"/>
          <w:sz w:val="23"/>
          <w:szCs w:val="23"/>
          <w:lang w:val="ro-RO"/>
        </w:rPr>
        <w:t>î</w:t>
      </w:r>
      <w:r w:rsidRPr="00834B27">
        <w:rPr>
          <w:rFonts w:ascii="Calibri" w:hAnsi="Calibri" w:cs="Calibri"/>
          <w:sz w:val="23"/>
          <w:szCs w:val="23"/>
          <w:lang w:val="ro-RO"/>
        </w:rPr>
        <w:t>n calcul DP degresiv</w:t>
      </w:r>
      <w:r w:rsidR="00CC6874" w:rsidRPr="00834B27">
        <w:rPr>
          <w:rFonts w:ascii="Calibri" w:hAnsi="Calibri" w:cs="Calibri"/>
          <w:sz w:val="23"/>
          <w:szCs w:val="23"/>
          <w:lang w:val="ro-RO"/>
        </w:rPr>
        <w:t>ă</w:t>
      </w:r>
      <w:r w:rsidRPr="00834B27">
        <w:rPr>
          <w:rFonts w:ascii="Calibri" w:hAnsi="Calibri" w:cs="Calibri"/>
          <w:sz w:val="23"/>
          <w:szCs w:val="23"/>
          <w:lang w:val="ro-RO"/>
        </w:rPr>
        <w:t xml:space="preserve">, la fel ca </w:t>
      </w:r>
      <w:r w:rsidR="00CC6874" w:rsidRPr="00834B27">
        <w:rPr>
          <w:rFonts w:ascii="Calibri" w:hAnsi="Calibri" w:cs="Calibri"/>
          <w:sz w:val="23"/>
          <w:szCs w:val="23"/>
          <w:lang w:val="ro-RO"/>
        </w:rPr>
        <w:t>ș</w:t>
      </w:r>
      <w:r w:rsidRPr="00834B27">
        <w:rPr>
          <w:rFonts w:ascii="Calibri" w:hAnsi="Calibri" w:cs="Calibri"/>
          <w:sz w:val="23"/>
          <w:szCs w:val="23"/>
          <w:lang w:val="ro-RO"/>
        </w:rPr>
        <w:t xml:space="preserve">i la </w:t>
      </w:r>
      <w:r w:rsidR="00CC6874" w:rsidRPr="00834B27">
        <w:rPr>
          <w:rFonts w:ascii="Calibri" w:hAnsi="Calibri" w:cs="Calibri"/>
          <w:sz w:val="23"/>
          <w:szCs w:val="23"/>
          <w:lang w:val="ro-RO"/>
        </w:rPr>
        <w:t>angajați</w:t>
      </w:r>
      <w:r w:rsidRPr="00834B27">
        <w:rPr>
          <w:rFonts w:ascii="Calibri" w:hAnsi="Calibri" w:cs="Calibri"/>
          <w:sz w:val="23"/>
          <w:szCs w:val="23"/>
          <w:lang w:val="ro-RO"/>
        </w:rPr>
        <w:t>.</w:t>
      </w:r>
    </w:p>
    <w:p w14:paraId="036B2C0C" w14:textId="47F274E5" w:rsidR="00D62F7C" w:rsidRPr="00834B27" w:rsidRDefault="00D62F7C" w:rsidP="007862FF">
      <w:pPr>
        <w:jc w:val="both"/>
        <w:rPr>
          <w:rFonts w:ascii="Calibri" w:hAnsi="Calibri" w:cs="Calibri"/>
          <w:sz w:val="23"/>
          <w:szCs w:val="23"/>
          <w:lang w:val="ro-RO"/>
        </w:rPr>
      </w:pPr>
      <w:r w:rsidRPr="00834B27">
        <w:rPr>
          <w:rFonts w:ascii="Calibri" w:hAnsi="Calibri" w:cs="Calibri"/>
          <w:sz w:val="23"/>
          <w:szCs w:val="23"/>
          <w:lang w:val="ro-RO"/>
        </w:rPr>
        <w:t xml:space="preserve">DP luate </w:t>
      </w:r>
      <w:r w:rsidR="00CC6874" w:rsidRPr="00834B27">
        <w:rPr>
          <w:rFonts w:ascii="Calibri" w:hAnsi="Calibri" w:cs="Calibri"/>
          <w:kern w:val="0"/>
          <w:sz w:val="23"/>
          <w:szCs w:val="23"/>
          <w:lang w:val="ro-RO"/>
          <w14:ligatures w14:val="none"/>
        </w:rPr>
        <w:t>în calcul pentru fiecare tranșă peste 4.000 de lei sunt calculate la valoarea medie a venitului în tranșă.</w:t>
      </w:r>
    </w:p>
    <w:p w14:paraId="41857C96" w14:textId="3B641089" w:rsidR="00D62F7C" w:rsidRPr="00834B27" w:rsidRDefault="006D3797" w:rsidP="007862FF">
      <w:pPr>
        <w:jc w:val="both"/>
        <w:rPr>
          <w:rFonts w:ascii="Calibri" w:hAnsi="Calibri" w:cs="Calibri"/>
          <w:sz w:val="23"/>
          <w:szCs w:val="23"/>
          <w:lang w:val="ro-RO"/>
        </w:rPr>
      </w:pPr>
      <w:r w:rsidRPr="00834B27">
        <w:rPr>
          <w:rFonts w:ascii="Calibri" w:hAnsi="Calibri" w:cs="Calibri"/>
          <w:sz w:val="23"/>
          <w:szCs w:val="23"/>
          <w:lang w:val="ro-RO"/>
        </w:rPr>
        <w:t>Î</w:t>
      </w:r>
      <w:r w:rsidR="00D62F7C" w:rsidRPr="00834B27">
        <w:rPr>
          <w:rFonts w:ascii="Calibri" w:hAnsi="Calibri" w:cs="Calibri"/>
          <w:sz w:val="23"/>
          <w:szCs w:val="23"/>
          <w:lang w:val="ro-RO"/>
        </w:rPr>
        <w:t>n toate scenariile, am considerat CASS deductibil</w:t>
      </w:r>
      <w:r w:rsidR="00CC6874" w:rsidRPr="00834B27">
        <w:rPr>
          <w:rFonts w:ascii="Calibri" w:hAnsi="Calibri" w:cs="Calibri"/>
          <w:sz w:val="23"/>
          <w:szCs w:val="23"/>
          <w:lang w:val="ro-RO"/>
        </w:rPr>
        <w:t>ă</w:t>
      </w:r>
      <w:r w:rsidR="00D62F7C" w:rsidRPr="00834B27">
        <w:rPr>
          <w:rFonts w:ascii="Calibri" w:hAnsi="Calibri" w:cs="Calibri"/>
          <w:sz w:val="23"/>
          <w:szCs w:val="23"/>
          <w:lang w:val="ro-RO"/>
        </w:rPr>
        <w:t xml:space="preserve"> din baza de calcul al IV, chiar </w:t>
      </w:r>
      <w:r w:rsidR="00CC6874" w:rsidRPr="00834B27">
        <w:rPr>
          <w:rFonts w:ascii="Calibri" w:hAnsi="Calibri" w:cs="Calibri"/>
          <w:sz w:val="23"/>
          <w:szCs w:val="23"/>
          <w:lang w:val="ro-RO"/>
        </w:rPr>
        <w:t>ș</w:t>
      </w:r>
      <w:r w:rsidR="00D62F7C" w:rsidRPr="00834B27">
        <w:rPr>
          <w:rFonts w:ascii="Calibri" w:hAnsi="Calibri" w:cs="Calibri"/>
          <w:sz w:val="23"/>
          <w:szCs w:val="23"/>
          <w:lang w:val="ro-RO"/>
        </w:rPr>
        <w:t xml:space="preserve">i acolo unde </w:t>
      </w:r>
      <w:r w:rsidR="00CC6874" w:rsidRPr="00834B27">
        <w:rPr>
          <w:rFonts w:ascii="Calibri" w:hAnsi="Calibri" w:cs="Calibri"/>
          <w:sz w:val="23"/>
          <w:szCs w:val="23"/>
          <w:lang w:val="ro-RO"/>
        </w:rPr>
        <w:t>î</w:t>
      </w:r>
      <w:r w:rsidR="00D62F7C" w:rsidRPr="00834B27">
        <w:rPr>
          <w:rFonts w:ascii="Calibri" w:hAnsi="Calibri" w:cs="Calibri"/>
          <w:sz w:val="23"/>
          <w:szCs w:val="23"/>
          <w:lang w:val="ro-RO"/>
        </w:rPr>
        <w:t>n prezent nu sunt.</w:t>
      </w:r>
    </w:p>
    <w:p w14:paraId="5985810E" w14:textId="6440479F" w:rsidR="00D62F7C" w:rsidRPr="00C55DE8" w:rsidRDefault="00D62F7C" w:rsidP="007862FF">
      <w:pPr>
        <w:jc w:val="both"/>
        <w:rPr>
          <w:rFonts w:ascii="Calibri" w:hAnsi="Calibri" w:cs="Calibri"/>
          <w:sz w:val="23"/>
          <w:szCs w:val="23"/>
          <w:lang w:val="ro-RO"/>
        </w:rPr>
      </w:pPr>
      <w:r w:rsidRPr="00834B27">
        <w:rPr>
          <w:rFonts w:ascii="Calibri" w:hAnsi="Calibri" w:cs="Calibri"/>
          <w:sz w:val="23"/>
          <w:szCs w:val="23"/>
          <w:lang w:val="ro-RO"/>
        </w:rPr>
        <w:t xml:space="preserve">Din lipsa </w:t>
      </w:r>
      <w:r w:rsidR="00CC6874" w:rsidRPr="00834B27">
        <w:rPr>
          <w:rFonts w:ascii="Calibri" w:hAnsi="Calibri" w:cs="Calibri"/>
          <w:sz w:val="23"/>
          <w:szCs w:val="23"/>
          <w:lang w:val="ro-RO"/>
        </w:rPr>
        <w:t>informațiilor</w:t>
      </w:r>
      <w:r w:rsidRPr="00834B27">
        <w:rPr>
          <w:rFonts w:ascii="Calibri" w:hAnsi="Calibri" w:cs="Calibri"/>
          <w:sz w:val="23"/>
          <w:szCs w:val="23"/>
          <w:lang w:val="ro-RO"/>
        </w:rPr>
        <w:t>, nu am putut calcula impactul suprapunerilor de venituri din mai multe surse.</w:t>
      </w:r>
    </w:p>
    <w:sectPr w:rsidR="00D62F7C" w:rsidRPr="00C55DE8" w:rsidSect="00723CF2">
      <w:footerReference w:type="default" r:id="rId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0ABAC" w14:textId="77777777" w:rsidR="00C65868" w:rsidRDefault="00C65868" w:rsidP="00E821B2">
      <w:pPr>
        <w:spacing w:after="0" w:line="240" w:lineRule="auto"/>
      </w:pPr>
      <w:r>
        <w:separator/>
      </w:r>
    </w:p>
  </w:endnote>
  <w:endnote w:type="continuationSeparator" w:id="0">
    <w:p w14:paraId="6DD60D7D" w14:textId="77777777" w:rsidR="00C65868" w:rsidRDefault="00C65868" w:rsidP="00E82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1052538"/>
      <w:docPartObj>
        <w:docPartGallery w:val="Page Numbers (Bottom of Page)"/>
        <w:docPartUnique/>
      </w:docPartObj>
    </w:sdtPr>
    <w:sdtEndPr>
      <w:rPr>
        <w:noProof/>
      </w:rPr>
    </w:sdtEndPr>
    <w:sdtContent>
      <w:p w14:paraId="3A9E6CDC" w14:textId="5D9E727A" w:rsidR="00E821B2" w:rsidRDefault="00E821B2">
        <w:pPr>
          <w:pStyle w:val="Subsol"/>
          <w:jc w:val="center"/>
        </w:pPr>
        <w:r>
          <w:fldChar w:fldCharType="begin"/>
        </w:r>
        <w:r>
          <w:instrText xml:space="preserve"> PAGE   \* MERGEFORMAT </w:instrText>
        </w:r>
        <w:r>
          <w:fldChar w:fldCharType="separate"/>
        </w:r>
        <w:r>
          <w:rPr>
            <w:noProof/>
          </w:rPr>
          <w:t>2</w:t>
        </w:r>
        <w:r>
          <w:rPr>
            <w:noProof/>
          </w:rPr>
          <w:fldChar w:fldCharType="end"/>
        </w:r>
      </w:p>
    </w:sdtContent>
  </w:sdt>
  <w:p w14:paraId="375E98D1" w14:textId="77777777" w:rsidR="00E821B2" w:rsidRDefault="00E821B2">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F585F" w14:textId="77777777" w:rsidR="00C65868" w:rsidRDefault="00C65868" w:rsidP="00E821B2">
      <w:pPr>
        <w:spacing w:after="0" w:line="240" w:lineRule="auto"/>
      </w:pPr>
      <w:r>
        <w:separator/>
      </w:r>
    </w:p>
  </w:footnote>
  <w:footnote w:type="continuationSeparator" w:id="0">
    <w:p w14:paraId="161F3F11" w14:textId="77777777" w:rsidR="00C65868" w:rsidRDefault="00C65868" w:rsidP="00E821B2">
      <w:pPr>
        <w:spacing w:after="0" w:line="240" w:lineRule="auto"/>
      </w:pPr>
      <w:r>
        <w:continuationSeparator/>
      </w:r>
    </w:p>
  </w:footnote>
  <w:footnote w:id="1">
    <w:p w14:paraId="0C7DAE5F" w14:textId="77777777" w:rsidR="00FC33EA" w:rsidRPr="0061346D" w:rsidRDefault="00FC33EA" w:rsidP="00FC33EA">
      <w:pPr>
        <w:jc w:val="both"/>
        <w:rPr>
          <w:rFonts w:ascii="Calibri" w:eastAsia="Times New Roman" w:hAnsi="Calibri" w:cs="Calibri"/>
          <w:kern w:val="0"/>
          <w:sz w:val="20"/>
          <w:szCs w:val="20"/>
          <w:lang w:val="it-IT" w:eastAsia="en-GB"/>
          <w14:ligatures w14:val="none"/>
        </w:rPr>
      </w:pPr>
      <w:r w:rsidRPr="00781E78">
        <w:rPr>
          <w:rStyle w:val="Referinnotdesubsol"/>
          <w:rFonts w:ascii="Calibri" w:hAnsi="Calibri" w:cs="Calibri"/>
          <w:sz w:val="20"/>
          <w:szCs w:val="20"/>
        </w:rPr>
        <w:footnoteRef/>
      </w:r>
      <w:r w:rsidRPr="00781E78">
        <w:rPr>
          <w:rFonts w:ascii="Calibri" w:hAnsi="Calibri" w:cs="Calibri"/>
          <w:sz w:val="20"/>
          <w:szCs w:val="20"/>
          <w:lang w:val="it-IT"/>
        </w:rPr>
        <w:t xml:space="preserve"> </w:t>
      </w:r>
      <w:r w:rsidRPr="0061346D">
        <w:rPr>
          <w:rFonts w:ascii="Calibri" w:eastAsia="Times New Roman" w:hAnsi="Calibri" w:cs="Calibri"/>
          <w:kern w:val="0"/>
          <w:sz w:val="20"/>
          <w:szCs w:val="20"/>
          <w:lang w:val="it-IT" w:eastAsia="en-GB"/>
          <w14:ligatures w14:val="none"/>
        </w:rPr>
        <w:t>OECD utilizează tax wedge-ul ca indicator standard al poverii fiscale pe muncă și documentează bune practici de protecție a veniturilor mici prin deduceri/credite țintite și mecanisme în payroll (nu prin scutiri sectoriale).</w:t>
      </w:r>
    </w:p>
    <w:p w14:paraId="4C972443" w14:textId="77777777" w:rsidR="00FC33EA" w:rsidRPr="003A5A3E" w:rsidRDefault="00FC33EA" w:rsidP="00FC33EA">
      <w:pPr>
        <w:pStyle w:val="Textnotdesubsol"/>
        <w:rPr>
          <w:lang w:val="ro-RO"/>
        </w:rPr>
      </w:pPr>
      <w:r w:rsidRPr="0061346D">
        <w:rPr>
          <w:rFonts w:ascii="Times New Roman" w:eastAsia="Times New Roman" w:hAnsi="Times New Roman" w:cs="Times New Roman"/>
          <w:kern w:val="0"/>
          <w:sz w:val="24"/>
          <w:szCs w:val="24"/>
          <w:lang w:val="it-IT" w:eastAsia="en-GB"/>
          <w14:ligatures w14:val="none"/>
        </w:rPr>
        <w:t>.”</w:t>
      </w:r>
    </w:p>
  </w:footnote>
  <w:footnote w:id="2">
    <w:p w14:paraId="6F956673" w14:textId="6DA634F4" w:rsidR="00FA68DC" w:rsidRPr="0083328B" w:rsidRDefault="00FA68DC" w:rsidP="002F2777">
      <w:pPr>
        <w:pStyle w:val="Textnotdesubsol"/>
        <w:jc w:val="both"/>
        <w:rPr>
          <w:rFonts w:ascii="Calibri" w:hAnsi="Calibri" w:cs="Calibri"/>
          <w:lang w:val="ro-RO"/>
        </w:rPr>
      </w:pPr>
      <w:r w:rsidRPr="00E34AC2">
        <w:rPr>
          <w:rStyle w:val="Referinnotdesubsol"/>
          <w:rFonts w:ascii="Calibri" w:hAnsi="Calibri" w:cs="Calibri"/>
          <w:lang w:val="ro-RO"/>
        </w:rPr>
        <w:footnoteRef/>
      </w:r>
      <w:r w:rsidRPr="00E34AC2">
        <w:rPr>
          <w:rFonts w:ascii="Calibri" w:hAnsi="Calibri" w:cs="Calibri"/>
          <w:lang w:val="ro-RO"/>
        </w:rPr>
        <w:t xml:space="preserve"> A se vedea, pentru impozitul la ieșire, cauza C-371/10, National Grid Indus BV; pentru regulile CFC, cauza C-196/04, Cadbury Schweppes; pentru compatibilitatea cu libertă</w:t>
      </w:r>
      <w:r w:rsidR="00D77C4B" w:rsidRPr="00E34AC2">
        <w:rPr>
          <w:rFonts w:ascii="Calibri" w:hAnsi="Calibri" w:cs="Calibri"/>
          <w:lang w:val="ro-RO"/>
        </w:rPr>
        <w:t>ț</w:t>
      </w:r>
      <w:r w:rsidRPr="00E34AC2">
        <w:rPr>
          <w:rFonts w:ascii="Calibri" w:hAnsi="Calibri" w:cs="Calibri"/>
          <w:lang w:val="ro-RO"/>
        </w:rPr>
        <w:t>ile fundamentale, cauza C-292/16, A Oy.</w:t>
      </w:r>
    </w:p>
  </w:footnote>
  <w:footnote w:id="3">
    <w:p w14:paraId="4A3A5465" w14:textId="4574E349" w:rsidR="00294B62" w:rsidRPr="0083328B" w:rsidRDefault="00294B62" w:rsidP="002F2777">
      <w:pPr>
        <w:pStyle w:val="Textnotdesubsol"/>
        <w:jc w:val="both"/>
        <w:rPr>
          <w:rFonts w:ascii="Calibri" w:hAnsi="Calibri" w:cs="Calibri"/>
          <w:lang w:val="ro-RO"/>
        </w:rPr>
      </w:pPr>
      <w:r w:rsidRPr="0083328B">
        <w:rPr>
          <w:rStyle w:val="Referinnotdesubsol"/>
          <w:rFonts w:ascii="Calibri" w:hAnsi="Calibri" w:cs="Calibri"/>
          <w:lang w:val="ro-RO"/>
        </w:rPr>
        <w:footnoteRef/>
      </w:r>
      <w:r w:rsidRPr="0083328B">
        <w:rPr>
          <w:rFonts w:ascii="Calibri" w:hAnsi="Calibri" w:cs="Calibri"/>
          <w:lang w:val="ro-RO"/>
        </w:rPr>
        <w:t xml:space="preserve"> </w:t>
      </w:r>
      <w:r w:rsidRPr="0083328B">
        <w:rPr>
          <w:rFonts w:ascii="Calibri" w:hAnsi="Calibri" w:cs="Calibri"/>
          <w:i/>
          <w:iCs/>
          <w:lang w:val="ro-RO"/>
        </w:rPr>
        <w:t>No</w:t>
      </w:r>
      <w:r w:rsidR="00D77C4B" w:rsidRPr="0083328B">
        <w:rPr>
          <w:rFonts w:ascii="Calibri" w:hAnsi="Calibri" w:cs="Calibri"/>
          <w:i/>
          <w:iCs/>
          <w:lang w:val="ro-RO"/>
        </w:rPr>
        <w:t>ț</w:t>
      </w:r>
      <w:r w:rsidRPr="0083328B">
        <w:rPr>
          <w:rFonts w:ascii="Calibri" w:hAnsi="Calibri" w:cs="Calibri"/>
          <w:i/>
          <w:iCs/>
          <w:lang w:val="ro-RO"/>
        </w:rPr>
        <w:t>iunea este definit</w:t>
      </w:r>
      <w:r w:rsidR="000D75AA" w:rsidRPr="0083328B">
        <w:rPr>
          <w:rFonts w:ascii="Calibri" w:hAnsi="Calibri" w:cs="Calibri"/>
          <w:i/>
          <w:iCs/>
          <w:lang w:val="ro-RO"/>
        </w:rPr>
        <w:t>ă</w:t>
      </w:r>
      <w:r w:rsidRPr="0083328B">
        <w:rPr>
          <w:rFonts w:ascii="Calibri" w:hAnsi="Calibri" w:cs="Calibri"/>
          <w:i/>
          <w:iCs/>
          <w:lang w:val="ro-RO"/>
        </w:rPr>
        <w:t xml:space="preserve"> în CF „venit net”. Având însă în vedere că în limbajul comun ne referim la „venit net” ca fiind venitul rămas după plata IV și a contribu</w:t>
      </w:r>
      <w:r w:rsidR="00D77C4B" w:rsidRPr="0083328B">
        <w:rPr>
          <w:rFonts w:ascii="Calibri" w:hAnsi="Calibri" w:cs="Calibri"/>
          <w:i/>
          <w:iCs/>
          <w:lang w:val="ro-RO"/>
        </w:rPr>
        <w:t>ț</w:t>
      </w:r>
      <w:r w:rsidRPr="0083328B">
        <w:rPr>
          <w:rFonts w:ascii="Calibri" w:hAnsi="Calibri" w:cs="Calibri"/>
          <w:i/>
          <w:iCs/>
          <w:lang w:val="ro-RO"/>
        </w:rPr>
        <w:t>iilor, am preferat ca, în acest studiu, să ne referim la „venit impozabil” ca fiind baza de calcul al IV și contribu</w:t>
      </w:r>
      <w:r w:rsidR="00D77C4B" w:rsidRPr="0083328B">
        <w:rPr>
          <w:rFonts w:ascii="Calibri" w:hAnsi="Calibri" w:cs="Calibri"/>
          <w:i/>
          <w:iCs/>
          <w:lang w:val="ro-RO"/>
        </w:rPr>
        <w:t>ț</w:t>
      </w:r>
      <w:r w:rsidRPr="0083328B">
        <w:rPr>
          <w:rFonts w:ascii="Calibri" w:hAnsi="Calibri" w:cs="Calibri"/>
          <w:i/>
          <w:iCs/>
          <w:lang w:val="ro-RO"/>
        </w:rPr>
        <w:t>iilor (și nu „venit net”).</w:t>
      </w:r>
    </w:p>
  </w:footnote>
  <w:footnote w:id="4">
    <w:p w14:paraId="5E063987" w14:textId="08520B14" w:rsidR="005A1FA7" w:rsidRPr="0083328B" w:rsidRDefault="005A1FA7" w:rsidP="002F2777">
      <w:pPr>
        <w:pStyle w:val="Textnotdesubsol"/>
        <w:jc w:val="both"/>
        <w:rPr>
          <w:rFonts w:ascii="Calibri" w:hAnsi="Calibri" w:cs="Calibri"/>
          <w:lang w:val="ro-RO"/>
        </w:rPr>
      </w:pPr>
      <w:r w:rsidRPr="0083328B">
        <w:rPr>
          <w:rStyle w:val="Referinnotdesubsol"/>
          <w:rFonts w:ascii="Calibri" w:hAnsi="Calibri" w:cs="Calibri"/>
          <w:lang w:val="ro-RO"/>
        </w:rPr>
        <w:footnoteRef/>
      </w:r>
      <w:r w:rsidRPr="0083328B">
        <w:rPr>
          <w:rFonts w:ascii="Calibri" w:hAnsi="Calibri" w:cs="Calibri"/>
          <w:lang w:val="ro-RO"/>
        </w:rPr>
        <w:t xml:space="preserve"> </w:t>
      </w:r>
      <w:r w:rsidRPr="00097122">
        <w:rPr>
          <w:rFonts w:ascii="Calibri" w:hAnsi="Calibri" w:cs="Calibri"/>
          <w:lang w:val="ro-RO"/>
        </w:rPr>
        <w:t>Aceste procente (21,</w:t>
      </w:r>
      <w:r w:rsidR="00676767">
        <w:rPr>
          <w:rFonts w:ascii="Calibri" w:hAnsi="Calibri" w:cs="Calibri"/>
          <w:lang w:val="ro-RO"/>
        </w:rPr>
        <w:t>7</w:t>
      </w:r>
      <w:r w:rsidRPr="00097122">
        <w:rPr>
          <w:rFonts w:ascii="Calibri" w:hAnsi="Calibri" w:cs="Calibri"/>
          <w:lang w:val="ro-RO"/>
        </w:rPr>
        <w:t>% și 8,8%) reprezintă echivalentul contribuțiilor totale (individuale + angajator) calculate asupra salariului brut majorat cu contribuțiile angajatorului (un coeficient de 1,21), conform metodologiei de asigurare a neutralității transferului. Cotele statutare anterioare erau: CAS individuală 10,5% + CAS angajator 15,8% = 26,3% total; CASS individuală 5,5% + CASS angajator 5,2% = 10,7% total.</w:t>
      </w:r>
    </w:p>
  </w:footnote>
  <w:footnote w:id="5">
    <w:p w14:paraId="1A8431A8" w14:textId="2EAA7A7B" w:rsidR="00E81F9A" w:rsidRPr="0083328B" w:rsidRDefault="00E81F9A" w:rsidP="002F2777">
      <w:pPr>
        <w:pStyle w:val="Textnotdesubsol"/>
        <w:jc w:val="both"/>
        <w:rPr>
          <w:rFonts w:ascii="Calibri" w:hAnsi="Calibri" w:cs="Calibri"/>
          <w:lang w:val="ro-RO"/>
        </w:rPr>
      </w:pPr>
      <w:r w:rsidRPr="0083328B">
        <w:rPr>
          <w:rStyle w:val="Referinnotdesubsol"/>
          <w:rFonts w:ascii="Calibri" w:hAnsi="Calibri" w:cs="Calibri"/>
          <w:lang w:val="ro-RO"/>
        </w:rPr>
        <w:footnoteRef/>
      </w:r>
      <w:r w:rsidRPr="0083328B">
        <w:rPr>
          <w:rFonts w:ascii="Calibri" w:hAnsi="Calibri" w:cs="Calibri"/>
          <w:lang w:val="ro-RO"/>
        </w:rPr>
        <w:t xml:space="preserve"> „</w:t>
      </w:r>
      <w:r w:rsidRPr="0083328B">
        <w:rPr>
          <w:rFonts w:ascii="Calibri" w:hAnsi="Calibri" w:cs="Calibri"/>
          <w:i/>
          <w:iCs/>
          <w:lang w:val="ro-RO"/>
        </w:rPr>
        <w:t>locuri de muncă în condi</w:t>
      </w:r>
      <w:r w:rsidR="00D77C4B" w:rsidRPr="0083328B">
        <w:rPr>
          <w:rFonts w:ascii="Calibri" w:hAnsi="Calibri" w:cs="Calibri"/>
          <w:i/>
          <w:iCs/>
          <w:lang w:val="ro-RO"/>
        </w:rPr>
        <w:t>ț</w:t>
      </w:r>
      <w:r w:rsidRPr="0083328B">
        <w:rPr>
          <w:rFonts w:ascii="Calibri" w:hAnsi="Calibri" w:cs="Calibri"/>
          <w:i/>
          <w:iCs/>
          <w:lang w:val="ro-RO"/>
        </w:rPr>
        <w:t>ii deosebite</w:t>
      </w:r>
      <w:r w:rsidRPr="0083328B">
        <w:rPr>
          <w:rFonts w:ascii="Calibri" w:hAnsi="Calibri" w:cs="Calibri"/>
          <w:lang w:val="ro-RO"/>
        </w:rPr>
        <w:t>” – reglementare potrivit Legii nr. 360/2023, art. 3, lit. f)</w:t>
      </w:r>
    </w:p>
  </w:footnote>
  <w:footnote w:id="6">
    <w:p w14:paraId="435D201F" w14:textId="38B37B65" w:rsidR="00E81F9A" w:rsidRPr="0083328B" w:rsidRDefault="00E81F9A" w:rsidP="002F2777">
      <w:pPr>
        <w:pStyle w:val="Textnotdesubsol"/>
        <w:jc w:val="both"/>
        <w:rPr>
          <w:rFonts w:ascii="Calibri" w:hAnsi="Calibri" w:cs="Calibri"/>
          <w:lang w:val="ro-RO"/>
        </w:rPr>
      </w:pPr>
      <w:r w:rsidRPr="0083328B">
        <w:rPr>
          <w:rStyle w:val="Referinnotdesubsol"/>
          <w:rFonts w:ascii="Calibri" w:hAnsi="Calibri" w:cs="Calibri"/>
          <w:lang w:val="ro-RO"/>
        </w:rPr>
        <w:footnoteRef/>
      </w:r>
      <w:r w:rsidRPr="0083328B">
        <w:rPr>
          <w:rFonts w:ascii="Calibri" w:hAnsi="Calibri" w:cs="Calibri"/>
          <w:lang w:val="ro-RO"/>
        </w:rPr>
        <w:t xml:space="preserve"> </w:t>
      </w:r>
      <w:r w:rsidR="002217C7" w:rsidRPr="0083328B">
        <w:rPr>
          <w:rFonts w:ascii="Calibri" w:hAnsi="Calibri" w:cs="Calibri"/>
          <w:lang w:val="ro-RO"/>
        </w:rPr>
        <w:t>„</w:t>
      </w:r>
      <w:r w:rsidRPr="0083328B">
        <w:rPr>
          <w:rFonts w:ascii="Calibri" w:hAnsi="Calibri" w:cs="Calibri"/>
          <w:i/>
          <w:iCs/>
          <w:lang w:val="ro-RO"/>
        </w:rPr>
        <w:t>locuri de muncă în condi</w:t>
      </w:r>
      <w:r w:rsidR="00D77C4B" w:rsidRPr="0083328B">
        <w:rPr>
          <w:rFonts w:ascii="Calibri" w:hAnsi="Calibri" w:cs="Calibri"/>
          <w:i/>
          <w:iCs/>
          <w:lang w:val="ro-RO"/>
        </w:rPr>
        <w:t>ț</w:t>
      </w:r>
      <w:r w:rsidRPr="0083328B">
        <w:rPr>
          <w:rFonts w:ascii="Calibri" w:hAnsi="Calibri" w:cs="Calibri"/>
          <w:i/>
          <w:iCs/>
          <w:lang w:val="ro-RO"/>
        </w:rPr>
        <w:t>ii speciale</w:t>
      </w:r>
      <w:r w:rsidRPr="0083328B">
        <w:rPr>
          <w:rFonts w:ascii="Calibri" w:hAnsi="Calibri" w:cs="Calibri"/>
          <w:lang w:val="ro-RO"/>
        </w:rPr>
        <w:t xml:space="preserve">” </w:t>
      </w:r>
      <w:r w:rsidR="00F43E11" w:rsidRPr="0083328B">
        <w:rPr>
          <w:rFonts w:ascii="Calibri" w:hAnsi="Calibri" w:cs="Calibri"/>
          <w:lang w:val="ro-RO"/>
        </w:rPr>
        <w:t>–</w:t>
      </w:r>
      <w:r w:rsidRPr="0083328B">
        <w:rPr>
          <w:rFonts w:ascii="Calibri" w:hAnsi="Calibri" w:cs="Calibri"/>
          <w:lang w:val="ro-RO"/>
        </w:rPr>
        <w:t xml:space="preserve"> reglementare</w:t>
      </w:r>
      <w:r w:rsidR="00F43E11" w:rsidRPr="0083328B">
        <w:rPr>
          <w:rFonts w:ascii="Calibri" w:hAnsi="Calibri" w:cs="Calibri"/>
          <w:lang w:val="ro-RO"/>
        </w:rPr>
        <w:t xml:space="preserve"> </w:t>
      </w:r>
      <w:r w:rsidRPr="0083328B">
        <w:rPr>
          <w:rFonts w:ascii="Calibri" w:hAnsi="Calibri" w:cs="Calibri"/>
          <w:lang w:val="ro-RO"/>
        </w:rPr>
        <w:t>potrivit Legii nr. 360/2023, art. 3, lit. g)</w:t>
      </w:r>
    </w:p>
  </w:footnote>
  <w:footnote w:id="7">
    <w:p w14:paraId="6811E273" w14:textId="506DD241" w:rsidR="002F2777" w:rsidRPr="00097122" w:rsidRDefault="002F2777" w:rsidP="002F2777">
      <w:pPr>
        <w:pStyle w:val="Textnotdesubsol"/>
        <w:jc w:val="both"/>
        <w:rPr>
          <w:rFonts w:ascii="Calibri" w:hAnsi="Calibri" w:cs="Calibri"/>
          <w:lang w:val="ro-RO"/>
        </w:rPr>
      </w:pPr>
      <w:r w:rsidRPr="0083328B">
        <w:rPr>
          <w:rStyle w:val="Referinnotdesubsol"/>
          <w:rFonts w:ascii="Calibri" w:hAnsi="Calibri" w:cs="Calibri"/>
          <w:lang w:val="ro-RO"/>
        </w:rPr>
        <w:footnoteRef/>
      </w:r>
      <w:r w:rsidRPr="0083328B">
        <w:rPr>
          <w:rFonts w:ascii="Calibri" w:hAnsi="Calibri" w:cs="Calibri"/>
          <w:lang w:val="ro-RO"/>
        </w:rPr>
        <w:t xml:space="preserve"> </w:t>
      </w:r>
      <w:r w:rsidRPr="00097122">
        <w:rPr>
          <w:rFonts w:ascii="Calibri" w:hAnsi="Calibri" w:cs="Calibri"/>
          <w:lang w:val="ro-RO"/>
        </w:rPr>
        <w:t>Impactul actuarial al eliminării plafonării nu a fost cuantificat public de CNPP sau MFP, deși obligațiile viitoare suplimentare generate de fiecare punct de pensie neplafonat sunt, prin natura lor, semnificativ mai mari decât veniturile curente suplimentare din CAS, date fiind diferențele de speranță de viață și de dinamică salarială.</w:t>
      </w:r>
    </w:p>
  </w:footnote>
  <w:footnote w:id="8">
    <w:p w14:paraId="1B3E9506" w14:textId="621DCCEB" w:rsidR="009019B7" w:rsidRPr="0083328B" w:rsidRDefault="009019B7" w:rsidP="00EF563B">
      <w:pPr>
        <w:pStyle w:val="Textnotdesubsol"/>
        <w:jc w:val="both"/>
        <w:rPr>
          <w:rFonts w:ascii="Calibri" w:hAnsi="Calibri" w:cs="Calibri"/>
          <w:lang w:val="ro-RO"/>
        </w:rPr>
      </w:pPr>
      <w:r w:rsidRPr="0083328B">
        <w:rPr>
          <w:rStyle w:val="Referinnotdesubsol"/>
          <w:rFonts w:ascii="Calibri" w:hAnsi="Calibri" w:cs="Calibri"/>
          <w:lang w:val="ro-RO"/>
        </w:rPr>
        <w:footnoteRef/>
      </w:r>
      <w:r w:rsidRPr="0083328B">
        <w:rPr>
          <w:rFonts w:ascii="Calibri" w:hAnsi="Calibri" w:cs="Calibri"/>
          <w:lang w:val="ro-RO"/>
        </w:rPr>
        <w:t xml:space="preserve"> </w:t>
      </w:r>
      <w:r w:rsidRPr="00EF563B">
        <w:rPr>
          <w:rFonts w:ascii="Calibri" w:hAnsi="Calibri" w:cs="Calibri"/>
          <w:lang w:val="ro-RO"/>
        </w:rPr>
        <w:t xml:space="preserve">Propunerile de reformă din prezentul studiu sunt în linie cu angajamentele asumate de România prin Planul Național de Redresare și Reziliență (PNRR), care include jalonul privind eliminarea graduală a scutirilor și excepțiilor fiscale. Adoptarea unui sistem de SFT bazat exclusiv pe mărimea venitului, și nu pe tipul acestuia, răspunde </w:t>
      </w:r>
      <w:r w:rsidR="00EF563B">
        <w:rPr>
          <w:rFonts w:ascii="Calibri" w:hAnsi="Calibri" w:cs="Calibri"/>
          <w:lang w:val="ro-RO"/>
        </w:rPr>
        <w:t xml:space="preserve">și </w:t>
      </w:r>
      <w:r w:rsidRPr="00EF563B">
        <w:rPr>
          <w:rFonts w:ascii="Calibri" w:hAnsi="Calibri" w:cs="Calibri"/>
          <w:lang w:val="ro-RO"/>
        </w:rPr>
        <w:t>acestui angajament.</w:t>
      </w:r>
    </w:p>
  </w:footnote>
  <w:footnote w:id="9">
    <w:p w14:paraId="60394A04" w14:textId="37C9090F" w:rsidR="00AF2D76" w:rsidRPr="00AF2D76" w:rsidRDefault="00AF2D76" w:rsidP="00AF2D76">
      <w:pPr>
        <w:pStyle w:val="Textnotdesubsol"/>
        <w:rPr>
          <w:lang w:val="ro-RO"/>
        </w:rPr>
      </w:pPr>
      <w:r>
        <w:rPr>
          <w:rStyle w:val="Referinnotdesubsol"/>
        </w:rPr>
        <w:footnoteRef/>
      </w:r>
      <w:r w:rsidRPr="00AF2D76">
        <w:rPr>
          <w:lang w:val="ro-RO"/>
        </w:rPr>
        <w:t xml:space="preserve"> </w:t>
      </w:r>
      <w:r>
        <w:rPr>
          <w:lang w:val="ro-RO"/>
        </w:rPr>
        <w:t>Conform adresei nr. J206/03.07.2025 a Casei Naționale de Pensii Publice.</w:t>
      </w:r>
    </w:p>
  </w:footnote>
  <w:footnote w:id="10">
    <w:p w14:paraId="2D2EF0FB" w14:textId="29F84435" w:rsidR="005E3FFC" w:rsidRPr="0083328B" w:rsidRDefault="005E3FFC" w:rsidP="005E3FFC">
      <w:pPr>
        <w:pStyle w:val="Textnotdesubsol"/>
        <w:jc w:val="both"/>
        <w:rPr>
          <w:rFonts w:ascii="Calibri" w:hAnsi="Calibri" w:cs="Calibri"/>
          <w:lang w:val="ro-RO"/>
        </w:rPr>
      </w:pPr>
      <w:r w:rsidRPr="00F239B1">
        <w:rPr>
          <w:rStyle w:val="Referinnotdesubsol"/>
          <w:rFonts w:ascii="Calibri" w:hAnsi="Calibri" w:cs="Calibri"/>
          <w:lang w:val="ro-RO"/>
        </w:rPr>
        <w:footnoteRef/>
      </w:r>
      <w:r w:rsidRPr="00F239B1">
        <w:rPr>
          <w:rFonts w:ascii="Calibri" w:hAnsi="Calibri" w:cs="Calibri"/>
          <w:lang w:val="ro-RO"/>
        </w:rPr>
        <w:t xml:space="preserve"> (IV = 10% × 60% din venitul brut = 6%; CAS și CASS = 0%, în condițiile în care contribuabilul obține și venituri din salarii sau activități independente, ceea ce se întâmplă în imensa majoritate a cazurilor)</w:t>
      </w:r>
    </w:p>
  </w:footnote>
  <w:footnote w:id="11">
    <w:p w14:paraId="78797DA0" w14:textId="46F3F8EB" w:rsidR="003B19D4" w:rsidRPr="0083328B" w:rsidRDefault="003B19D4" w:rsidP="002F2777">
      <w:pPr>
        <w:pStyle w:val="Textnotdesubsol"/>
        <w:jc w:val="both"/>
        <w:rPr>
          <w:rFonts w:ascii="Calibri" w:hAnsi="Calibri" w:cs="Calibri"/>
          <w:lang w:val="ro-RO"/>
        </w:rPr>
      </w:pPr>
      <w:r w:rsidRPr="0083328B">
        <w:rPr>
          <w:rStyle w:val="Referinnotdesubsol"/>
          <w:rFonts w:ascii="Calibri" w:hAnsi="Calibri" w:cs="Calibri"/>
          <w:lang w:val="ro-RO"/>
        </w:rPr>
        <w:footnoteRef/>
      </w:r>
      <w:r w:rsidRPr="0083328B">
        <w:rPr>
          <w:rFonts w:ascii="Calibri" w:hAnsi="Calibri" w:cs="Calibri"/>
          <w:lang w:val="ro-RO"/>
        </w:rPr>
        <w:t xml:space="preserve"> </w:t>
      </w:r>
      <w:r w:rsidRPr="0083328B">
        <w:rPr>
          <w:rFonts w:ascii="Calibri" w:hAnsi="Calibri" w:cs="Calibri"/>
          <w:i/>
          <w:iCs/>
          <w:lang w:val="ro-RO"/>
        </w:rPr>
        <w:t>Notă: un astfel de mod de stabilire a bazei de calcul a existat și în perioada 1 iunie 2005 – 31</w:t>
      </w:r>
      <w:r w:rsidR="002A2CDF" w:rsidRPr="0083328B">
        <w:rPr>
          <w:rFonts w:ascii="Calibri" w:hAnsi="Calibri" w:cs="Calibri"/>
          <w:i/>
          <w:iCs/>
          <w:lang w:val="ro-RO"/>
        </w:rPr>
        <w:t xml:space="preserve"> decembrie </w:t>
      </w:r>
      <w:r w:rsidRPr="0083328B">
        <w:rPr>
          <w:rFonts w:ascii="Calibri" w:hAnsi="Calibri" w:cs="Calibri"/>
          <w:i/>
          <w:iCs/>
          <w:lang w:val="ro-RO"/>
        </w:rPr>
        <w:t>2006, complica</w:t>
      </w:r>
      <w:r w:rsidR="00D77C4B" w:rsidRPr="0083328B">
        <w:rPr>
          <w:rFonts w:ascii="Calibri" w:hAnsi="Calibri" w:cs="Calibri"/>
          <w:i/>
          <w:iCs/>
          <w:lang w:val="ro-RO"/>
        </w:rPr>
        <w:t>ț</w:t>
      </w:r>
      <w:r w:rsidRPr="0083328B">
        <w:rPr>
          <w:rFonts w:ascii="Calibri" w:hAnsi="Calibri" w:cs="Calibri"/>
          <w:i/>
          <w:iCs/>
          <w:lang w:val="ro-RO"/>
        </w:rPr>
        <w:t>iile generate de sarcina administrativă pusă pe intermediari ducând la proteste și chiar blocarea tranzac</w:t>
      </w:r>
      <w:r w:rsidR="00D77C4B" w:rsidRPr="0083328B">
        <w:rPr>
          <w:rFonts w:ascii="Calibri" w:hAnsi="Calibri" w:cs="Calibri"/>
          <w:i/>
          <w:iCs/>
          <w:lang w:val="ro-RO"/>
        </w:rPr>
        <w:t>ț</w:t>
      </w:r>
      <w:r w:rsidRPr="0083328B">
        <w:rPr>
          <w:rFonts w:ascii="Calibri" w:hAnsi="Calibri" w:cs="Calibri"/>
          <w:i/>
          <w:iCs/>
          <w:lang w:val="ro-RO"/>
        </w:rPr>
        <w:t xml:space="preserve">ionării pe Bursa de Valori de la </w:t>
      </w:r>
      <w:r w:rsidR="002A2CDF" w:rsidRPr="0083328B">
        <w:rPr>
          <w:rFonts w:ascii="Calibri" w:hAnsi="Calibri" w:cs="Calibri"/>
          <w:i/>
          <w:iCs/>
          <w:lang w:val="ro-RO"/>
        </w:rPr>
        <w:t>București</w:t>
      </w:r>
      <w:r w:rsidRPr="0083328B">
        <w:rPr>
          <w:rFonts w:ascii="Calibri" w:hAnsi="Calibri" w:cs="Calibri"/>
          <w:i/>
          <w:iCs/>
          <w:lang w:val="ro-RO"/>
        </w:rPr>
        <w:t>.</w:t>
      </w:r>
    </w:p>
  </w:footnote>
  <w:footnote w:id="12">
    <w:p w14:paraId="01CA96DE" w14:textId="16B17D42" w:rsidR="00E32A7C" w:rsidRPr="003921B3" w:rsidRDefault="00E32A7C" w:rsidP="002F2777">
      <w:pPr>
        <w:pStyle w:val="Textnotdesubsol"/>
        <w:jc w:val="both"/>
        <w:rPr>
          <w:rFonts w:ascii="Calibri" w:hAnsi="Calibri" w:cs="Calibri"/>
          <w:lang w:val="ro-RO"/>
        </w:rPr>
      </w:pPr>
      <w:r w:rsidRPr="003921B3">
        <w:rPr>
          <w:rStyle w:val="Referinnotdesubsol"/>
          <w:rFonts w:ascii="Calibri" w:hAnsi="Calibri" w:cs="Calibri"/>
          <w:lang w:val="ro-RO"/>
        </w:rPr>
        <w:footnoteRef/>
      </w:r>
      <w:r w:rsidRPr="003921B3">
        <w:rPr>
          <w:rFonts w:ascii="Calibri" w:hAnsi="Calibri" w:cs="Calibri"/>
          <w:lang w:val="ro-RO"/>
        </w:rPr>
        <w:t xml:space="preserve"> OCDE (Taxing Capital Gains, 2025) arată că majoritatea țărilor permit compensarea pierderilor de capital cu câștigurile de capital și, de regulă, permit reportarea pierderilor pentru a compensa câștiguri viitoare, adesea cu limitări și ring-fencing. Impozitarea exclusivă a câștigurilor, fără a ține cont de pierderi, stimulează neconformarea și este contrară practicii internaționale.</w:t>
      </w:r>
    </w:p>
    <w:p w14:paraId="540A668A" w14:textId="77777777" w:rsidR="00E32A7C" w:rsidRPr="0083328B" w:rsidRDefault="00E32A7C" w:rsidP="002F2777">
      <w:pPr>
        <w:pStyle w:val="Textnotdesubsol"/>
        <w:jc w:val="both"/>
        <w:rPr>
          <w:rFonts w:ascii="Calibri" w:hAnsi="Calibri" w:cs="Calibri"/>
          <w:lang w:val="ro-RO"/>
        </w:rPr>
      </w:pPr>
      <w:r w:rsidRPr="003921B3">
        <w:rPr>
          <w:rFonts w:ascii="Calibri" w:hAnsi="Calibri" w:cs="Calibri"/>
          <w:i/>
          <w:iCs/>
          <w:lang w:val="ro-RO"/>
        </w:rPr>
        <w:t>Sursă: OECD, Taxing Capital Gains, OECD Publishing, februarie 2025.</w:t>
      </w:r>
    </w:p>
    <w:p w14:paraId="576B73E4" w14:textId="2E0C9633" w:rsidR="00E32A7C" w:rsidRPr="0083328B" w:rsidRDefault="00E32A7C" w:rsidP="002F2777">
      <w:pPr>
        <w:pStyle w:val="Textnotdesubsol"/>
        <w:jc w:val="both"/>
        <w:rPr>
          <w:rFonts w:ascii="Calibri" w:hAnsi="Calibri" w:cs="Calibri"/>
          <w:lang w:val="ro-RO"/>
        </w:rPr>
      </w:pPr>
    </w:p>
  </w:footnote>
  <w:footnote w:id="13">
    <w:p w14:paraId="0A1A15DD" w14:textId="15A56899" w:rsidR="00E32A7C" w:rsidRPr="0083328B" w:rsidRDefault="00E32A7C" w:rsidP="002F2777">
      <w:pPr>
        <w:pStyle w:val="Textnotdesubsol"/>
        <w:jc w:val="both"/>
        <w:rPr>
          <w:rFonts w:ascii="Calibri" w:hAnsi="Calibri" w:cs="Calibri"/>
          <w:lang w:val="ro-RO"/>
        </w:rPr>
      </w:pPr>
      <w:r w:rsidRPr="0083328B">
        <w:rPr>
          <w:rStyle w:val="Referinnotdesubsol"/>
          <w:rFonts w:ascii="Calibri" w:hAnsi="Calibri" w:cs="Calibri"/>
          <w:lang w:val="ro-RO"/>
        </w:rPr>
        <w:footnoteRef/>
      </w:r>
      <w:r w:rsidRPr="0083328B">
        <w:rPr>
          <w:rFonts w:ascii="Calibri" w:hAnsi="Calibri" w:cs="Calibri"/>
          <w:lang w:val="ro-RO"/>
        </w:rPr>
        <w:t xml:space="preserve"> Conform răspunsurilor ANAF 544048/14.05.2025 și 544227/15.10.2025 la solicitările de informații publice transmise de către The Tax Institute</w:t>
      </w:r>
    </w:p>
  </w:footnote>
  <w:footnote w:id="14">
    <w:p w14:paraId="5C57AF4D" w14:textId="77777777" w:rsidR="00163A80" w:rsidRPr="003921B3" w:rsidRDefault="00163A80" w:rsidP="002F2777">
      <w:pPr>
        <w:pStyle w:val="Textnotdesubsol"/>
        <w:jc w:val="both"/>
        <w:rPr>
          <w:rFonts w:ascii="Calibri" w:hAnsi="Calibri" w:cs="Calibri"/>
          <w:lang w:val="ro-RO"/>
        </w:rPr>
      </w:pPr>
      <w:r w:rsidRPr="0083328B">
        <w:rPr>
          <w:rStyle w:val="Referinnotdesubsol"/>
          <w:rFonts w:ascii="Calibri" w:hAnsi="Calibri" w:cs="Calibri"/>
          <w:lang w:val="ro-RO"/>
        </w:rPr>
        <w:footnoteRef/>
      </w:r>
      <w:r w:rsidRPr="0083328B">
        <w:rPr>
          <w:rFonts w:ascii="Calibri" w:hAnsi="Calibri" w:cs="Calibri"/>
          <w:lang w:val="ro-RO"/>
        </w:rPr>
        <w:t xml:space="preserve"> </w:t>
      </w:r>
      <w:r w:rsidRPr="003921B3">
        <w:rPr>
          <w:rFonts w:ascii="Calibri" w:hAnsi="Calibri" w:cs="Calibri"/>
          <w:lang w:val="ro-RO"/>
        </w:rPr>
        <w:t xml:space="preserve">Regulile CFC sunt reglementate la nivel UE prin art. 7–8 din Directiva Anti-Evitare Fiscală (ATAD — Directiva 2016/1164/UE) și la nivel OCDE prin BEPS Action 3. </w:t>
      </w:r>
    </w:p>
    <w:p w14:paraId="2AED0486" w14:textId="77777777" w:rsidR="00163A80" w:rsidRPr="003921B3" w:rsidRDefault="00163A80" w:rsidP="002F2777">
      <w:pPr>
        <w:pStyle w:val="Textnotdesubsol"/>
        <w:jc w:val="both"/>
        <w:rPr>
          <w:rFonts w:ascii="Calibri" w:hAnsi="Calibri" w:cs="Calibri"/>
          <w:lang w:val="ro-RO"/>
        </w:rPr>
      </w:pPr>
      <w:r w:rsidRPr="003921B3">
        <w:rPr>
          <w:rFonts w:ascii="Calibri" w:hAnsi="Calibri" w:cs="Calibri"/>
          <w:lang w:val="ro-RO"/>
        </w:rPr>
        <w:t xml:space="preserve">Toate cele 27 de state membre UE au transpus regulile CFC în legislația națională. </w:t>
      </w:r>
    </w:p>
    <w:p w14:paraId="61D36391" w14:textId="77777777" w:rsidR="00163A80" w:rsidRPr="003921B3" w:rsidRDefault="00163A80" w:rsidP="002F2777">
      <w:pPr>
        <w:pStyle w:val="Textnotdesubsol"/>
        <w:jc w:val="both"/>
        <w:rPr>
          <w:rFonts w:ascii="Calibri" w:hAnsi="Calibri" w:cs="Calibri"/>
          <w:lang w:val="ro-RO"/>
        </w:rPr>
      </w:pPr>
      <w:r w:rsidRPr="003921B3">
        <w:rPr>
          <w:rFonts w:ascii="Calibri" w:hAnsi="Calibri" w:cs="Calibri"/>
          <w:lang w:val="ro-RO"/>
        </w:rPr>
        <w:t xml:space="preserve">ATAD oferă două modele: Modelul A (includerea în baza impozabilă a acționarului a veniturilor pasive ale CFC) și Modelul B (includerea veniturilor provenite din aranjamente artificiale). </w:t>
      </w:r>
    </w:p>
    <w:p w14:paraId="059F982E" w14:textId="77777777" w:rsidR="00163A80" w:rsidRPr="003921B3" w:rsidRDefault="00163A80" w:rsidP="002F2777">
      <w:pPr>
        <w:pStyle w:val="Textnotdesubsol"/>
        <w:jc w:val="both"/>
        <w:rPr>
          <w:rFonts w:ascii="Calibri" w:hAnsi="Calibri" w:cs="Calibri"/>
          <w:lang w:val="ro-RO"/>
        </w:rPr>
      </w:pPr>
      <w:r w:rsidRPr="003921B3">
        <w:rPr>
          <w:rFonts w:ascii="Calibri" w:hAnsi="Calibri" w:cs="Calibri"/>
          <w:lang w:val="ro-RO"/>
        </w:rPr>
        <w:t>Pragul de impozitare scăzută este de 50% din impozitul care s-ar fi datorat în statul membru (art. 7, alin. 1, lit. b). Propunerea din prezentul studiu — extinderea la persoanele fizice (</w:t>
      </w:r>
      <w:r w:rsidRPr="003921B3">
        <w:rPr>
          <w:rFonts w:ascii="Calibri" w:hAnsi="Calibri" w:cs="Calibri"/>
          <w:i/>
          <w:iCs/>
          <w:lang w:val="ro-RO"/>
        </w:rPr>
        <w:t>UBO</w:t>
      </w:r>
      <w:r w:rsidRPr="003921B3">
        <w:rPr>
          <w:rFonts w:ascii="Calibri" w:hAnsi="Calibri" w:cs="Calibri"/>
          <w:lang w:val="ro-RO"/>
        </w:rPr>
        <w:t xml:space="preserve">) — depășește standardul minim ATAD, dar are precedent în Suedia (unde </w:t>
      </w:r>
      <w:r w:rsidRPr="003921B3">
        <w:rPr>
          <w:rFonts w:ascii="Calibri" w:hAnsi="Calibri" w:cs="Calibri"/>
          <w:i/>
          <w:iCs/>
          <w:lang w:val="ro-RO"/>
        </w:rPr>
        <w:t>Skatteverket</w:t>
      </w:r>
      <w:r w:rsidRPr="003921B3">
        <w:rPr>
          <w:rFonts w:ascii="Calibri" w:hAnsi="Calibri" w:cs="Calibri"/>
          <w:lang w:val="ro-RO"/>
        </w:rPr>
        <w:t xml:space="preserve"> aplică explicit CFC persoanelor fizice acționare în entități străine cu impozitare redusă) și Italia (care aplică de asemenea regulile CFC și persoanelor fizice rezidente).</w:t>
      </w:r>
    </w:p>
    <w:p w14:paraId="569DE2C5" w14:textId="77777777" w:rsidR="00163A80" w:rsidRPr="003921B3" w:rsidRDefault="00163A80" w:rsidP="002F2777">
      <w:pPr>
        <w:pStyle w:val="Textnotdesubsol"/>
        <w:jc w:val="both"/>
        <w:rPr>
          <w:rFonts w:ascii="Calibri" w:hAnsi="Calibri" w:cs="Calibri"/>
          <w:lang w:val="ro-RO"/>
        </w:rPr>
      </w:pPr>
      <w:r w:rsidRPr="003921B3">
        <w:rPr>
          <w:rFonts w:ascii="Calibri" w:hAnsi="Calibri" w:cs="Calibri"/>
          <w:lang w:val="ro-RO"/>
        </w:rPr>
        <w:t>OECD, în raportul BEPS Action 3, oferă principii de design pentru reguli CFC eficiente: praguri de control, definirea venitului atribuit, atribuirea proporțională, prevenirea dublei impuneri.</w:t>
      </w:r>
    </w:p>
    <w:p w14:paraId="0211730A" w14:textId="77777777" w:rsidR="00163A80" w:rsidRPr="003921B3" w:rsidRDefault="00163A80" w:rsidP="002F2777">
      <w:pPr>
        <w:pStyle w:val="Textnotdesubsol"/>
        <w:jc w:val="both"/>
        <w:rPr>
          <w:rFonts w:ascii="Calibri" w:hAnsi="Calibri" w:cs="Calibri"/>
          <w:lang w:val="ro-RO"/>
        </w:rPr>
      </w:pPr>
    </w:p>
    <w:p w14:paraId="72770771" w14:textId="77777777" w:rsidR="00163A80" w:rsidRPr="003921B3" w:rsidRDefault="00163A80" w:rsidP="002F2777">
      <w:pPr>
        <w:pStyle w:val="Textnotdesubsol"/>
        <w:jc w:val="both"/>
        <w:rPr>
          <w:rFonts w:ascii="Calibri" w:hAnsi="Calibri" w:cs="Calibri"/>
          <w:i/>
          <w:iCs/>
          <w:lang w:val="ro-RO"/>
        </w:rPr>
      </w:pPr>
      <w:r w:rsidRPr="003921B3">
        <w:rPr>
          <w:rFonts w:ascii="Calibri" w:hAnsi="Calibri" w:cs="Calibri"/>
          <w:i/>
          <w:iCs/>
          <w:lang w:val="ro-RO"/>
        </w:rPr>
        <w:t>Surse: Directiva (UE) 2016/1164 (ATAD), art. 7–8; OECD, Designing Effective CFC Rules — BEPS Action 3, Final Report, 2015; KPMG, EU ATAD — Member State Implementation Overview, 2024; Skatteverket (SE), CFC surplus reporting; International Tax Review, Italy amends CFC rules, 2022.</w:t>
      </w:r>
    </w:p>
    <w:p w14:paraId="25205A72" w14:textId="5B657ED3" w:rsidR="00163A80" w:rsidRPr="003921B3" w:rsidRDefault="00163A80" w:rsidP="002F2777">
      <w:pPr>
        <w:pStyle w:val="Textnotdesubsol"/>
        <w:jc w:val="both"/>
        <w:rPr>
          <w:rFonts w:ascii="Calibri" w:hAnsi="Calibri" w:cs="Calibri"/>
          <w:lang w:val="ro-RO"/>
        </w:rPr>
      </w:pPr>
    </w:p>
  </w:footnote>
  <w:footnote w:id="15">
    <w:p w14:paraId="4821F955" w14:textId="77777777" w:rsidR="00163A80" w:rsidRPr="0083328B" w:rsidRDefault="00163A80" w:rsidP="002F2777">
      <w:pPr>
        <w:pStyle w:val="Textnotdesubsol"/>
        <w:jc w:val="both"/>
        <w:rPr>
          <w:rFonts w:ascii="Calibri" w:hAnsi="Calibri" w:cs="Calibri"/>
          <w:highlight w:val="green"/>
          <w:lang w:val="ro-RO"/>
        </w:rPr>
      </w:pPr>
      <w:r w:rsidRPr="003921B3">
        <w:rPr>
          <w:rStyle w:val="Referinnotdesubsol"/>
          <w:rFonts w:ascii="Calibri" w:hAnsi="Calibri" w:cs="Calibri"/>
          <w:lang w:val="ro-RO"/>
        </w:rPr>
        <w:footnoteRef/>
      </w:r>
      <w:r w:rsidRPr="003921B3">
        <w:rPr>
          <w:rFonts w:ascii="Calibri" w:hAnsi="Calibri" w:cs="Calibri"/>
          <w:lang w:val="ro-RO"/>
        </w:rPr>
        <w:t xml:space="preserve"> Menționăm, de asemeni, că implementarea Directivei UE 2022/2523 (Pillar Two — impozitul minim de 15%) creează o suprapunere cu regulile CFC. Interacțiunea ATAD/Pillar </w:t>
      </w:r>
      <w:r w:rsidRPr="00C55DE8">
        <w:rPr>
          <w:rFonts w:ascii="Calibri" w:hAnsi="Calibri" w:cs="Calibri"/>
          <w:lang w:val="ro-RO"/>
        </w:rPr>
        <w:t>Two generează complexitate suplimentară și risc de dublă impunere; Parlamentul European a inițiat în 2024 o evaluare a viitorului regulilor anti-evitare din ATAD în contextul Pillar Two. La proiectarea regulilor CFC pentru România, trebuie ținut cont de această evoluție.</w:t>
      </w:r>
    </w:p>
    <w:p w14:paraId="5A671FB9" w14:textId="77777777" w:rsidR="00163A80" w:rsidRPr="0083328B" w:rsidRDefault="00163A80" w:rsidP="002F2777">
      <w:pPr>
        <w:pStyle w:val="Textnotdesubsol"/>
        <w:jc w:val="both"/>
        <w:rPr>
          <w:rFonts w:ascii="Calibri" w:hAnsi="Calibri" w:cs="Calibri"/>
          <w:i/>
          <w:iCs/>
          <w:highlight w:val="green"/>
          <w:lang w:val="ro-RO"/>
        </w:rPr>
      </w:pPr>
    </w:p>
    <w:p w14:paraId="4138E0FC" w14:textId="77777777" w:rsidR="00163A80" w:rsidRPr="003921B3" w:rsidRDefault="00163A80" w:rsidP="002F2777">
      <w:pPr>
        <w:pStyle w:val="Textnotdesubsol"/>
        <w:jc w:val="both"/>
        <w:rPr>
          <w:rFonts w:ascii="Calibri" w:hAnsi="Calibri" w:cs="Calibri"/>
          <w:lang w:val="ro-RO"/>
        </w:rPr>
      </w:pPr>
      <w:r w:rsidRPr="003921B3">
        <w:rPr>
          <w:rFonts w:ascii="Calibri" w:hAnsi="Calibri" w:cs="Calibri"/>
          <w:i/>
          <w:iCs/>
          <w:lang w:val="ro-RO"/>
        </w:rPr>
        <w:t>Sursă: European Parliament, The future of EU anti-tax avoidance rules, mai 2025.</w:t>
      </w:r>
    </w:p>
    <w:p w14:paraId="3C92FFAD" w14:textId="3E1C0926" w:rsidR="00163A80" w:rsidRPr="003921B3" w:rsidRDefault="00163A80" w:rsidP="002F2777">
      <w:pPr>
        <w:pStyle w:val="Textnotdesubsol"/>
        <w:jc w:val="both"/>
        <w:rPr>
          <w:rFonts w:ascii="Calibri" w:hAnsi="Calibri" w:cs="Calibri"/>
          <w:lang w:val="ro-RO"/>
        </w:rPr>
      </w:pPr>
    </w:p>
  </w:footnote>
  <w:footnote w:id="16">
    <w:p w14:paraId="414F8750" w14:textId="77777777" w:rsidR="00163A80" w:rsidRPr="003921B3" w:rsidRDefault="00163A80" w:rsidP="002F2777">
      <w:pPr>
        <w:pStyle w:val="Textnotdesubsol"/>
        <w:jc w:val="both"/>
        <w:rPr>
          <w:rFonts w:ascii="Calibri" w:hAnsi="Calibri" w:cs="Calibri"/>
          <w:lang w:val="ro-RO"/>
        </w:rPr>
      </w:pPr>
      <w:r w:rsidRPr="003921B3">
        <w:rPr>
          <w:rStyle w:val="Referinnotdesubsol"/>
          <w:rFonts w:ascii="Calibri" w:hAnsi="Calibri" w:cs="Calibri"/>
          <w:lang w:val="ro-RO"/>
        </w:rPr>
        <w:footnoteRef/>
      </w:r>
      <w:r w:rsidRPr="003921B3">
        <w:rPr>
          <w:rFonts w:ascii="Calibri" w:hAnsi="Calibri" w:cs="Calibri"/>
          <w:lang w:val="ro-RO"/>
        </w:rPr>
        <w:t xml:space="preserve"> Taxarea câștigurilor de capital nerealizate la momentul schimbării rezidenței fiscale este reglementată la nivel UE prin art. 5 din ATAD (Directiva 2016/1164/UE), care obligă statele membre să aplice un exit tax pe câștigurile latente. </w:t>
      </w:r>
    </w:p>
    <w:p w14:paraId="2306F23D" w14:textId="77777777" w:rsidR="00163A80" w:rsidRPr="003921B3" w:rsidRDefault="00163A80" w:rsidP="002F2777">
      <w:pPr>
        <w:pStyle w:val="Textnotdesubsol"/>
        <w:jc w:val="both"/>
        <w:rPr>
          <w:rFonts w:ascii="Calibri" w:hAnsi="Calibri" w:cs="Calibri"/>
          <w:lang w:val="ro-RO"/>
        </w:rPr>
      </w:pPr>
      <w:r w:rsidRPr="003921B3">
        <w:rPr>
          <w:rFonts w:ascii="Calibri" w:hAnsi="Calibri" w:cs="Calibri"/>
          <w:lang w:val="ro-RO"/>
        </w:rPr>
        <w:t>Jurisprudența CJUE stabilește limite clare: în cauza Lasteyrie du Saillant (C-9/02, 2004), colectarea imediată a fost considerată o restricție a libertății de stabilire; în cauza National Grid Indus (C-371/10, 2011), CJUE a acceptat plata în rate pe 5 ani. Art. 5 alin. (3) din ATAD impune statelor să permită eșalonarea plății pe cel puțin 5 ani pentru transferări în cadrul UE/SEE.</w:t>
      </w:r>
    </w:p>
    <w:p w14:paraId="5C87D065" w14:textId="77777777" w:rsidR="00163A80" w:rsidRPr="003921B3" w:rsidRDefault="00163A80" w:rsidP="002F2777">
      <w:pPr>
        <w:pStyle w:val="Textnotdesubsol"/>
        <w:jc w:val="both"/>
        <w:rPr>
          <w:rFonts w:ascii="Calibri" w:hAnsi="Calibri" w:cs="Calibri"/>
          <w:lang w:val="ro-RO"/>
        </w:rPr>
      </w:pPr>
    </w:p>
    <w:p w14:paraId="654C1FCC" w14:textId="2E9B284C" w:rsidR="00163A80" w:rsidRPr="003921B3" w:rsidRDefault="00163A80" w:rsidP="002F2777">
      <w:pPr>
        <w:pStyle w:val="Textnotdesubsol"/>
        <w:jc w:val="both"/>
        <w:rPr>
          <w:rFonts w:ascii="Calibri" w:hAnsi="Calibri" w:cs="Calibri"/>
          <w:lang w:val="ro-RO"/>
        </w:rPr>
      </w:pPr>
      <w:r w:rsidRPr="003921B3">
        <w:rPr>
          <w:rFonts w:ascii="Calibri" w:hAnsi="Calibri" w:cs="Calibri"/>
          <w:i/>
          <w:iCs/>
          <w:lang w:val="ro-RO"/>
        </w:rPr>
        <w:t>Surse: Directiva (UE) 2016/1164 (ATAD), art. 5; CJUE, Lasteyrie du Saillant (C-9/02, 2004); CJUE, National Grid Indus (C-371/10, 2011); EUR-Lex, Exit taxation and the need for co-ordination of Member States’ tax policies.</w:t>
      </w:r>
    </w:p>
  </w:footnote>
  <w:footnote w:id="17">
    <w:p w14:paraId="376AE3DD" w14:textId="77777777" w:rsidR="00163A80" w:rsidRPr="003921B3" w:rsidRDefault="00163A80" w:rsidP="002F2777">
      <w:pPr>
        <w:pStyle w:val="Textnotdesubsol"/>
        <w:jc w:val="both"/>
        <w:rPr>
          <w:rFonts w:ascii="Calibri" w:hAnsi="Calibri" w:cs="Calibri"/>
          <w:lang w:val="ro-RO"/>
        </w:rPr>
      </w:pPr>
      <w:r w:rsidRPr="003921B3">
        <w:rPr>
          <w:rStyle w:val="Referinnotdesubsol"/>
          <w:rFonts w:ascii="Calibri" w:hAnsi="Calibri" w:cs="Calibri"/>
          <w:lang w:val="ro-RO"/>
        </w:rPr>
        <w:footnoteRef/>
      </w:r>
      <w:r w:rsidRPr="003921B3">
        <w:rPr>
          <w:rFonts w:ascii="Calibri" w:hAnsi="Calibri" w:cs="Calibri"/>
          <w:lang w:val="ro-RO"/>
        </w:rPr>
        <w:t xml:space="preserve"> Conform OECD Taxing Wages 2025, sarcina fiscală totală medie pe muncă (</w:t>
      </w:r>
      <w:r w:rsidRPr="003921B3">
        <w:rPr>
          <w:rFonts w:ascii="Calibri" w:hAnsi="Calibri" w:cs="Calibri"/>
          <w:i/>
          <w:iCs/>
          <w:lang w:val="ro-RO"/>
        </w:rPr>
        <w:t>tax wedge</w:t>
      </w:r>
      <w:r w:rsidRPr="003921B3">
        <w:rPr>
          <w:rFonts w:ascii="Calibri" w:hAnsi="Calibri" w:cs="Calibri"/>
          <w:lang w:val="ro-RO"/>
        </w:rPr>
        <w:t>) în OCDE a fost de 34,9% în 2024, cele mai ridicate niveluri înregistrându-se în Belgia (52,6%), Germania (47,9%) și Franța (47,2%).</w:t>
      </w:r>
    </w:p>
    <w:p w14:paraId="1AB47126" w14:textId="77777777" w:rsidR="00163A80" w:rsidRPr="003921B3" w:rsidRDefault="00163A80" w:rsidP="002F2777">
      <w:pPr>
        <w:pStyle w:val="Textnotdesubsol"/>
        <w:jc w:val="both"/>
        <w:rPr>
          <w:rFonts w:ascii="Calibri" w:hAnsi="Calibri" w:cs="Calibri"/>
          <w:lang w:val="ro-RO"/>
        </w:rPr>
      </w:pPr>
    </w:p>
    <w:p w14:paraId="17658CCF" w14:textId="77777777" w:rsidR="00163A80" w:rsidRPr="003921B3" w:rsidRDefault="00163A80" w:rsidP="002F2777">
      <w:pPr>
        <w:pStyle w:val="Textnotdesubsol"/>
        <w:jc w:val="both"/>
        <w:rPr>
          <w:rFonts w:ascii="Calibri" w:hAnsi="Calibri" w:cs="Calibri"/>
          <w:lang w:val="ro-RO"/>
        </w:rPr>
      </w:pPr>
      <w:r w:rsidRPr="003921B3">
        <w:rPr>
          <w:rFonts w:ascii="Calibri" w:hAnsi="Calibri" w:cs="Calibri"/>
          <w:lang w:val="ro-RO"/>
        </w:rPr>
        <w:t>Contribuțiile sociale ale angajatului în România (29,9% din salariul brut) sunt cele mai ridicate din UE (pe baza datelor OCDE, mai 2025). SFT de ~41,5% pe veniturile salariale plasează România la nivelul Germaniei sau Franței ca sarcină fiscală, dar cu prestații incomparabil mai reduse.</w:t>
      </w:r>
    </w:p>
    <w:p w14:paraId="2DD7980C" w14:textId="77777777" w:rsidR="00163A80" w:rsidRPr="0083328B" w:rsidRDefault="00163A80" w:rsidP="002F2777">
      <w:pPr>
        <w:pStyle w:val="Textnotdesubsol"/>
        <w:jc w:val="both"/>
        <w:rPr>
          <w:rFonts w:ascii="Calibri" w:hAnsi="Calibri" w:cs="Calibri"/>
          <w:highlight w:val="green"/>
          <w:lang w:val="ro-RO"/>
        </w:rPr>
      </w:pPr>
    </w:p>
    <w:p w14:paraId="518402A9" w14:textId="7FA07996" w:rsidR="00163A80" w:rsidRPr="003D2DD9" w:rsidRDefault="00163A80" w:rsidP="002F2777">
      <w:pPr>
        <w:pStyle w:val="Textnotdesubsol"/>
        <w:jc w:val="both"/>
        <w:rPr>
          <w:rFonts w:ascii="Calibri" w:hAnsi="Calibri" w:cs="Calibri"/>
          <w:i/>
          <w:iCs/>
          <w:lang w:val="ro-RO"/>
        </w:rPr>
      </w:pPr>
      <w:r w:rsidRPr="003D2DD9">
        <w:rPr>
          <w:rFonts w:ascii="Calibri" w:hAnsi="Calibri" w:cs="Calibri"/>
          <w:i/>
          <w:iCs/>
          <w:lang w:val="ro-RO"/>
        </w:rPr>
        <w:t>Surse: OECD, Taxing Wages 2025, aprilie 2025; Euronews, Personal average tax rates in Europe, mai 2025; Tax Foundation Europe, iunie 2025.</w:t>
      </w:r>
    </w:p>
    <w:p w14:paraId="6DA24D78" w14:textId="77777777" w:rsidR="006C2301" w:rsidRPr="003D2DD9" w:rsidRDefault="006C2301" w:rsidP="002F2777">
      <w:pPr>
        <w:pStyle w:val="Textnotdesubsol"/>
        <w:jc w:val="both"/>
        <w:rPr>
          <w:rFonts w:ascii="Calibri" w:hAnsi="Calibri" w:cs="Calibri"/>
          <w:lang w:val="ro-RO"/>
        </w:rPr>
      </w:pPr>
    </w:p>
  </w:footnote>
  <w:footnote w:id="18">
    <w:p w14:paraId="1E32947D" w14:textId="06E9BFC2" w:rsidR="004064AC" w:rsidRPr="003D2DD9" w:rsidRDefault="004064AC">
      <w:pPr>
        <w:pStyle w:val="Textnotdesubsol"/>
        <w:rPr>
          <w:rFonts w:ascii="Calibri" w:hAnsi="Calibri" w:cs="Calibri"/>
          <w:lang w:val="ro-RO"/>
        </w:rPr>
      </w:pPr>
      <w:r w:rsidRPr="003D2DD9">
        <w:rPr>
          <w:rStyle w:val="Referinnotdesubsol"/>
          <w:rFonts w:ascii="Calibri" w:hAnsi="Calibri" w:cs="Calibri"/>
          <w:lang w:val="ro-RO"/>
        </w:rPr>
        <w:footnoteRef/>
      </w:r>
      <w:r w:rsidRPr="003D2DD9">
        <w:rPr>
          <w:rFonts w:ascii="Calibri" w:hAnsi="Calibri" w:cs="Calibri"/>
          <w:lang w:val="ro-RO"/>
        </w:rPr>
        <w:t xml:space="preserve"> În 2024, România avea încă 702.691 de microîntreprinderi cu cifra de afaceri de cel mult 100.000 euro, conform datelor B2APP — a se vedea Tabelul 6</w:t>
      </w:r>
    </w:p>
    <w:p w14:paraId="66F37EEE" w14:textId="77777777" w:rsidR="006C2301" w:rsidRPr="003D2DD9" w:rsidRDefault="006C2301">
      <w:pPr>
        <w:pStyle w:val="Textnotdesubsol"/>
        <w:rPr>
          <w:rFonts w:ascii="Calibri" w:hAnsi="Calibri" w:cs="Calibri"/>
          <w:lang w:val="ro-RO"/>
        </w:rPr>
      </w:pPr>
    </w:p>
  </w:footnote>
  <w:footnote w:id="19">
    <w:p w14:paraId="23D58FF5" w14:textId="2A38A0C7" w:rsidR="00163A80" w:rsidRPr="0083328B" w:rsidRDefault="00163A80" w:rsidP="002F2777">
      <w:pPr>
        <w:pStyle w:val="Textnotdesubsol"/>
        <w:jc w:val="both"/>
        <w:rPr>
          <w:rFonts w:ascii="Calibri" w:hAnsi="Calibri" w:cs="Calibri"/>
          <w:lang w:val="ro-RO"/>
        </w:rPr>
      </w:pPr>
      <w:r w:rsidRPr="003D2DD9">
        <w:rPr>
          <w:rStyle w:val="Referinnotdesubsol"/>
          <w:rFonts w:ascii="Calibri" w:hAnsi="Calibri" w:cs="Calibri"/>
          <w:lang w:val="ro-RO"/>
        </w:rPr>
        <w:footnoteRef/>
      </w:r>
      <w:r w:rsidRPr="003D2DD9">
        <w:rPr>
          <w:rFonts w:ascii="Calibri" w:hAnsi="Calibri" w:cs="Calibri"/>
          <w:lang w:val="ro-RO"/>
        </w:rPr>
        <w:t xml:space="preserve"> SFT = 3%/1% impozit pe venit, 10%/16% impozit pe dividend + CASS 10% pentru 0/6/12/24 SM</w:t>
      </w:r>
    </w:p>
  </w:footnote>
  <w:footnote w:id="20">
    <w:p w14:paraId="4BE244EC" w14:textId="77777777" w:rsidR="006C3CC1" w:rsidRPr="003D2DD9" w:rsidRDefault="006C3CC1" w:rsidP="002F2777">
      <w:pPr>
        <w:pStyle w:val="Textnotdesubsol"/>
        <w:jc w:val="both"/>
        <w:rPr>
          <w:rFonts w:ascii="Calibri" w:hAnsi="Calibri" w:cs="Calibri"/>
          <w:lang w:val="ro-RO"/>
        </w:rPr>
      </w:pPr>
      <w:r w:rsidRPr="0083328B">
        <w:rPr>
          <w:rStyle w:val="Referinnotdesubsol"/>
          <w:rFonts w:ascii="Calibri" w:hAnsi="Calibri" w:cs="Calibri"/>
          <w:lang w:val="ro-RO"/>
        </w:rPr>
        <w:footnoteRef/>
      </w:r>
      <w:r w:rsidRPr="0083328B">
        <w:rPr>
          <w:rFonts w:ascii="Calibri" w:hAnsi="Calibri" w:cs="Calibri"/>
          <w:lang w:val="ro-RO"/>
        </w:rPr>
        <w:t xml:space="preserve"> </w:t>
      </w:r>
      <w:r w:rsidRPr="003D2DD9">
        <w:rPr>
          <w:rFonts w:ascii="Calibri" w:hAnsi="Calibri" w:cs="Calibri"/>
          <w:lang w:val="ro-RO"/>
        </w:rPr>
        <w:t xml:space="preserve">Extinderea reținerii la sursă este aliniată cu tendința dominantă în OCDE. </w:t>
      </w:r>
    </w:p>
    <w:p w14:paraId="44D9669A" w14:textId="5574FB8B" w:rsidR="006C3CC1" w:rsidRPr="003D2DD9" w:rsidRDefault="006C3CC1" w:rsidP="002F2777">
      <w:pPr>
        <w:pStyle w:val="Textnotdesubsol"/>
        <w:jc w:val="both"/>
        <w:rPr>
          <w:rFonts w:ascii="Calibri" w:hAnsi="Calibri" w:cs="Calibri"/>
          <w:lang w:val="ro-RO"/>
        </w:rPr>
      </w:pPr>
      <w:r w:rsidRPr="003D2DD9">
        <w:rPr>
          <w:rFonts w:ascii="Calibri" w:hAnsi="Calibri" w:cs="Calibri"/>
          <w:lang w:val="ro-RO"/>
        </w:rPr>
        <w:t>Seria OECD Tax Administration documentează că multe administrații fiscale precompletează declarații de impunere folosind informații de la terți (salarii, pensii, dobânzi, dividende). Rata de depunere electronică a declarațiilor PAYE a depășit 95% în 2023. Suedia (</w:t>
      </w:r>
      <w:r w:rsidRPr="003D2DD9">
        <w:rPr>
          <w:rFonts w:ascii="Calibri" w:hAnsi="Calibri" w:cs="Calibri"/>
          <w:i/>
          <w:iCs/>
          <w:lang w:val="ro-RO"/>
        </w:rPr>
        <w:t>Skatteverket</w:t>
      </w:r>
      <w:r w:rsidRPr="003D2DD9">
        <w:rPr>
          <w:rFonts w:ascii="Calibri" w:hAnsi="Calibri" w:cs="Calibri"/>
          <w:lang w:val="ro-RO"/>
        </w:rPr>
        <w:t xml:space="preserve">) operează cu un formular precompletat, contribuabilul verificând doar corectitudinea datelor; Estonia operează similar, declarațiile de venit fiind precompletate cu date din baza proprie. Cel mai eficient model combină: reținere la sursă pentru venituri cu plătitor instituțional (dividende, dobânzi, salarii, drepturi de autor), declarații precompletate pentru celelalte categorii și raportare automată de către platforme digitale (DAC7/DAC8). </w:t>
      </w:r>
    </w:p>
    <w:p w14:paraId="5D454D80" w14:textId="0B807177" w:rsidR="006C3CC1" w:rsidRPr="0083328B" w:rsidRDefault="006C3CC1" w:rsidP="002F2777">
      <w:pPr>
        <w:pStyle w:val="Textnotdesubsol"/>
        <w:jc w:val="both"/>
        <w:rPr>
          <w:rFonts w:ascii="Calibri" w:hAnsi="Calibri" w:cs="Calibri"/>
          <w:lang w:val="ro-RO"/>
        </w:rPr>
      </w:pPr>
      <w:r w:rsidRPr="003D2DD9">
        <w:rPr>
          <w:rFonts w:ascii="Calibri" w:hAnsi="Calibri" w:cs="Calibri"/>
          <w:i/>
          <w:iCs/>
          <w:lang w:val="ro-RO"/>
        </w:rPr>
        <w:t>Surse: OECD, Tax Administration 2025; OECD, Using third-party information reports to assist taxpayers, 2006; Skatteverket (SE), How to file your tax return; Estonian Tax and Customs Board, Income tax returns 2025.</w:t>
      </w:r>
    </w:p>
  </w:footnote>
  <w:footnote w:id="21">
    <w:p w14:paraId="6DA9ED2E" w14:textId="04D10275" w:rsidR="00854DB3" w:rsidRPr="0083328B" w:rsidRDefault="00854DB3" w:rsidP="002F2777">
      <w:pPr>
        <w:pStyle w:val="Textnotdesubsol"/>
        <w:jc w:val="both"/>
        <w:rPr>
          <w:rFonts w:ascii="Calibri" w:hAnsi="Calibri" w:cs="Calibri"/>
          <w:lang w:val="ro-RO"/>
        </w:rPr>
      </w:pPr>
      <w:r w:rsidRPr="0083328B">
        <w:rPr>
          <w:rStyle w:val="Referinnotdesubsol"/>
          <w:rFonts w:ascii="Calibri" w:hAnsi="Calibri" w:cs="Calibri"/>
          <w:lang w:val="ro-RO"/>
        </w:rPr>
        <w:footnoteRef/>
      </w:r>
      <w:r w:rsidRPr="0083328B">
        <w:rPr>
          <w:rFonts w:ascii="Calibri" w:hAnsi="Calibri" w:cs="Calibri"/>
          <w:lang w:val="ro-RO"/>
        </w:rPr>
        <w:t xml:space="preserve"> </w:t>
      </w:r>
      <w:r w:rsidRPr="00854DB3">
        <w:rPr>
          <w:rFonts w:ascii="Calibri" w:hAnsi="Calibri" w:cs="Calibri"/>
          <w:i/>
          <w:iCs/>
          <w:lang w:val="ro-RO"/>
        </w:rPr>
        <w:t>Surse: ECB, Flat taxes in Central and Eastern Europe, Monthly Bulletin, septembrie 2007; Ferrario, S. &amp; Catrina, I.L., Progressive Tax Reforms in Flat Tax Countries, Eastern European Economics, 2020.</w:t>
      </w:r>
    </w:p>
  </w:footnote>
  <w:footnote w:id="22">
    <w:p w14:paraId="7243BAC0" w14:textId="77777777" w:rsidR="00176D44" w:rsidRPr="00087DCB" w:rsidRDefault="00176D44" w:rsidP="002F2777">
      <w:pPr>
        <w:pStyle w:val="Textnotdesubsol"/>
        <w:jc w:val="both"/>
        <w:rPr>
          <w:rFonts w:ascii="Calibri" w:hAnsi="Calibri" w:cs="Calibri"/>
          <w:lang w:val="ro-RO"/>
        </w:rPr>
      </w:pPr>
      <w:r w:rsidRPr="0083328B">
        <w:rPr>
          <w:rStyle w:val="Referinnotdesubsol"/>
          <w:rFonts w:ascii="Calibri" w:hAnsi="Calibri" w:cs="Calibri"/>
          <w:lang w:val="ro-RO"/>
        </w:rPr>
        <w:footnoteRef/>
      </w:r>
      <w:r w:rsidRPr="0083328B">
        <w:rPr>
          <w:rFonts w:ascii="Calibri" w:hAnsi="Calibri" w:cs="Calibri"/>
          <w:lang w:val="ro-RO"/>
        </w:rPr>
        <w:t xml:space="preserve"> </w:t>
      </w:r>
      <w:r w:rsidRPr="00087DCB">
        <w:rPr>
          <w:rFonts w:ascii="Calibri" w:hAnsi="Calibri" w:cs="Calibri"/>
          <w:lang w:val="ro-RO"/>
        </w:rPr>
        <w:t xml:space="preserve">Menționăm, pentru echilibru, că mai multe state din Europa Centrală și de Est au abandonat cota unică în ultimii ani: Letonia (20/23/31% din 2018), Lituania (20/32% din 2019), Cehia (15/23% din 2021), Slovacia (19/25% din 2013), Estonia (majorare de la 20% la 22% din 2025, cu 24% din 2026). </w:t>
      </w:r>
    </w:p>
    <w:p w14:paraId="2B604E10" w14:textId="77777777" w:rsidR="00176D44" w:rsidRPr="00087DCB" w:rsidRDefault="00176D44" w:rsidP="002F2777">
      <w:pPr>
        <w:pStyle w:val="Textnotdesubsol"/>
        <w:jc w:val="both"/>
        <w:rPr>
          <w:rFonts w:ascii="Calibri" w:hAnsi="Calibri" w:cs="Calibri"/>
          <w:lang w:val="ro-RO"/>
        </w:rPr>
      </w:pPr>
      <w:r w:rsidRPr="00087DCB">
        <w:rPr>
          <w:rFonts w:ascii="Calibri" w:hAnsi="Calibri" w:cs="Calibri"/>
          <w:lang w:val="ro-RO"/>
        </w:rPr>
        <w:t xml:space="preserve">Aceste state au trecut la progresivitate predominant din motive de echitate și presiune bugetară, nu din cauza ineficienței cotei unice. </w:t>
      </w:r>
    </w:p>
    <w:p w14:paraId="6D31EED2" w14:textId="39702109" w:rsidR="00176D44" w:rsidRPr="00087DCB" w:rsidRDefault="00176D44" w:rsidP="002F2777">
      <w:pPr>
        <w:pStyle w:val="Textnotdesubsol"/>
        <w:jc w:val="both"/>
        <w:rPr>
          <w:rFonts w:ascii="Calibri" w:hAnsi="Calibri" w:cs="Calibri"/>
          <w:lang w:val="ro-RO"/>
        </w:rPr>
      </w:pPr>
      <w:r w:rsidRPr="00087DCB">
        <w:rPr>
          <w:rFonts w:ascii="Calibri" w:hAnsi="Calibri" w:cs="Calibri"/>
          <w:lang w:val="ro-RO"/>
        </w:rPr>
        <w:t>În cazul României, propunerea de revenire la 16% — menținând cota unică, dar crescând-o cu 6 puncte procentuale — se încadrează într-un spațiu intermediar care nu are precedent direct în regiune, dar care beneficiază de avantajele demonstrate ale simplificării (costuri reduse de conformare/administrare, eliminarea arbitrajului) combinat cu o creștere a veniturilor bugetare.</w:t>
      </w:r>
    </w:p>
    <w:p w14:paraId="50C6F842" w14:textId="40FD8950" w:rsidR="0057690D" w:rsidRPr="00087DCB" w:rsidRDefault="0057690D" w:rsidP="002F2777">
      <w:pPr>
        <w:pStyle w:val="Textnotdesubsol"/>
        <w:jc w:val="both"/>
        <w:rPr>
          <w:rFonts w:ascii="Calibri" w:hAnsi="Calibri" w:cs="Calibri"/>
          <w:lang w:val="ro-RO"/>
        </w:rPr>
      </w:pPr>
      <w:r w:rsidRPr="00087DCB">
        <w:rPr>
          <w:rFonts w:ascii="Calibri" w:hAnsi="Calibri" w:cs="Calibri"/>
          <w:i/>
          <w:iCs/>
          <w:lang w:val="ro-RO"/>
        </w:rPr>
        <w:t>Surse: Tax Foundation, Top Personal Income Tax Rates in Europe 2026, februarie 2026; Ferrario &amp; Catrina, 2020.</w:t>
      </w:r>
    </w:p>
  </w:footnote>
  <w:footnote w:id="23">
    <w:p w14:paraId="4DA52E67" w14:textId="007CF97D" w:rsidR="0083328B" w:rsidRPr="00087DCB" w:rsidRDefault="0083328B" w:rsidP="0083328B">
      <w:pPr>
        <w:pStyle w:val="Textnotdesubsol"/>
        <w:jc w:val="both"/>
        <w:rPr>
          <w:rFonts w:ascii="Calibri" w:hAnsi="Calibri" w:cs="Calibri"/>
          <w:lang w:val="ro-RO"/>
        </w:rPr>
      </w:pPr>
      <w:r w:rsidRPr="00087DCB">
        <w:rPr>
          <w:rStyle w:val="Referinnotdesubsol"/>
          <w:rFonts w:ascii="Calibri" w:hAnsi="Calibri" w:cs="Calibri"/>
          <w:lang w:val="ro-RO"/>
        </w:rPr>
        <w:footnoteRef/>
      </w:r>
      <w:r w:rsidRPr="00087DCB">
        <w:rPr>
          <w:rFonts w:ascii="Calibri" w:hAnsi="Calibri" w:cs="Calibri"/>
          <w:lang w:val="ro-RO"/>
        </w:rPr>
        <w:t xml:space="preserve"> Deși regimul microîntreprinderilor este, în principiu, opțional, ieșirea din regim este condiționată de anumite criterii. Chiar și ținând cont de acest lucru, un procent de 40,7% companii în pierdere este anormal de mare și nu poate fi explicat doar prin existența unor startup-uri neprofitabile sau a unor restricții de ieșire din regim.</w:t>
      </w:r>
    </w:p>
  </w:footnote>
  <w:footnote w:id="24">
    <w:p w14:paraId="0EA34614" w14:textId="6F004D7D" w:rsidR="0083328B" w:rsidRPr="0083328B" w:rsidRDefault="0083328B" w:rsidP="0083328B">
      <w:pPr>
        <w:pStyle w:val="Textnotdesubsol"/>
        <w:jc w:val="both"/>
        <w:rPr>
          <w:rFonts w:ascii="Calibri" w:hAnsi="Calibri" w:cs="Calibri"/>
          <w:lang w:val="ro-RO"/>
        </w:rPr>
      </w:pPr>
      <w:r w:rsidRPr="00087DCB">
        <w:rPr>
          <w:rStyle w:val="Referinnotdesubsol"/>
          <w:rFonts w:ascii="Calibri" w:hAnsi="Calibri" w:cs="Calibri"/>
          <w:lang w:val="ro-RO"/>
        </w:rPr>
        <w:footnoteRef/>
      </w:r>
      <w:r w:rsidRPr="00087DCB">
        <w:rPr>
          <w:rFonts w:ascii="Calibri" w:hAnsi="Calibri" w:cs="Calibri"/>
          <w:lang w:val="ro-RO"/>
        </w:rPr>
        <w:t xml:space="preserve"> deficit ce indică fie nerespectarea obligației de a avea cel puțin un salariat, fie angajarea de personal fără forme legale.</w:t>
      </w:r>
    </w:p>
  </w:footnote>
  <w:footnote w:id="25">
    <w:p w14:paraId="2CBDEA64" w14:textId="77777777" w:rsidR="00D45877" w:rsidRPr="00087DCB" w:rsidRDefault="00D45877" w:rsidP="002F2777">
      <w:pPr>
        <w:pStyle w:val="Textnotdesubsol"/>
        <w:jc w:val="both"/>
        <w:rPr>
          <w:rFonts w:ascii="Calibri" w:hAnsi="Calibri" w:cs="Calibri"/>
          <w:lang w:val="ro-RO"/>
        </w:rPr>
      </w:pPr>
      <w:r w:rsidRPr="00087DCB">
        <w:rPr>
          <w:rStyle w:val="Referinnotdesubsol"/>
          <w:rFonts w:ascii="Calibri" w:hAnsi="Calibri" w:cs="Calibri"/>
          <w:lang w:val="ro-RO"/>
        </w:rPr>
        <w:footnoteRef/>
      </w:r>
      <w:r w:rsidRPr="00087DCB">
        <w:rPr>
          <w:rFonts w:ascii="Calibri" w:hAnsi="Calibri" w:cs="Calibri"/>
          <w:lang w:val="ro-RO"/>
        </w:rPr>
        <w:t xml:space="preserve"> Plafonarea bazei de calcul a contribuțiilor sociale este practica dominantă în UE și OCDE. </w:t>
      </w:r>
    </w:p>
    <w:p w14:paraId="0CD5B687" w14:textId="77777777" w:rsidR="00D45877" w:rsidRPr="00087DCB" w:rsidRDefault="00D45877" w:rsidP="002F2777">
      <w:pPr>
        <w:pStyle w:val="Textnotdesubsol"/>
        <w:jc w:val="both"/>
        <w:rPr>
          <w:rFonts w:ascii="Calibri" w:hAnsi="Calibri" w:cs="Calibri"/>
          <w:lang w:val="ro-RO"/>
        </w:rPr>
      </w:pPr>
      <w:r w:rsidRPr="00087DCB">
        <w:rPr>
          <w:rFonts w:ascii="Calibri" w:hAnsi="Calibri" w:cs="Calibri"/>
          <w:lang w:val="ro-RO"/>
        </w:rPr>
        <w:t>Germania aplică plafoane diferențiate pe tip de asigurare (</w:t>
      </w:r>
      <w:r w:rsidRPr="00087DCB">
        <w:rPr>
          <w:rFonts w:ascii="Calibri" w:hAnsi="Calibri" w:cs="Calibri"/>
          <w:i/>
          <w:iCs/>
          <w:lang w:val="ro-RO"/>
        </w:rPr>
        <w:t>Beitragsbemessungsgrenzen</w:t>
      </w:r>
      <w:r w:rsidRPr="00087DCB">
        <w:rPr>
          <w:rFonts w:ascii="Calibri" w:hAnsi="Calibri" w:cs="Calibri"/>
          <w:lang w:val="ro-RO"/>
        </w:rPr>
        <w:t xml:space="preserve">), ajustate anual în funcție de evoluția salariilor: 101.400 EUR/an pentru pensii și șomaj, respectiv 69.750 EUR/an pentru sănătate (2026). Plafonul german de pensii corespunde unui multiplu de circa 1,8x salariul mediu. </w:t>
      </w:r>
    </w:p>
    <w:p w14:paraId="7DC8155B" w14:textId="77777777" w:rsidR="00D45877" w:rsidRPr="00087DCB" w:rsidRDefault="00D45877" w:rsidP="002F2777">
      <w:pPr>
        <w:pStyle w:val="Textnotdesubsol"/>
        <w:jc w:val="both"/>
        <w:rPr>
          <w:rFonts w:ascii="Calibri" w:hAnsi="Calibri" w:cs="Calibri"/>
          <w:lang w:val="ro-RO"/>
        </w:rPr>
      </w:pPr>
      <w:r w:rsidRPr="00087DCB">
        <w:rPr>
          <w:rFonts w:ascii="Calibri" w:hAnsi="Calibri" w:cs="Calibri"/>
          <w:lang w:val="ro-RO"/>
        </w:rPr>
        <w:t xml:space="preserve">Franța operează un plafon de securitate socială de 47.100 EUR/an (2025), cu contribuții suplimentare pe o a doua tranșă (1x–8x plafonul). </w:t>
      </w:r>
    </w:p>
    <w:p w14:paraId="7FE84CB9" w14:textId="77777777" w:rsidR="00D45877" w:rsidRPr="00087DCB" w:rsidRDefault="00D45877" w:rsidP="002F2777">
      <w:pPr>
        <w:pStyle w:val="Textnotdesubsol"/>
        <w:jc w:val="both"/>
        <w:rPr>
          <w:rFonts w:ascii="Calibri" w:hAnsi="Calibri" w:cs="Calibri"/>
          <w:lang w:val="ro-RO"/>
        </w:rPr>
      </w:pPr>
      <w:r w:rsidRPr="00087DCB">
        <w:rPr>
          <w:rFonts w:ascii="Calibri" w:hAnsi="Calibri" w:cs="Calibri"/>
          <w:lang w:val="ro-RO"/>
        </w:rPr>
        <w:t xml:space="preserve">Cehia aplică un plafon de 4x salariul mediu anual pentru contribuțiile de pensii, fără plafon pentru sănătate (eliminat în 2013). </w:t>
      </w:r>
    </w:p>
    <w:p w14:paraId="0DD46167" w14:textId="77777777" w:rsidR="00D45877" w:rsidRPr="00087DCB" w:rsidRDefault="00D45877" w:rsidP="002F2777">
      <w:pPr>
        <w:pStyle w:val="Textnotdesubsol"/>
        <w:jc w:val="both"/>
        <w:rPr>
          <w:rFonts w:ascii="Calibri" w:hAnsi="Calibri" w:cs="Calibri"/>
          <w:lang w:val="ro-RO"/>
        </w:rPr>
      </w:pPr>
      <w:r w:rsidRPr="00087DCB">
        <w:rPr>
          <w:rFonts w:ascii="Calibri" w:hAnsi="Calibri" w:cs="Calibri"/>
          <w:lang w:val="ro-RO"/>
        </w:rPr>
        <w:t>Regatul Unit aplică o rată redusă de 2% (față de 8%) peste Upper Earnings Limit, ca alternativă la eliminarea completă a contribuției.</w:t>
      </w:r>
    </w:p>
    <w:p w14:paraId="27A95A33" w14:textId="77777777" w:rsidR="00D45877" w:rsidRPr="00087DCB" w:rsidRDefault="00D45877" w:rsidP="002F2777">
      <w:pPr>
        <w:pStyle w:val="Textnotdesubsol"/>
        <w:jc w:val="both"/>
        <w:rPr>
          <w:rFonts w:ascii="Calibri" w:hAnsi="Calibri" w:cs="Calibri"/>
          <w:lang w:val="ro-RO"/>
        </w:rPr>
      </w:pPr>
      <w:r w:rsidRPr="00087DCB">
        <w:rPr>
          <w:rFonts w:ascii="Calibri" w:hAnsi="Calibri" w:cs="Calibri"/>
          <w:lang w:val="ro-RO"/>
        </w:rPr>
        <w:t>Propunerea de plafonare CAS la 6 SM/lună (aprox. 3,1x salariul mediu) se încadrează în intervalul practicii europene.</w:t>
      </w:r>
    </w:p>
    <w:p w14:paraId="26F62FB2" w14:textId="77777777" w:rsidR="00D45877" w:rsidRPr="00087DCB" w:rsidRDefault="00D45877" w:rsidP="002F2777">
      <w:pPr>
        <w:pStyle w:val="Textnotdesubsol"/>
        <w:jc w:val="both"/>
        <w:rPr>
          <w:rFonts w:ascii="Calibri" w:hAnsi="Calibri" w:cs="Calibri"/>
          <w:lang w:val="ro-RO"/>
        </w:rPr>
      </w:pPr>
    </w:p>
    <w:p w14:paraId="0C384755" w14:textId="4454DD83" w:rsidR="00D45877" w:rsidRPr="0083328B" w:rsidRDefault="00D45877" w:rsidP="002F2777">
      <w:pPr>
        <w:pStyle w:val="Textnotdesubsol"/>
        <w:jc w:val="both"/>
        <w:rPr>
          <w:rFonts w:ascii="Calibri" w:hAnsi="Calibri" w:cs="Calibri"/>
          <w:lang w:val="ro-RO"/>
        </w:rPr>
      </w:pPr>
      <w:r w:rsidRPr="00087DCB">
        <w:rPr>
          <w:rFonts w:ascii="Calibri" w:hAnsi="Calibri" w:cs="Calibri"/>
          <w:i/>
          <w:iCs/>
          <w:lang w:val="ro-RO"/>
        </w:rPr>
        <w:t>Surse: PwC Tax Summaries, Germany — Individual, 2025; Bundesregierung, SV-Rechengrössenverordnung 2026; CLEISS, The French social security system — Rates and ceilings, 2025; OECD, Social Security Contributions — Explanatory Annex, Czechia; GOV.UK, Rates and thresholds for employers 2025–2026</w:t>
      </w:r>
      <w:r w:rsidRPr="0083328B">
        <w:rPr>
          <w:rFonts w:ascii="Calibri" w:hAnsi="Calibri" w:cs="Calibri"/>
          <w:i/>
          <w:iCs/>
          <w:highlight w:val="green"/>
          <w:lang w:val="ro-RO"/>
        </w:rPr>
        <w:t>.</w:t>
      </w:r>
    </w:p>
  </w:footnote>
  <w:footnote w:id="26">
    <w:p w14:paraId="39775385" w14:textId="77777777" w:rsidR="00BD08EE" w:rsidRPr="0083328B" w:rsidRDefault="00BD08EE" w:rsidP="00BD08EE">
      <w:pPr>
        <w:tabs>
          <w:tab w:val="left" w:pos="720"/>
        </w:tabs>
        <w:spacing w:line="276" w:lineRule="auto"/>
        <w:jc w:val="both"/>
        <w:rPr>
          <w:rFonts w:ascii="Calibri" w:hAnsi="Calibri" w:cs="Calibri"/>
          <w:sz w:val="20"/>
          <w:szCs w:val="20"/>
          <w:lang w:val="ro-RO"/>
        </w:rPr>
      </w:pPr>
      <w:r w:rsidRPr="00DF73A3">
        <w:rPr>
          <w:rStyle w:val="Referinnotdesubsol"/>
          <w:rFonts w:ascii="Calibri" w:hAnsi="Calibri" w:cs="Calibri"/>
          <w:sz w:val="20"/>
          <w:szCs w:val="20"/>
          <w:lang w:val="ro-RO"/>
        </w:rPr>
        <w:footnoteRef/>
      </w:r>
      <w:r w:rsidRPr="00DF73A3">
        <w:rPr>
          <w:rFonts w:ascii="Calibri" w:hAnsi="Calibri" w:cs="Calibri"/>
          <w:sz w:val="20"/>
          <w:szCs w:val="20"/>
          <w:lang w:val="ro-RO"/>
        </w:rPr>
        <w:t xml:space="preserve"> </w:t>
      </w:r>
      <w:r w:rsidRPr="00DF73A3">
        <w:rPr>
          <w:rFonts w:ascii="Calibri" w:hAnsi="Calibri" w:cs="Calibri"/>
          <w:i/>
          <w:iCs/>
          <w:sz w:val="20"/>
          <w:szCs w:val="20"/>
          <w:lang w:val="ro-RO"/>
        </w:rPr>
        <w:t>Sursă: BMAS (Bundesministerium für Arbeit und Soziales), Sozialversicherungs-Rechengrössenverordnung 2025.</w:t>
      </w:r>
    </w:p>
    <w:p w14:paraId="31CBE92A" w14:textId="77777777" w:rsidR="00BD08EE" w:rsidRPr="0083328B" w:rsidRDefault="00BD08EE" w:rsidP="00BD08EE">
      <w:pPr>
        <w:pStyle w:val="Textnotdesubsol"/>
        <w:jc w:val="both"/>
        <w:rPr>
          <w:rFonts w:ascii="Calibri" w:hAnsi="Calibri" w:cs="Calibri"/>
          <w:lang w:val="ro-RO"/>
        </w:rPr>
      </w:pPr>
    </w:p>
  </w:footnote>
  <w:footnote w:id="27">
    <w:p w14:paraId="3A222974" w14:textId="5A69FB96" w:rsidR="0083328B" w:rsidRPr="00DF73A3" w:rsidRDefault="0083328B" w:rsidP="0083328B">
      <w:pPr>
        <w:pStyle w:val="Textnotdesubsol"/>
        <w:jc w:val="both"/>
        <w:rPr>
          <w:rFonts w:ascii="Calibri" w:hAnsi="Calibri" w:cs="Calibri"/>
          <w:lang w:val="ro-RO"/>
        </w:rPr>
      </w:pPr>
      <w:r w:rsidRPr="00DF73A3">
        <w:rPr>
          <w:rStyle w:val="Referinnotdesubsol"/>
          <w:rFonts w:ascii="Calibri" w:hAnsi="Calibri" w:cs="Calibri"/>
          <w:lang w:val="ro-RO"/>
        </w:rPr>
        <w:footnoteRef/>
      </w:r>
      <w:r w:rsidRPr="00DF73A3">
        <w:rPr>
          <w:rFonts w:ascii="Calibri" w:hAnsi="Calibri" w:cs="Calibri"/>
          <w:lang w:val="ro-RO"/>
        </w:rPr>
        <w:t xml:space="preserve"> Transparentizarea fiscală presupune că profitul net al microîntreprinderii este tratat, în scop fiscal, ca venit al asociatului/acționarului, proporțional cu cota de participare, indiferent dacă este distribuit sau nu. Acest mecanism este deja operațional în România pentru societățile civile profesionale (cabinete de avocatură, birouri notariale, cabinete de practică în insolvență) și funcționează fără dificultăți administrative semnificative. Extinderea lui la microîntreprinderile cu asociat unic sau cu un număr restrâns de asociați constituie o evoluție naturală, nu o revoluție legislativă. </w:t>
      </w:r>
    </w:p>
    <w:p w14:paraId="38DD43AB" w14:textId="77777777" w:rsidR="0083328B" w:rsidRPr="00DF73A3" w:rsidRDefault="0083328B">
      <w:pPr>
        <w:pStyle w:val="Textnotdesubsol"/>
        <w:rPr>
          <w:rFonts w:ascii="Calibri" w:hAnsi="Calibri" w:cs="Calibri"/>
          <w:lang w:val="ro-RO"/>
        </w:rPr>
      </w:pPr>
    </w:p>
  </w:footnote>
  <w:footnote w:id="28">
    <w:p w14:paraId="3B7EDC0B" w14:textId="03EE93CA" w:rsidR="003603E7" w:rsidRPr="00DF73A3" w:rsidRDefault="003603E7" w:rsidP="002F2777">
      <w:pPr>
        <w:pStyle w:val="Textnotdesubsol"/>
        <w:jc w:val="both"/>
        <w:rPr>
          <w:rFonts w:ascii="Calibri" w:hAnsi="Calibri" w:cs="Calibri"/>
          <w:lang w:val="ro-RO"/>
        </w:rPr>
      </w:pPr>
      <w:r w:rsidRPr="00DF73A3">
        <w:rPr>
          <w:rStyle w:val="Referinnotdesubsol"/>
          <w:rFonts w:ascii="Calibri" w:hAnsi="Calibri" w:cs="Calibri"/>
          <w:lang w:val="ro-RO"/>
        </w:rPr>
        <w:footnoteRef/>
      </w:r>
      <w:r w:rsidRPr="00DF73A3">
        <w:rPr>
          <w:rFonts w:ascii="Calibri" w:hAnsi="Calibri" w:cs="Calibri"/>
          <w:lang w:val="ro-RO"/>
        </w:rPr>
        <w:t xml:space="preserve"> OCDE inventariază trei arhitecturi principale de impozitare a dividendelor: (a) sistemul clasic (dividendul se taxează integral, fără integrare cu impozitul pe profit); (b) reținere finală (final withholding); (c) credit fiscal la </w:t>
      </w:r>
      <w:r w:rsidR="00DF73A3" w:rsidRPr="00DF73A3">
        <w:rPr>
          <w:rFonts w:ascii="Calibri" w:hAnsi="Calibri" w:cs="Calibri"/>
          <w:lang w:val="ro-RO"/>
        </w:rPr>
        <w:t xml:space="preserve">nivelul </w:t>
      </w:r>
      <w:r w:rsidRPr="00DF73A3">
        <w:rPr>
          <w:rFonts w:ascii="Calibri" w:hAnsi="Calibri" w:cs="Calibri"/>
          <w:lang w:val="ro-RO"/>
        </w:rPr>
        <w:t>acționar</w:t>
      </w:r>
      <w:r w:rsidR="00DF73A3" w:rsidRPr="00DF73A3">
        <w:rPr>
          <w:rFonts w:ascii="Calibri" w:hAnsi="Calibri" w:cs="Calibri"/>
          <w:lang w:val="ro-RO"/>
        </w:rPr>
        <w:t>ului</w:t>
      </w:r>
      <w:r w:rsidRPr="00DF73A3">
        <w:rPr>
          <w:rFonts w:ascii="Calibri" w:hAnsi="Calibri" w:cs="Calibri"/>
          <w:lang w:val="ro-RO"/>
        </w:rPr>
        <w:t xml:space="preserve"> pentru impozitul pe profit suportat de companie. </w:t>
      </w:r>
    </w:p>
    <w:p w14:paraId="0CCC77E7" w14:textId="40BA295C" w:rsidR="003603E7" w:rsidRPr="00DF73A3" w:rsidRDefault="003603E7" w:rsidP="002F2777">
      <w:pPr>
        <w:pStyle w:val="Textnotdesubsol"/>
        <w:jc w:val="both"/>
        <w:rPr>
          <w:rFonts w:ascii="Calibri" w:hAnsi="Calibri" w:cs="Calibri"/>
          <w:lang w:val="ro-RO"/>
        </w:rPr>
      </w:pPr>
      <w:r w:rsidRPr="00DF73A3">
        <w:rPr>
          <w:rFonts w:ascii="Calibri" w:hAnsi="Calibri" w:cs="Calibri"/>
          <w:lang w:val="ro-RO"/>
        </w:rPr>
        <w:t>Finlanda aplică un model de includere parțială: 85% din dividendele de la companii listate sunt impozabile, 15% scutite, re</w:t>
      </w:r>
      <w:r w:rsidR="00DF73A3" w:rsidRPr="00DF73A3">
        <w:rPr>
          <w:rFonts w:ascii="Calibri" w:hAnsi="Calibri" w:cs="Calibri"/>
          <w:lang w:val="ro-RO"/>
        </w:rPr>
        <w:t>z</w:t>
      </w:r>
      <w:r w:rsidRPr="00DF73A3">
        <w:rPr>
          <w:rFonts w:ascii="Calibri" w:hAnsi="Calibri" w:cs="Calibri"/>
          <w:lang w:val="ro-RO"/>
        </w:rPr>
        <w:t xml:space="preserve">ultând o sarcină efectivă de ~25,5%. </w:t>
      </w:r>
    </w:p>
    <w:p w14:paraId="1B208D98" w14:textId="77777777" w:rsidR="003603E7" w:rsidRPr="00DF73A3" w:rsidRDefault="003603E7" w:rsidP="002F2777">
      <w:pPr>
        <w:pStyle w:val="Textnotdesubsol"/>
        <w:jc w:val="both"/>
        <w:rPr>
          <w:rFonts w:ascii="Calibri" w:hAnsi="Calibri" w:cs="Calibri"/>
          <w:lang w:val="ro-RO"/>
        </w:rPr>
      </w:pPr>
      <w:r w:rsidRPr="00DF73A3">
        <w:rPr>
          <w:rFonts w:ascii="Calibri" w:hAnsi="Calibri" w:cs="Calibri"/>
          <w:lang w:val="ro-RO"/>
        </w:rPr>
        <w:t xml:space="preserve">Franța aplică PFU de 30% (12,8% impozit + 17,2% contribuții sociale), cu opțiunea de includere în baremul progresiv. </w:t>
      </w:r>
    </w:p>
    <w:p w14:paraId="4AE4CE4B" w14:textId="77777777" w:rsidR="003603E7" w:rsidRPr="00DF73A3" w:rsidRDefault="003603E7" w:rsidP="002F2777">
      <w:pPr>
        <w:pStyle w:val="Textnotdesubsol"/>
        <w:jc w:val="both"/>
        <w:rPr>
          <w:rFonts w:ascii="Calibri" w:hAnsi="Calibri" w:cs="Calibri"/>
          <w:lang w:val="ro-RO"/>
        </w:rPr>
      </w:pPr>
      <w:r w:rsidRPr="00DF73A3">
        <w:rPr>
          <w:rFonts w:ascii="Calibri" w:hAnsi="Calibri" w:cs="Calibri"/>
          <w:lang w:val="ro-RO"/>
        </w:rPr>
        <w:t xml:space="preserve">Estonia și Letonia nu impozitează profitul nerepartizat, impozitul (22%, respectiv 20%) se datorează doar la distribuire, fără alt impozit pe dividend la acționar. </w:t>
      </w:r>
    </w:p>
    <w:p w14:paraId="46CAF76D" w14:textId="77777777" w:rsidR="003603E7" w:rsidRPr="00DF73A3" w:rsidRDefault="003603E7" w:rsidP="002F2777">
      <w:pPr>
        <w:pStyle w:val="Textnotdesubsol"/>
        <w:jc w:val="both"/>
        <w:rPr>
          <w:rFonts w:ascii="Calibri" w:hAnsi="Calibri" w:cs="Calibri"/>
          <w:lang w:val="ro-RO"/>
        </w:rPr>
      </w:pPr>
      <w:r w:rsidRPr="00DF73A3">
        <w:rPr>
          <w:rFonts w:ascii="Calibri" w:hAnsi="Calibri" w:cs="Calibri"/>
          <w:lang w:val="ro-RO"/>
        </w:rPr>
        <w:t xml:space="preserve">Rata integrată medie în UE este de 39,23% în 2025 (de la 20% în Letonia la 57,85% în Franța). </w:t>
      </w:r>
    </w:p>
    <w:p w14:paraId="7382E4D0" w14:textId="77777777" w:rsidR="003603E7" w:rsidRPr="00DF73A3" w:rsidRDefault="003603E7" w:rsidP="002F2777">
      <w:pPr>
        <w:pStyle w:val="Textnotdesubsol"/>
        <w:jc w:val="both"/>
        <w:rPr>
          <w:rFonts w:ascii="Calibri" w:hAnsi="Calibri" w:cs="Calibri"/>
          <w:lang w:val="ro-RO"/>
        </w:rPr>
      </w:pPr>
      <w:r w:rsidRPr="00DF73A3">
        <w:rPr>
          <w:rFonts w:ascii="Calibri" w:hAnsi="Calibri" w:cs="Calibri"/>
          <w:lang w:val="ro-RO"/>
        </w:rPr>
        <w:t>Propunerea din studiu (impozit pe profit + impozit pe dividend = 16%) ar genera cea mai mică rată integrată din UE, sub Estonia (20%) și Ungaria (22,65%), ceea ce impune atenție la percepția de facilitate excesivă pentru veniturile din capital.</w:t>
      </w:r>
    </w:p>
    <w:p w14:paraId="7F91060E" w14:textId="77777777" w:rsidR="003603E7" w:rsidRPr="00DF73A3" w:rsidRDefault="003603E7" w:rsidP="002F2777">
      <w:pPr>
        <w:pStyle w:val="Textnotdesubsol"/>
        <w:jc w:val="both"/>
        <w:rPr>
          <w:rFonts w:ascii="Calibri" w:hAnsi="Calibri" w:cs="Calibri"/>
          <w:lang w:val="ro-RO"/>
        </w:rPr>
      </w:pPr>
    </w:p>
    <w:p w14:paraId="371C3923" w14:textId="79A24915" w:rsidR="003603E7" w:rsidRPr="0083328B" w:rsidRDefault="003603E7" w:rsidP="002F2777">
      <w:pPr>
        <w:pStyle w:val="Textnotdesubsol"/>
        <w:jc w:val="both"/>
        <w:rPr>
          <w:rFonts w:ascii="Calibri" w:hAnsi="Calibri" w:cs="Calibri"/>
          <w:lang w:val="ro-RO"/>
        </w:rPr>
      </w:pPr>
      <w:r w:rsidRPr="00DF73A3">
        <w:rPr>
          <w:rFonts w:ascii="Calibri" w:hAnsi="Calibri" w:cs="Calibri"/>
          <w:i/>
          <w:iCs/>
          <w:lang w:val="ro-RO"/>
        </w:rPr>
        <w:t>Surse: OECD, Statutory tax rates on dividends, interest and capital gains, 2018; Vero.fi (FI), Dividends from a listed company; Economie.gouv.fr, PFU; Tax Foundation, Integrated Tax Rates on Corporate Income in Europe, 2025.</w:t>
      </w:r>
    </w:p>
  </w:footnote>
  <w:footnote w:id="29">
    <w:p w14:paraId="27E3BBC6" w14:textId="3436A778" w:rsidR="00C61218" w:rsidRPr="00605C32" w:rsidRDefault="00C61218" w:rsidP="002F2777">
      <w:pPr>
        <w:pStyle w:val="Textnotdesubsol"/>
        <w:jc w:val="both"/>
        <w:rPr>
          <w:rFonts w:ascii="Calibri" w:hAnsi="Calibri" w:cs="Calibri"/>
          <w:lang w:val="ro-RO"/>
        </w:rPr>
      </w:pPr>
      <w:r w:rsidRPr="0083328B">
        <w:rPr>
          <w:rStyle w:val="Referinnotdesubsol"/>
          <w:rFonts w:ascii="Calibri" w:hAnsi="Calibri" w:cs="Calibri"/>
          <w:lang w:val="ro-RO"/>
        </w:rPr>
        <w:footnoteRef/>
      </w:r>
      <w:r w:rsidRPr="0083328B">
        <w:rPr>
          <w:rFonts w:ascii="Calibri" w:hAnsi="Calibri" w:cs="Calibri"/>
          <w:lang w:val="ro-RO"/>
        </w:rPr>
        <w:t xml:space="preserve"> </w:t>
      </w:r>
      <w:r w:rsidRPr="00605C32">
        <w:rPr>
          <w:rFonts w:ascii="Calibri" w:hAnsi="Calibri" w:cs="Calibri"/>
          <w:lang w:val="ro-RO"/>
        </w:rPr>
        <w:t>În ceea ce privește administrarea impozitării tranzacțiilor cu criptomonede, Directiva DAC8 (Directiva 2023/2226/UE), care transpune în dreptul UE cadrul OECD CARF (Crypto-Asset Reporting Framework), introduce obligații de raportare automată pentru furnizorii de servicii crypto, cu colectarea datelor începând cu 1 ianuarie 2026 și primul schimb de informații între state programat pentru 30 septembrie 2027. La data de 4 decembrie 2025, 76 de jurisdicții s-au angajat să implementeze CARF. Regulamentul MiCA (UE 2023/1114) completează cadrul, furnizorii autorizați sub MiCA fiind prin definiție și raportori în sensul DAC8.  Această infrastructură de date transformă fundamental calculul cost-beneficiu al impozitării criptoactivelor: conformarea nu mai depinde exclusiv de autodeclarare, ci este susținută de raportarea terță.</w:t>
      </w:r>
    </w:p>
    <w:p w14:paraId="071909E2" w14:textId="10340D1A" w:rsidR="00C61218" w:rsidRPr="00605C32" w:rsidRDefault="00C61218" w:rsidP="002F2777">
      <w:pPr>
        <w:pStyle w:val="Textnotdesubsol"/>
        <w:jc w:val="both"/>
        <w:rPr>
          <w:rFonts w:ascii="Calibri" w:hAnsi="Calibri" w:cs="Calibri"/>
          <w:lang w:val="ro-RO"/>
        </w:rPr>
      </w:pPr>
      <w:r w:rsidRPr="00605C32">
        <w:rPr>
          <w:rFonts w:ascii="Calibri" w:hAnsi="Calibri" w:cs="Calibri"/>
          <w:i/>
          <w:iCs/>
          <w:lang w:val="ro-RO"/>
        </w:rPr>
        <w:t>Surse: Directiva (UE) 2023/2226 (DAC8); OECD, CARF Monitoring and Implementation Update, noiembrie 2025; OECD, CARF Signatories Joint Statement, decembrie 2025; Regulamentul (UE) 2023/1114 (MiCA).</w:t>
      </w:r>
    </w:p>
  </w:footnote>
  <w:footnote w:id="30">
    <w:p w14:paraId="64EC50D4" w14:textId="65022F02" w:rsidR="0083328B" w:rsidRPr="0083328B" w:rsidRDefault="0083328B" w:rsidP="0083328B">
      <w:pPr>
        <w:pStyle w:val="Textnotdesubsol"/>
        <w:jc w:val="both"/>
        <w:rPr>
          <w:rFonts w:ascii="Calibri" w:hAnsi="Calibri" w:cs="Calibri"/>
          <w:lang w:val="ro-RO"/>
        </w:rPr>
      </w:pPr>
      <w:r w:rsidRPr="00605C32">
        <w:rPr>
          <w:rStyle w:val="Referinnotdesubsol"/>
          <w:rFonts w:ascii="Calibri" w:hAnsi="Calibri" w:cs="Calibri"/>
          <w:lang w:val="ro-RO"/>
        </w:rPr>
        <w:footnoteRef/>
      </w:r>
      <w:r w:rsidRPr="00605C32">
        <w:rPr>
          <w:rFonts w:ascii="Calibri" w:hAnsi="Calibri" w:cs="Calibri"/>
          <w:lang w:val="ro-RO"/>
        </w:rPr>
        <w:t xml:space="preserve"> Acest tratament corespunde regimului EET (</w:t>
      </w:r>
      <w:r w:rsidRPr="00605C32">
        <w:rPr>
          <w:rFonts w:ascii="Calibri" w:hAnsi="Calibri" w:cs="Calibri"/>
          <w:i/>
          <w:iCs/>
          <w:lang w:val="ro-RO"/>
        </w:rPr>
        <w:t>Exempt-Exempt-Taxed</w:t>
      </w:r>
      <w:r w:rsidRPr="00605C32">
        <w:rPr>
          <w:rFonts w:ascii="Calibri" w:hAnsi="Calibri" w:cs="Calibri"/>
          <w:lang w:val="ro-RO"/>
        </w:rPr>
        <w:t>), adoptat de majoritatea statelor OCDE: contribuțiile sunt deductibile la plată (</w:t>
      </w:r>
      <w:r w:rsidRPr="00605C32">
        <w:rPr>
          <w:rFonts w:ascii="Calibri" w:hAnsi="Calibri" w:cs="Calibri"/>
          <w:i/>
          <w:iCs/>
          <w:lang w:val="ro-RO"/>
        </w:rPr>
        <w:t>Exempt</w:t>
      </w:r>
      <w:r w:rsidRPr="00605C32">
        <w:rPr>
          <w:rFonts w:ascii="Calibri" w:hAnsi="Calibri" w:cs="Calibri"/>
          <w:lang w:val="ro-RO"/>
        </w:rPr>
        <w:t>), randamentele fondurilor de pensii nu sunt impozitate (</w:t>
      </w:r>
      <w:r w:rsidRPr="00605C32">
        <w:rPr>
          <w:rFonts w:ascii="Calibri" w:hAnsi="Calibri" w:cs="Calibri"/>
          <w:i/>
          <w:iCs/>
          <w:lang w:val="ro-RO"/>
        </w:rPr>
        <w:t>Exempt</w:t>
      </w:r>
      <w:r w:rsidRPr="00605C32">
        <w:rPr>
          <w:rFonts w:ascii="Calibri" w:hAnsi="Calibri" w:cs="Calibri"/>
          <w:lang w:val="ro-RO"/>
        </w:rPr>
        <w:t>), iar pensiile sunt impozitate la încasare (</w:t>
      </w:r>
      <w:r w:rsidRPr="00605C32">
        <w:rPr>
          <w:rFonts w:ascii="Calibri" w:hAnsi="Calibri" w:cs="Calibri"/>
          <w:i/>
          <w:iCs/>
          <w:lang w:val="ro-RO"/>
        </w:rPr>
        <w:t>Taxed</w:t>
      </w:r>
      <w:r w:rsidRPr="00605C32">
        <w:rPr>
          <w:rFonts w:ascii="Calibri" w:hAnsi="Calibri" w:cs="Calibri"/>
          <w:lang w:val="ro-RO"/>
        </w:rPr>
        <w:t>).</w:t>
      </w:r>
    </w:p>
    <w:p w14:paraId="00A53B69" w14:textId="77777777" w:rsidR="0083328B" w:rsidRPr="0083328B" w:rsidRDefault="0083328B" w:rsidP="0083328B">
      <w:pPr>
        <w:pStyle w:val="Textnotdesubsol"/>
        <w:jc w:val="both"/>
        <w:rPr>
          <w:rFonts w:ascii="Calibri" w:hAnsi="Calibri" w:cs="Calibri"/>
          <w:lang w:val="ro-RO"/>
        </w:rPr>
      </w:pPr>
    </w:p>
  </w:footnote>
  <w:footnote w:id="31">
    <w:p w14:paraId="23D6F960" w14:textId="77777777" w:rsidR="00876C6B" w:rsidRPr="00994421" w:rsidRDefault="00876C6B" w:rsidP="002F2777">
      <w:pPr>
        <w:pStyle w:val="Textnotdesubsol"/>
        <w:jc w:val="both"/>
        <w:rPr>
          <w:rFonts w:ascii="Calibri" w:hAnsi="Calibri" w:cs="Calibri"/>
          <w:lang w:val="ro-RO"/>
        </w:rPr>
      </w:pPr>
      <w:r w:rsidRPr="00994421">
        <w:rPr>
          <w:rStyle w:val="Referinnotdesubsol"/>
          <w:rFonts w:ascii="Calibri" w:hAnsi="Calibri" w:cs="Calibri"/>
          <w:lang w:val="ro-RO"/>
        </w:rPr>
        <w:footnoteRef/>
      </w:r>
      <w:r w:rsidRPr="00994421">
        <w:rPr>
          <w:rFonts w:ascii="Calibri" w:hAnsi="Calibri" w:cs="Calibri"/>
          <w:lang w:val="ro-RO"/>
        </w:rPr>
        <w:t xml:space="preserve"> Majoritatea statelor OCDE aplică regimul EET (</w:t>
      </w:r>
      <w:r w:rsidRPr="00994421">
        <w:rPr>
          <w:rFonts w:ascii="Calibri" w:hAnsi="Calibri" w:cs="Calibri"/>
          <w:i/>
          <w:iCs/>
          <w:lang w:val="ro-RO"/>
        </w:rPr>
        <w:t>Exempt-Exempt-Taxed</w:t>
      </w:r>
      <w:r w:rsidRPr="00994421">
        <w:rPr>
          <w:rFonts w:ascii="Calibri" w:hAnsi="Calibri" w:cs="Calibri"/>
          <w:lang w:val="ro-RO"/>
        </w:rPr>
        <w:t xml:space="preserve">) pentru pensii: contribuțiile și randamentele investițiilor sunt scutite, iar beneficiile (pensiile plătite) sunt impozitate ca venit la retragere. </w:t>
      </w:r>
    </w:p>
    <w:p w14:paraId="0929A7C1" w14:textId="77777777" w:rsidR="00876C6B" w:rsidRPr="00994421" w:rsidRDefault="00876C6B" w:rsidP="002F2777">
      <w:pPr>
        <w:pStyle w:val="Textnotdesubsol"/>
        <w:jc w:val="both"/>
        <w:rPr>
          <w:rFonts w:ascii="Calibri" w:hAnsi="Calibri" w:cs="Calibri"/>
          <w:lang w:val="ro-RO"/>
        </w:rPr>
      </w:pPr>
      <w:r w:rsidRPr="00994421">
        <w:rPr>
          <w:rFonts w:ascii="Calibri" w:hAnsi="Calibri" w:cs="Calibri"/>
          <w:lang w:val="ro-RO"/>
        </w:rPr>
        <w:t xml:space="preserve">Din 34 de state OCDE, 17 aplică variante EET, inclusiv Germania, Olanda, Regatul Unit, Canada, SUA, Spania, Polonia, Estonia, Letonia și Slovacia. </w:t>
      </w:r>
    </w:p>
    <w:p w14:paraId="1E153C5B" w14:textId="77777777" w:rsidR="00876C6B" w:rsidRPr="00994421" w:rsidRDefault="00876C6B" w:rsidP="002F2777">
      <w:pPr>
        <w:pStyle w:val="Textnotdesubsol"/>
        <w:jc w:val="both"/>
        <w:rPr>
          <w:rFonts w:ascii="Calibri" w:hAnsi="Calibri" w:cs="Calibri"/>
          <w:lang w:val="ro-RO"/>
        </w:rPr>
      </w:pPr>
      <w:r w:rsidRPr="00994421">
        <w:rPr>
          <w:rFonts w:ascii="Calibri" w:hAnsi="Calibri" w:cs="Calibri"/>
          <w:lang w:val="ro-RO"/>
        </w:rPr>
        <w:t xml:space="preserve">Sub regimul EET, impozitarea pensiilor la plată este consecința logică a deductibilității contribuțiilor. </w:t>
      </w:r>
    </w:p>
    <w:p w14:paraId="2FB92D1A" w14:textId="77777777" w:rsidR="00876C6B" w:rsidRPr="00994421" w:rsidRDefault="00876C6B" w:rsidP="002F2777">
      <w:pPr>
        <w:pStyle w:val="Textnotdesubsol"/>
        <w:jc w:val="both"/>
        <w:rPr>
          <w:rFonts w:ascii="Calibri" w:hAnsi="Calibri" w:cs="Calibri"/>
          <w:lang w:val="ro-RO"/>
        </w:rPr>
      </w:pPr>
      <w:r w:rsidRPr="00994421">
        <w:rPr>
          <w:rFonts w:ascii="Calibri" w:hAnsi="Calibri" w:cs="Calibri"/>
          <w:lang w:val="ro-RO"/>
        </w:rPr>
        <w:t xml:space="preserve">Pragul fix de scutire (3.000 RON în România actuală) nu are echivalent direct în statele OCDE — majoritatea aplică un regim de impozitare progresivă al pensiilor cu deduceri personale standard. </w:t>
      </w:r>
    </w:p>
    <w:p w14:paraId="6E040134" w14:textId="77777777" w:rsidR="00876C6B" w:rsidRPr="00994421" w:rsidRDefault="00876C6B" w:rsidP="002F2777">
      <w:pPr>
        <w:pStyle w:val="Textnotdesubsol"/>
        <w:jc w:val="both"/>
        <w:rPr>
          <w:rFonts w:ascii="Calibri" w:hAnsi="Calibri" w:cs="Calibri"/>
          <w:lang w:val="ro-RO"/>
        </w:rPr>
      </w:pPr>
      <w:r w:rsidRPr="00994421">
        <w:rPr>
          <w:rFonts w:ascii="Calibri" w:hAnsi="Calibri" w:cs="Calibri"/>
          <w:lang w:val="ro-RO"/>
        </w:rPr>
        <w:t xml:space="preserve">Germania, de exemplu, impozitează pensiile progresiv, cu o fracțiune impozabilă crescând gradual (de la 50% în 2005 la 100% din 2058), dar deduce un </w:t>
      </w:r>
      <w:r w:rsidRPr="00994421">
        <w:rPr>
          <w:rFonts w:ascii="Calibri" w:hAnsi="Calibri" w:cs="Calibri"/>
          <w:i/>
          <w:iCs/>
          <w:lang w:val="ro-RO"/>
        </w:rPr>
        <w:t>Grundfreibetrag</w:t>
      </w:r>
      <w:r w:rsidRPr="00994421">
        <w:rPr>
          <w:rFonts w:ascii="Calibri" w:hAnsi="Calibri" w:cs="Calibri"/>
          <w:lang w:val="ro-RO"/>
        </w:rPr>
        <w:t xml:space="preserve"> de 12.096 EUR/an (2026) aplicabil tuturor contribuabililor, inclusiv pensionarilor, ceea ce face ca pensiile mici să fie efectiv neimpozitate. </w:t>
      </w:r>
    </w:p>
    <w:p w14:paraId="2AAF2206" w14:textId="77777777" w:rsidR="00876C6B" w:rsidRPr="00994421" w:rsidRDefault="00876C6B" w:rsidP="002F2777">
      <w:pPr>
        <w:pStyle w:val="Textnotdesubsol"/>
        <w:jc w:val="both"/>
        <w:rPr>
          <w:rFonts w:ascii="Calibri" w:hAnsi="Calibri" w:cs="Calibri"/>
          <w:lang w:val="ro-RO"/>
        </w:rPr>
      </w:pPr>
      <w:r w:rsidRPr="00994421">
        <w:rPr>
          <w:rFonts w:ascii="Calibri" w:hAnsi="Calibri" w:cs="Calibri"/>
          <w:lang w:val="ro-RO"/>
        </w:rPr>
        <w:t>Propunerea de deducere degresivă în locul pragului fix este astfel aliniată cu practica internațională dominantă.</w:t>
      </w:r>
    </w:p>
    <w:p w14:paraId="1BB91D05" w14:textId="77777777" w:rsidR="00876C6B" w:rsidRPr="00994421" w:rsidRDefault="00876C6B" w:rsidP="002F2777">
      <w:pPr>
        <w:pStyle w:val="Textnotdesubsol"/>
        <w:jc w:val="both"/>
        <w:rPr>
          <w:rFonts w:ascii="Calibri" w:hAnsi="Calibri" w:cs="Calibri"/>
          <w:lang w:val="ro-RO"/>
        </w:rPr>
      </w:pPr>
    </w:p>
    <w:p w14:paraId="0BA7A033" w14:textId="0EE5C6DB" w:rsidR="00876C6B" w:rsidRPr="0083328B" w:rsidRDefault="00876C6B" w:rsidP="002F2777">
      <w:pPr>
        <w:pStyle w:val="Textnotdesubsol"/>
        <w:jc w:val="both"/>
        <w:rPr>
          <w:rFonts w:ascii="Calibri" w:hAnsi="Calibri" w:cs="Calibri"/>
          <w:lang w:val="ro-RO"/>
        </w:rPr>
      </w:pPr>
      <w:r w:rsidRPr="00994421">
        <w:rPr>
          <w:rFonts w:ascii="Calibri" w:hAnsi="Calibri" w:cs="Calibri"/>
          <w:i/>
          <w:iCs/>
          <w:lang w:val="ro-RO"/>
        </w:rPr>
        <w:t>Surse: OECD, Financial Incentives and Retirement Savings, 2018; Tax Foundation, Tax Treatment of Retirement Accounts, octombrie 2025; ISSA, Social Security Developments and Trends — Europe 2024.</w:t>
      </w:r>
    </w:p>
  </w:footnote>
  <w:footnote w:id="32">
    <w:p w14:paraId="5DC36272" w14:textId="77777777" w:rsidR="002961F3" w:rsidRPr="00605C32" w:rsidRDefault="002961F3" w:rsidP="002F2777">
      <w:pPr>
        <w:pStyle w:val="Textnotdesubsol"/>
        <w:jc w:val="both"/>
        <w:rPr>
          <w:rFonts w:ascii="Calibri" w:hAnsi="Calibri" w:cs="Calibri"/>
          <w:lang w:val="ro-RO"/>
        </w:rPr>
      </w:pPr>
      <w:r w:rsidRPr="0083328B">
        <w:rPr>
          <w:rStyle w:val="Referinnotdesubsol"/>
          <w:rFonts w:ascii="Calibri" w:hAnsi="Calibri" w:cs="Calibri"/>
          <w:lang w:val="ro-RO"/>
        </w:rPr>
        <w:footnoteRef/>
      </w:r>
      <w:r w:rsidRPr="0083328B">
        <w:rPr>
          <w:rFonts w:ascii="Calibri" w:hAnsi="Calibri" w:cs="Calibri"/>
          <w:lang w:val="ro-RO"/>
        </w:rPr>
        <w:t xml:space="preserve"> </w:t>
      </w:r>
      <w:r w:rsidRPr="00605C32">
        <w:rPr>
          <w:rFonts w:ascii="Calibri" w:hAnsi="Calibri" w:cs="Calibri"/>
          <w:lang w:val="ro-RO"/>
        </w:rPr>
        <w:t>Inițiative similare de aducere în conformare prin declarații voluntare („</w:t>
      </w:r>
      <w:r w:rsidRPr="00605C32">
        <w:rPr>
          <w:rFonts w:ascii="Calibri" w:hAnsi="Calibri" w:cs="Calibri"/>
          <w:i/>
          <w:iCs/>
          <w:lang w:val="ro-RO"/>
        </w:rPr>
        <w:t>voluntary disclosure</w:t>
      </w:r>
      <w:r w:rsidRPr="00605C32">
        <w:rPr>
          <w:rFonts w:ascii="Calibri" w:hAnsi="Calibri" w:cs="Calibri"/>
          <w:lang w:val="ro-RO"/>
        </w:rPr>
        <w:t xml:space="preserve">”) au fost implementate în mai multe state: Italia (programul de voluntary disclosure din 2015, care a generat venituri semnificative); Regatul Unit (Liechtenstein Disclosure Facility); Africa de Sud (Special Voluntary Disclosure Programme); Argentina (sinceramiento fiscal). OCDE a publicat ghiduri dedicate abordării contribuabililor cu avere mare (HNWI), care menționează explicit programele de voluntary disclosure ca instrument eficient de aducere în conformare. </w:t>
      </w:r>
    </w:p>
    <w:p w14:paraId="2BA49FF5" w14:textId="77777777" w:rsidR="002961F3" w:rsidRPr="00605C32" w:rsidRDefault="002961F3" w:rsidP="002F2777">
      <w:pPr>
        <w:pStyle w:val="Textnotdesubsol"/>
        <w:jc w:val="both"/>
        <w:rPr>
          <w:rFonts w:ascii="Calibri" w:hAnsi="Calibri" w:cs="Calibri"/>
          <w:lang w:val="ro-RO"/>
        </w:rPr>
      </w:pPr>
      <w:r w:rsidRPr="00605C32">
        <w:rPr>
          <w:rFonts w:ascii="Calibri" w:hAnsi="Calibri" w:cs="Calibri"/>
          <w:lang w:val="ro-RO"/>
        </w:rPr>
        <w:t xml:space="preserve">Complementar, Spania operează Form 720 (declarație informativă privind activele deținute în străinătate), cu prag de raportare de 50.000 EUR pe categorie. </w:t>
      </w:r>
    </w:p>
    <w:p w14:paraId="65994D19" w14:textId="77777777" w:rsidR="002961F3" w:rsidRPr="00605C32" w:rsidRDefault="002961F3" w:rsidP="002F2777">
      <w:pPr>
        <w:pStyle w:val="Textnotdesubsol"/>
        <w:jc w:val="both"/>
        <w:rPr>
          <w:rFonts w:ascii="Calibri" w:hAnsi="Calibri" w:cs="Calibri"/>
          <w:lang w:val="ro-RO"/>
        </w:rPr>
      </w:pPr>
      <w:r w:rsidRPr="00605C32">
        <w:rPr>
          <w:rFonts w:ascii="Calibri" w:hAnsi="Calibri" w:cs="Calibri"/>
          <w:lang w:val="ro-RO"/>
        </w:rPr>
        <w:t xml:space="preserve">Este important de reținut că regimul sancționator inițial al Form 720 a fost declarat contrar dreptului UE de CJUE (cauza C-788/19, 27 ianuarie 2022), care a constatat că amenzile disproporționate și absența termenului de prescripție constituie o restricție a liberei circulații a capitalurilor. </w:t>
      </w:r>
    </w:p>
    <w:p w14:paraId="452FA2C8" w14:textId="77777777" w:rsidR="002961F3" w:rsidRPr="00605C32" w:rsidRDefault="002961F3" w:rsidP="002F2777">
      <w:pPr>
        <w:pStyle w:val="Textnotdesubsol"/>
        <w:jc w:val="both"/>
        <w:rPr>
          <w:rFonts w:ascii="Calibri" w:hAnsi="Calibri" w:cs="Calibri"/>
          <w:lang w:val="ro-RO"/>
        </w:rPr>
      </w:pPr>
    </w:p>
    <w:p w14:paraId="4F849F4F" w14:textId="77777777" w:rsidR="002961F3" w:rsidRPr="00605C32" w:rsidRDefault="002961F3" w:rsidP="002F2777">
      <w:pPr>
        <w:pStyle w:val="Textnotdesubsol"/>
        <w:jc w:val="both"/>
        <w:rPr>
          <w:rFonts w:ascii="Calibri" w:hAnsi="Calibri" w:cs="Calibri"/>
          <w:lang w:val="ro-RO"/>
        </w:rPr>
      </w:pPr>
      <w:r w:rsidRPr="00605C32">
        <w:rPr>
          <w:rFonts w:ascii="Calibri" w:hAnsi="Calibri" w:cs="Calibri"/>
          <w:lang w:val="ro-RO"/>
        </w:rPr>
        <w:t>Orice mecanism similar trebuie să respecte principiul proporționalității și să prevadă termene de prescripție.</w:t>
      </w:r>
    </w:p>
    <w:p w14:paraId="2DE06C92" w14:textId="77777777" w:rsidR="002961F3" w:rsidRPr="00605C32" w:rsidRDefault="002961F3" w:rsidP="002F2777">
      <w:pPr>
        <w:pStyle w:val="Textnotdesubsol"/>
        <w:jc w:val="both"/>
        <w:rPr>
          <w:rFonts w:ascii="Calibri" w:hAnsi="Calibri" w:cs="Calibri"/>
          <w:lang w:val="ro-RO"/>
        </w:rPr>
      </w:pPr>
    </w:p>
    <w:p w14:paraId="5CC47246" w14:textId="7B746356" w:rsidR="002961F3" w:rsidRPr="0083328B" w:rsidRDefault="002961F3" w:rsidP="002F2777">
      <w:pPr>
        <w:pStyle w:val="Textnotdesubsol"/>
        <w:jc w:val="both"/>
        <w:rPr>
          <w:rFonts w:ascii="Calibri" w:hAnsi="Calibri" w:cs="Calibri"/>
          <w:lang w:val="ro-RO"/>
        </w:rPr>
      </w:pPr>
      <w:r w:rsidRPr="00605C32">
        <w:rPr>
          <w:rFonts w:ascii="Calibri" w:hAnsi="Calibri" w:cs="Calibri"/>
          <w:i/>
          <w:iCs/>
          <w:lang w:val="ro-RO"/>
        </w:rPr>
        <w:t>Surse: OECD, Engaging with High Net Worth Individuals on Tax Compliance, 2009; Agencia Tributaria (ES), Form 720; CJUE, C-788/19, Comisia vs. Spania, 2022; Comisia Europeană, Compliance Risk Management Guide, 2024; OECD Global Forum, Effective Beneficial Ownership Frameworks Toolkit.</w:t>
      </w:r>
    </w:p>
  </w:footnote>
  <w:footnote w:id="33">
    <w:p w14:paraId="3DB05E06" w14:textId="589B9FE5" w:rsidR="00D14AED" w:rsidRPr="00FC33EA" w:rsidRDefault="00D14AED" w:rsidP="00D14AED">
      <w:pPr>
        <w:pStyle w:val="Textnotdesubsol"/>
        <w:jc w:val="both"/>
        <w:rPr>
          <w:rFonts w:ascii="Calibri" w:hAnsi="Calibri" w:cs="Calibri"/>
          <w:lang w:val="ro-RO"/>
        </w:rPr>
      </w:pPr>
      <w:r w:rsidRPr="00605C32">
        <w:rPr>
          <w:rStyle w:val="Referinnotdesubsol"/>
          <w:rFonts w:ascii="Calibri" w:hAnsi="Calibri" w:cs="Calibri"/>
        </w:rPr>
        <w:footnoteRef/>
      </w:r>
      <w:r w:rsidRPr="00605C32">
        <w:rPr>
          <w:rFonts w:ascii="Calibri" w:hAnsi="Calibri" w:cs="Calibri"/>
          <w:lang w:val="ro-RO"/>
        </w:rPr>
        <w:t xml:space="preserve"> Propunerea respectă cerințele art. 5 din ATAD, inclusiv obligația de acordare a unei eșalonări de plată pe o perioadă de cel puțin 5 ani în cazul mutării rezidenței într-un alt stat membru UE sau SEE.</w:t>
      </w:r>
    </w:p>
    <w:p w14:paraId="1E523FB0" w14:textId="77777777" w:rsidR="00D14AED" w:rsidRPr="00D14AED" w:rsidRDefault="00D14AED" w:rsidP="00D14AED">
      <w:pPr>
        <w:pStyle w:val="Textnotdesubsol"/>
        <w:jc w:val="both"/>
        <w:rPr>
          <w:rFonts w:ascii="Calibri" w:hAnsi="Calibri" w:cs="Calibri"/>
          <w:lang w:val="ro-RO"/>
        </w:rPr>
      </w:pPr>
    </w:p>
  </w:footnote>
  <w:footnote w:id="34">
    <w:p w14:paraId="29BD6BCD" w14:textId="5224F968" w:rsidR="000D4C58" w:rsidRPr="00605C32" w:rsidRDefault="000D4C58" w:rsidP="002F2777">
      <w:pPr>
        <w:pStyle w:val="Textnotdesubsol"/>
        <w:jc w:val="both"/>
        <w:rPr>
          <w:rFonts w:ascii="Calibri" w:hAnsi="Calibri" w:cs="Calibri"/>
          <w:lang w:val="ro-RO"/>
        </w:rPr>
      </w:pPr>
      <w:r w:rsidRPr="0083328B">
        <w:rPr>
          <w:rStyle w:val="Referinnotdesubsol"/>
          <w:rFonts w:ascii="Calibri" w:hAnsi="Calibri" w:cs="Calibri"/>
          <w:lang w:val="ro-RO"/>
        </w:rPr>
        <w:footnoteRef/>
      </w:r>
      <w:r w:rsidRPr="0083328B">
        <w:rPr>
          <w:rFonts w:ascii="Calibri" w:hAnsi="Calibri" w:cs="Calibri"/>
          <w:lang w:val="ro-RO"/>
        </w:rPr>
        <w:t xml:space="preserve"> </w:t>
      </w:r>
      <w:r w:rsidRPr="00605C32">
        <w:rPr>
          <w:rFonts w:ascii="Calibri" w:hAnsi="Calibri" w:cs="Calibri"/>
          <w:lang w:val="ro-RO"/>
        </w:rPr>
        <w:t xml:space="preserve">Mai multe state membre aplică deja exit tax pe persoane fizice: </w:t>
      </w:r>
      <w:r w:rsidR="00D14AED" w:rsidRPr="00605C32">
        <w:rPr>
          <w:rFonts w:ascii="Calibri" w:hAnsi="Calibri" w:cs="Calibri"/>
          <w:lang w:val="ro-RO"/>
        </w:rPr>
        <w:t xml:space="preserve"> </w:t>
      </w:r>
      <w:r w:rsidRPr="00605C32">
        <w:rPr>
          <w:rFonts w:ascii="Calibri" w:hAnsi="Calibri" w:cs="Calibri"/>
          <w:lang w:val="ro-RO"/>
        </w:rPr>
        <w:t>Franța aplică exit tax pe participanții cu dețineri &gt;50% sau &gt;800.000 EUR, la cota PFU de 30%, cu amânare pe perioadă de monitorizare 2–5 ani (dacă activele nu sunt înstrăinate, taxa se anulează). Germania (</w:t>
      </w:r>
      <w:r w:rsidRPr="00605C32">
        <w:rPr>
          <w:rFonts w:ascii="Calibri" w:hAnsi="Calibri" w:cs="Calibri"/>
          <w:i/>
          <w:iCs/>
          <w:lang w:val="ro-RO"/>
        </w:rPr>
        <w:t>Wegzugsbesteuerung</w:t>
      </w:r>
      <w:r w:rsidRPr="00605C32">
        <w:rPr>
          <w:rFonts w:ascii="Calibri" w:hAnsi="Calibri" w:cs="Calibri"/>
          <w:lang w:val="ro-RO"/>
        </w:rPr>
        <w:t xml:space="preserve">, §6 AStG) aplică exit tax pe participanții ≥1% în societăți, cu plata eșalonată pe 7 ani pentru relocări în UE/SEE. Polonia aplică exit tax de 19% pe persoane fizice, prag 4 milioane PLN (~937.000 EUR). </w:t>
      </w:r>
    </w:p>
    <w:p w14:paraId="62DD5669" w14:textId="77777777" w:rsidR="000D4C58" w:rsidRPr="00605C32" w:rsidRDefault="000D4C58" w:rsidP="002F2777">
      <w:pPr>
        <w:pStyle w:val="Textnotdesubsol"/>
        <w:jc w:val="both"/>
        <w:rPr>
          <w:rFonts w:ascii="Calibri" w:hAnsi="Calibri" w:cs="Calibri"/>
          <w:lang w:val="ro-RO"/>
        </w:rPr>
      </w:pPr>
      <w:r w:rsidRPr="00605C32">
        <w:rPr>
          <w:rFonts w:ascii="Calibri" w:hAnsi="Calibri" w:cs="Calibri"/>
          <w:lang w:val="ro-RO"/>
        </w:rPr>
        <w:t>Orice implementare în România trebuie să prevadă: (a) eșalonarea pe cel puțin 5 ani pentru relocări intra-UE, conform ATAD art. 5 și jurisprudenței CJUE; (b) aplicarea exclusivă asupra câștigurilor acumulate în perioada de rezidență fiscală românească; (c) o metodologie clară de evaluare a câștigurilor nerealizate; (d) diferențierea între ieșiri intra-UE (în rate) și extra-UE (plată imediată).</w:t>
      </w:r>
    </w:p>
    <w:p w14:paraId="6048EA29" w14:textId="77777777" w:rsidR="000D4C58" w:rsidRPr="00605C32" w:rsidRDefault="000D4C58" w:rsidP="002F2777">
      <w:pPr>
        <w:pStyle w:val="Textnotdesubsol"/>
        <w:jc w:val="both"/>
        <w:rPr>
          <w:rFonts w:ascii="Calibri" w:hAnsi="Calibri" w:cs="Calibri"/>
          <w:lang w:val="ro-RO"/>
        </w:rPr>
      </w:pPr>
    </w:p>
    <w:p w14:paraId="531A12DD" w14:textId="3C605C5B" w:rsidR="000D4C58" w:rsidRPr="0083328B" w:rsidRDefault="000D4C58" w:rsidP="002F2777">
      <w:pPr>
        <w:pStyle w:val="Textnotdesubsol"/>
        <w:jc w:val="both"/>
        <w:rPr>
          <w:rFonts w:ascii="Calibri" w:hAnsi="Calibri" w:cs="Calibri"/>
          <w:lang w:val="ro-RO"/>
        </w:rPr>
      </w:pPr>
      <w:r w:rsidRPr="00605C32">
        <w:rPr>
          <w:rFonts w:ascii="Calibri" w:hAnsi="Calibri" w:cs="Calibri"/>
          <w:i/>
          <w:iCs/>
          <w:lang w:val="ro-RO"/>
        </w:rPr>
        <w:t>Surse: Syntaxe Avocats, The French Exit Tax in a Nutshell, 2025; PwC Tax Summaries, Germany, 2025; KPMG, Poland: Compatibility of exit tax with EU law (CJEU C-430/25), 2025.</w:t>
      </w:r>
    </w:p>
  </w:footnote>
  <w:footnote w:id="35">
    <w:p w14:paraId="4514C321" w14:textId="53655423" w:rsidR="00C81AB5" w:rsidRPr="001A1CB7" w:rsidRDefault="00C81AB5" w:rsidP="00C81AB5">
      <w:pPr>
        <w:pStyle w:val="Textnotdesubsol"/>
        <w:jc w:val="both"/>
        <w:rPr>
          <w:rFonts w:ascii="Calibri" w:hAnsi="Calibri" w:cs="Calibri"/>
          <w:lang w:val="ro-RO"/>
        </w:rPr>
      </w:pPr>
      <w:r w:rsidRPr="001A1CB7">
        <w:rPr>
          <w:rStyle w:val="Referinnotdesubsol"/>
          <w:rFonts w:ascii="Calibri" w:hAnsi="Calibri" w:cs="Calibri"/>
        </w:rPr>
        <w:footnoteRef/>
      </w:r>
      <w:r w:rsidRPr="00E5474C">
        <w:rPr>
          <w:rFonts w:ascii="Calibri" w:hAnsi="Calibri" w:cs="Calibri"/>
          <w:lang w:val="ro-RO"/>
        </w:rPr>
        <w:t xml:space="preserve"> Declarația unică devine un instrument exclusiv de regularizare anuală, prin care contribuabilul compară sumele reținute la sursă cu obligațiile fiscale totale calculate pe suma veniturilor. </w:t>
      </w:r>
      <w:r w:rsidRPr="001A1CB7">
        <w:rPr>
          <w:rFonts w:ascii="Calibri" w:hAnsi="Calibri" w:cs="Calibri"/>
          <w:lang w:val="it-IT"/>
        </w:rPr>
        <w:t>Eventualele diferențe se regularizează prin plată suplimentară sau restituire, după caz.</w:t>
      </w:r>
    </w:p>
  </w:footnote>
  <w:footnote w:id="36">
    <w:p w14:paraId="0C3E0928" w14:textId="05B96E97" w:rsidR="0007748A" w:rsidRPr="00C268E7" w:rsidRDefault="0007748A" w:rsidP="002F2777">
      <w:pPr>
        <w:pStyle w:val="Textnotdesubsol"/>
        <w:jc w:val="both"/>
        <w:rPr>
          <w:rFonts w:ascii="Calibri" w:hAnsi="Calibri" w:cs="Calibri"/>
          <w:lang w:val="ro-RO"/>
        </w:rPr>
      </w:pPr>
      <w:r w:rsidRPr="001A1CB7">
        <w:rPr>
          <w:rStyle w:val="Referinnotdesubsol"/>
          <w:rFonts w:ascii="Calibri" w:hAnsi="Calibri" w:cs="Calibri"/>
          <w:lang w:val="ro-RO"/>
        </w:rPr>
        <w:footnoteRef/>
      </w:r>
      <w:r w:rsidRPr="001A1CB7">
        <w:rPr>
          <w:rFonts w:ascii="Calibri" w:hAnsi="Calibri" w:cs="Calibri"/>
          <w:lang w:val="ro-RO"/>
        </w:rPr>
        <w:t xml:space="preserve"> </w:t>
      </w:r>
      <w:r w:rsidRPr="00C268E7">
        <w:rPr>
          <w:rFonts w:ascii="Calibri" w:hAnsi="Calibri" w:cs="Calibri"/>
          <w:lang w:val="ro-RO"/>
        </w:rPr>
        <w:t>Implementarea unora dintre măsurile propuse (regulile CFC, ex</w:t>
      </w:r>
      <w:r w:rsidR="00171EDA">
        <w:rPr>
          <w:rFonts w:ascii="Calibri" w:hAnsi="Calibri" w:cs="Calibri"/>
          <w:lang w:val="ro-RO"/>
        </w:rPr>
        <w:t>it</w:t>
      </w:r>
      <w:r w:rsidRPr="00C268E7">
        <w:rPr>
          <w:rFonts w:ascii="Calibri" w:hAnsi="Calibri" w:cs="Calibri"/>
          <w:lang w:val="ro-RO"/>
        </w:rPr>
        <w:t xml:space="preserve"> tax, „momentul zero”) necesită o infrastructură de date și o capacitate administrativă pe care ANAF nu le are integral în prezent. </w:t>
      </w:r>
    </w:p>
    <w:p w14:paraId="42F1F9DB" w14:textId="35D44B88" w:rsidR="0007748A" w:rsidRPr="00C268E7" w:rsidRDefault="0007748A" w:rsidP="002F2777">
      <w:pPr>
        <w:pStyle w:val="Textnotdesubsol"/>
        <w:jc w:val="both"/>
        <w:rPr>
          <w:rFonts w:ascii="Calibri" w:hAnsi="Calibri" w:cs="Calibri"/>
          <w:lang w:val="ro-RO"/>
        </w:rPr>
      </w:pPr>
      <w:r w:rsidRPr="00C268E7">
        <w:rPr>
          <w:rFonts w:ascii="Calibri" w:hAnsi="Calibri" w:cs="Calibri"/>
          <w:lang w:val="ro-RO"/>
        </w:rPr>
        <w:t>Se recomandă o abordare pragmatică în două faze: Faza 1 (implementare imediată) — unificarea bazelor de calcul, plafonarea CAS/CASS, revenirea la 16%, extinderea reținerii la sursă, asimilarea criptomonedelor cu câștigurile de capital, ex</w:t>
      </w:r>
      <w:r w:rsidR="00171EDA">
        <w:rPr>
          <w:rFonts w:ascii="Calibri" w:hAnsi="Calibri" w:cs="Calibri"/>
          <w:lang w:val="ro-RO"/>
        </w:rPr>
        <w:t>it</w:t>
      </w:r>
      <w:r w:rsidRPr="00C268E7">
        <w:rPr>
          <w:rFonts w:ascii="Calibri" w:hAnsi="Calibri" w:cs="Calibri"/>
          <w:lang w:val="ro-RO"/>
        </w:rPr>
        <w:t xml:space="preserve"> tax, „moment zero”, transparența fiscală a microîntreprinderilor; Faza 2 (implementare în 2–3 ani, condiționată de capacitate) — CFC rules. </w:t>
      </w:r>
    </w:p>
    <w:p w14:paraId="0B993274" w14:textId="0768B2F8" w:rsidR="0007748A" w:rsidRPr="001A1CB7" w:rsidRDefault="0007748A" w:rsidP="002F2777">
      <w:pPr>
        <w:pStyle w:val="Textnotdesubsol"/>
        <w:jc w:val="both"/>
        <w:rPr>
          <w:rFonts w:ascii="Calibri" w:hAnsi="Calibri" w:cs="Calibri"/>
          <w:lang w:val="ro-RO"/>
        </w:rPr>
      </w:pPr>
      <w:r w:rsidRPr="00C268E7">
        <w:rPr>
          <w:rFonts w:ascii="Calibri" w:hAnsi="Calibri" w:cs="Calibri"/>
          <w:lang w:val="ro-RO"/>
        </w:rPr>
        <w:t>Această etapizare este conformă cu recomandarea din analiza de bune practici, care identifică ca model o trecere de la un „Model UE simplu” (Faza 1) la un „Model OCDE robust” (Faza 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3F7B"/>
    <w:multiLevelType w:val="multilevel"/>
    <w:tmpl w:val="A588DB30"/>
    <w:lvl w:ilvl="0">
      <w:start w:val="1"/>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8A12A9"/>
    <w:multiLevelType w:val="hybridMultilevel"/>
    <w:tmpl w:val="E49605BC"/>
    <w:lvl w:ilvl="0" w:tplc="676AC7C2">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983130"/>
    <w:multiLevelType w:val="multilevel"/>
    <w:tmpl w:val="F3662012"/>
    <w:lvl w:ilvl="0">
      <w:start w:val="1"/>
      <w:numFmt w:val="decimal"/>
      <w:lvlText w:val="%1"/>
      <w:lvlJc w:val="left"/>
      <w:pPr>
        <w:ind w:left="360" w:hanging="360"/>
      </w:pPr>
      <w:rPr>
        <w:rFonts w:hint="default"/>
      </w:rPr>
    </w:lvl>
    <w:lvl w:ilvl="1">
      <w:start w:val="10"/>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C93B21"/>
    <w:multiLevelType w:val="multilevel"/>
    <w:tmpl w:val="37FAEEBA"/>
    <w:lvl w:ilvl="0">
      <w:start w:val="1"/>
      <w:numFmt w:val="decimal"/>
      <w:lvlText w:val="%1"/>
      <w:lvlJc w:val="left"/>
      <w:pPr>
        <w:ind w:left="458" w:hanging="458"/>
      </w:pPr>
      <w:rPr>
        <w:rFonts w:hint="default"/>
      </w:rPr>
    </w:lvl>
    <w:lvl w:ilvl="1">
      <w:start w:val="13"/>
      <w:numFmt w:val="decimal"/>
      <w:lvlText w:val="%1.%2"/>
      <w:lvlJc w:val="left"/>
      <w:pPr>
        <w:ind w:left="458" w:hanging="45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B60601"/>
    <w:multiLevelType w:val="hybridMultilevel"/>
    <w:tmpl w:val="E06E77C8"/>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07F577A4"/>
    <w:multiLevelType w:val="multilevel"/>
    <w:tmpl w:val="1B5CEDDA"/>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97F05F0"/>
    <w:multiLevelType w:val="hybridMultilevel"/>
    <w:tmpl w:val="2A7AF7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F77978"/>
    <w:multiLevelType w:val="hybridMultilevel"/>
    <w:tmpl w:val="4C664BEE"/>
    <w:lvl w:ilvl="0" w:tplc="A0F0B1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C43305"/>
    <w:multiLevelType w:val="hybridMultilevel"/>
    <w:tmpl w:val="B26445FE"/>
    <w:lvl w:ilvl="0" w:tplc="B2502D36">
      <w:start w:val="1"/>
      <w:numFmt w:val="lowerRoman"/>
      <w:lvlText w:val="%1)"/>
      <w:lvlJc w:val="left"/>
      <w:pPr>
        <w:ind w:left="720" w:hanging="360"/>
      </w:pPr>
      <w:rPr>
        <w:rFonts w:asciiTheme="minorBidi" w:hAnsiTheme="minorBidi" w:cstheme="minorBidi" w:hint="default"/>
        <w:b w:val="0"/>
        <w:bCs w:val="0"/>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E0D3246"/>
    <w:multiLevelType w:val="multilevel"/>
    <w:tmpl w:val="E94A539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EBC0808"/>
    <w:multiLevelType w:val="hybridMultilevel"/>
    <w:tmpl w:val="591E5844"/>
    <w:lvl w:ilvl="0" w:tplc="3022CC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777705"/>
    <w:multiLevelType w:val="hybridMultilevel"/>
    <w:tmpl w:val="DFEE57BA"/>
    <w:lvl w:ilvl="0" w:tplc="F6FA7124">
      <w:start w:val="1"/>
      <w:numFmt w:val="lowerRoman"/>
      <w:lvlText w:val="(%1)"/>
      <w:lvlJc w:val="left"/>
      <w:pPr>
        <w:ind w:left="720" w:hanging="360"/>
      </w:pPr>
      <w:rPr>
        <w:rFonts w:asciiTheme="majorHAnsi" w:hAnsiTheme="majorHAnsi" w:cstheme="minorBidi"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74606C"/>
    <w:multiLevelType w:val="hybridMultilevel"/>
    <w:tmpl w:val="76284E70"/>
    <w:lvl w:ilvl="0" w:tplc="7BE44E2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702E21"/>
    <w:multiLevelType w:val="multilevel"/>
    <w:tmpl w:val="B6103B08"/>
    <w:lvl w:ilvl="0">
      <w:start w:val="1"/>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24539A"/>
    <w:multiLevelType w:val="hybridMultilevel"/>
    <w:tmpl w:val="19C883C8"/>
    <w:lvl w:ilvl="0" w:tplc="C734CF4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A62A4E"/>
    <w:multiLevelType w:val="hybridMultilevel"/>
    <w:tmpl w:val="6B5073BA"/>
    <w:lvl w:ilvl="0" w:tplc="34D2E312">
      <w:numFmt w:val="bullet"/>
      <w:lvlText w:val="-"/>
      <w:lvlJc w:val="left"/>
      <w:pPr>
        <w:ind w:left="1260" w:hanging="360"/>
      </w:pPr>
      <w:rPr>
        <w:rFonts w:ascii="Aptos" w:eastAsiaTheme="minorHAnsi" w:hAnsi="Aptos" w:cstheme="minorBid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160D1B6E"/>
    <w:multiLevelType w:val="hybridMultilevel"/>
    <w:tmpl w:val="15AA8D9E"/>
    <w:lvl w:ilvl="0" w:tplc="34D2E312">
      <w:numFmt w:val="bullet"/>
      <w:lvlText w:val="-"/>
      <w:lvlJc w:val="left"/>
      <w:pPr>
        <w:ind w:left="1440" w:hanging="360"/>
      </w:pPr>
      <w:rPr>
        <w:rFonts w:ascii="Aptos" w:eastAsiaTheme="minorHAnsi" w:hAnsi="Aptos"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813588B"/>
    <w:multiLevelType w:val="multilevel"/>
    <w:tmpl w:val="90F0B780"/>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9227388"/>
    <w:multiLevelType w:val="hybridMultilevel"/>
    <w:tmpl w:val="2EC20D24"/>
    <w:lvl w:ilvl="0" w:tplc="0C80C5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54360E"/>
    <w:multiLevelType w:val="multilevel"/>
    <w:tmpl w:val="F56A69EC"/>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8D3BBB"/>
    <w:multiLevelType w:val="hybridMultilevel"/>
    <w:tmpl w:val="4F028348"/>
    <w:lvl w:ilvl="0" w:tplc="6DB061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BA4EBF"/>
    <w:multiLevelType w:val="hybridMultilevel"/>
    <w:tmpl w:val="BA68C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18658B"/>
    <w:multiLevelType w:val="multilevel"/>
    <w:tmpl w:val="AB78CA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2C8403B8"/>
    <w:multiLevelType w:val="hybridMultilevel"/>
    <w:tmpl w:val="CC78D69A"/>
    <w:lvl w:ilvl="0" w:tplc="502048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8769D0"/>
    <w:multiLevelType w:val="multilevel"/>
    <w:tmpl w:val="43A44A20"/>
    <w:lvl w:ilvl="0">
      <w:start w:val="1"/>
      <w:numFmt w:val="decimal"/>
      <w:lvlText w:val="%1"/>
      <w:lvlJc w:val="left"/>
      <w:pPr>
        <w:ind w:left="518" w:hanging="518"/>
      </w:pPr>
      <w:rPr>
        <w:rFonts w:hint="default"/>
      </w:rPr>
    </w:lvl>
    <w:lvl w:ilvl="1">
      <w:start w:val="1"/>
      <w:numFmt w:val="decimal"/>
      <w:lvlText w:val="%1.%2"/>
      <w:lvlJc w:val="left"/>
      <w:pPr>
        <w:ind w:left="518" w:hanging="51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5E4203A"/>
    <w:multiLevelType w:val="hybridMultilevel"/>
    <w:tmpl w:val="6908CF0C"/>
    <w:lvl w:ilvl="0" w:tplc="3E8290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65105F6"/>
    <w:multiLevelType w:val="hybridMultilevel"/>
    <w:tmpl w:val="BF8AC12A"/>
    <w:lvl w:ilvl="0" w:tplc="359ADAF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9217063"/>
    <w:multiLevelType w:val="hybridMultilevel"/>
    <w:tmpl w:val="8BD4D1D2"/>
    <w:lvl w:ilvl="0" w:tplc="34D2E312">
      <w:numFmt w:val="bullet"/>
      <w:lvlText w:val="-"/>
      <w:lvlJc w:val="left"/>
      <w:pPr>
        <w:ind w:left="1278" w:hanging="360"/>
      </w:pPr>
      <w:rPr>
        <w:rFonts w:ascii="Aptos" w:eastAsiaTheme="minorHAnsi" w:hAnsi="Aptos" w:cstheme="minorBidi" w:hint="default"/>
      </w:rPr>
    </w:lvl>
    <w:lvl w:ilvl="1" w:tplc="04090003" w:tentative="1">
      <w:start w:val="1"/>
      <w:numFmt w:val="bullet"/>
      <w:lvlText w:val="o"/>
      <w:lvlJc w:val="left"/>
      <w:pPr>
        <w:ind w:left="1998" w:hanging="360"/>
      </w:pPr>
      <w:rPr>
        <w:rFonts w:ascii="Courier New" w:hAnsi="Courier New" w:cs="Courier New" w:hint="default"/>
      </w:rPr>
    </w:lvl>
    <w:lvl w:ilvl="2" w:tplc="04090005" w:tentative="1">
      <w:start w:val="1"/>
      <w:numFmt w:val="bullet"/>
      <w:lvlText w:val=""/>
      <w:lvlJc w:val="left"/>
      <w:pPr>
        <w:ind w:left="2718" w:hanging="360"/>
      </w:pPr>
      <w:rPr>
        <w:rFonts w:ascii="Wingdings" w:hAnsi="Wingdings" w:hint="default"/>
      </w:rPr>
    </w:lvl>
    <w:lvl w:ilvl="3" w:tplc="04090001" w:tentative="1">
      <w:start w:val="1"/>
      <w:numFmt w:val="bullet"/>
      <w:lvlText w:val=""/>
      <w:lvlJc w:val="left"/>
      <w:pPr>
        <w:ind w:left="3438" w:hanging="360"/>
      </w:pPr>
      <w:rPr>
        <w:rFonts w:ascii="Symbol" w:hAnsi="Symbol" w:hint="default"/>
      </w:rPr>
    </w:lvl>
    <w:lvl w:ilvl="4" w:tplc="04090003" w:tentative="1">
      <w:start w:val="1"/>
      <w:numFmt w:val="bullet"/>
      <w:lvlText w:val="o"/>
      <w:lvlJc w:val="left"/>
      <w:pPr>
        <w:ind w:left="4158" w:hanging="360"/>
      </w:pPr>
      <w:rPr>
        <w:rFonts w:ascii="Courier New" w:hAnsi="Courier New" w:cs="Courier New" w:hint="default"/>
      </w:rPr>
    </w:lvl>
    <w:lvl w:ilvl="5" w:tplc="04090005" w:tentative="1">
      <w:start w:val="1"/>
      <w:numFmt w:val="bullet"/>
      <w:lvlText w:val=""/>
      <w:lvlJc w:val="left"/>
      <w:pPr>
        <w:ind w:left="4878" w:hanging="360"/>
      </w:pPr>
      <w:rPr>
        <w:rFonts w:ascii="Wingdings" w:hAnsi="Wingdings" w:hint="default"/>
      </w:rPr>
    </w:lvl>
    <w:lvl w:ilvl="6" w:tplc="04090001" w:tentative="1">
      <w:start w:val="1"/>
      <w:numFmt w:val="bullet"/>
      <w:lvlText w:val=""/>
      <w:lvlJc w:val="left"/>
      <w:pPr>
        <w:ind w:left="5598" w:hanging="360"/>
      </w:pPr>
      <w:rPr>
        <w:rFonts w:ascii="Symbol" w:hAnsi="Symbol" w:hint="default"/>
      </w:rPr>
    </w:lvl>
    <w:lvl w:ilvl="7" w:tplc="04090003" w:tentative="1">
      <w:start w:val="1"/>
      <w:numFmt w:val="bullet"/>
      <w:lvlText w:val="o"/>
      <w:lvlJc w:val="left"/>
      <w:pPr>
        <w:ind w:left="6318" w:hanging="360"/>
      </w:pPr>
      <w:rPr>
        <w:rFonts w:ascii="Courier New" w:hAnsi="Courier New" w:cs="Courier New" w:hint="default"/>
      </w:rPr>
    </w:lvl>
    <w:lvl w:ilvl="8" w:tplc="04090005" w:tentative="1">
      <w:start w:val="1"/>
      <w:numFmt w:val="bullet"/>
      <w:lvlText w:val=""/>
      <w:lvlJc w:val="left"/>
      <w:pPr>
        <w:ind w:left="7038" w:hanging="360"/>
      </w:pPr>
      <w:rPr>
        <w:rFonts w:ascii="Wingdings" w:hAnsi="Wingdings" w:hint="default"/>
      </w:rPr>
    </w:lvl>
  </w:abstractNum>
  <w:abstractNum w:abstractNumId="28" w15:restartNumberingAfterBreak="0">
    <w:nsid w:val="395F2FAC"/>
    <w:multiLevelType w:val="multilevel"/>
    <w:tmpl w:val="14E29F28"/>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AB62058"/>
    <w:multiLevelType w:val="hybridMultilevel"/>
    <w:tmpl w:val="A8401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C902996"/>
    <w:multiLevelType w:val="hybridMultilevel"/>
    <w:tmpl w:val="DE761004"/>
    <w:lvl w:ilvl="0" w:tplc="CA70B290">
      <w:start w:val="1"/>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1" w15:restartNumberingAfterBreak="0">
    <w:nsid w:val="412A3518"/>
    <w:multiLevelType w:val="hybridMultilevel"/>
    <w:tmpl w:val="1398EE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87624B0"/>
    <w:multiLevelType w:val="hybridMultilevel"/>
    <w:tmpl w:val="7D28DC1A"/>
    <w:lvl w:ilvl="0" w:tplc="0F5EC530">
      <w:start w:val="1"/>
      <w:numFmt w:val="lowerRoman"/>
      <w:lvlText w:val="%1)"/>
      <w:lvlJc w:val="left"/>
      <w:pPr>
        <w:ind w:left="1440" w:hanging="720"/>
      </w:pPr>
      <w:rPr>
        <w:rFonts w:hint="default"/>
      </w:rPr>
    </w:lvl>
    <w:lvl w:ilvl="1" w:tplc="7546617A">
      <w:start w:val="1"/>
      <w:numFmt w:val="low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89D6E21"/>
    <w:multiLevelType w:val="hybridMultilevel"/>
    <w:tmpl w:val="BB5E79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B5118D5"/>
    <w:multiLevelType w:val="multilevel"/>
    <w:tmpl w:val="8CD088C0"/>
    <w:lvl w:ilvl="0">
      <w:start w:val="1"/>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4CCD1144"/>
    <w:multiLevelType w:val="multilevel"/>
    <w:tmpl w:val="6DBC5318"/>
    <w:lvl w:ilvl="0">
      <w:start w:val="1"/>
      <w:numFmt w:val="decimal"/>
      <w:lvlText w:val="%1"/>
      <w:lvlJc w:val="left"/>
      <w:pPr>
        <w:ind w:left="458" w:hanging="458"/>
      </w:pPr>
      <w:rPr>
        <w:rFonts w:hint="default"/>
      </w:rPr>
    </w:lvl>
    <w:lvl w:ilvl="1">
      <w:start w:val="10"/>
      <w:numFmt w:val="decimal"/>
      <w:lvlText w:val="%1.%2"/>
      <w:lvlJc w:val="left"/>
      <w:pPr>
        <w:ind w:left="458" w:hanging="45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D950E05"/>
    <w:multiLevelType w:val="multilevel"/>
    <w:tmpl w:val="C4A21EAE"/>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EB942D3"/>
    <w:multiLevelType w:val="multilevel"/>
    <w:tmpl w:val="12161C9C"/>
    <w:lvl w:ilvl="0">
      <w:start w:val="1"/>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0162D26"/>
    <w:multiLevelType w:val="multilevel"/>
    <w:tmpl w:val="A89CD9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137634C"/>
    <w:multiLevelType w:val="multilevel"/>
    <w:tmpl w:val="108C1308"/>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517B17FB"/>
    <w:multiLevelType w:val="hybridMultilevel"/>
    <w:tmpl w:val="7F428D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519221BA"/>
    <w:multiLevelType w:val="multilevel"/>
    <w:tmpl w:val="180AAB78"/>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54297882"/>
    <w:multiLevelType w:val="hybridMultilevel"/>
    <w:tmpl w:val="EDC2DC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543128DC"/>
    <w:multiLevelType w:val="multilevel"/>
    <w:tmpl w:val="C9348940"/>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54D656B3"/>
    <w:multiLevelType w:val="hybridMultilevel"/>
    <w:tmpl w:val="9572C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7AE7B35"/>
    <w:multiLevelType w:val="hybridMultilevel"/>
    <w:tmpl w:val="978EB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B046779"/>
    <w:multiLevelType w:val="hybridMultilevel"/>
    <w:tmpl w:val="E2B619A2"/>
    <w:lvl w:ilvl="0" w:tplc="41B05C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B785E4B"/>
    <w:multiLevelType w:val="hybridMultilevel"/>
    <w:tmpl w:val="7D28DC1A"/>
    <w:lvl w:ilvl="0" w:tplc="FFFFFFFF">
      <w:start w:val="1"/>
      <w:numFmt w:val="lowerRoman"/>
      <w:lvlText w:val="%1)"/>
      <w:lvlJc w:val="left"/>
      <w:pPr>
        <w:ind w:left="1440" w:hanging="720"/>
      </w:pPr>
      <w:rPr>
        <w:rFonts w:hint="default"/>
      </w:rPr>
    </w:lvl>
    <w:lvl w:ilvl="1" w:tplc="FFFFFFFF">
      <w:start w:val="1"/>
      <w:numFmt w:val="lowerRoman"/>
      <w:lvlText w:val="(%2)"/>
      <w:lvlJc w:val="left"/>
      <w:pPr>
        <w:ind w:left="2160" w:hanging="72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8" w15:restartNumberingAfterBreak="0">
    <w:nsid w:val="5D251A3D"/>
    <w:multiLevelType w:val="hybridMultilevel"/>
    <w:tmpl w:val="6DF260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05E3CC7"/>
    <w:multiLevelType w:val="multilevel"/>
    <w:tmpl w:val="B0BC8CF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0A440A6"/>
    <w:multiLevelType w:val="hybridMultilevel"/>
    <w:tmpl w:val="FA9A8C66"/>
    <w:lvl w:ilvl="0" w:tplc="6A22240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44A43CB"/>
    <w:multiLevelType w:val="hybridMultilevel"/>
    <w:tmpl w:val="E968C7AA"/>
    <w:lvl w:ilvl="0" w:tplc="43243F58">
      <w:start w:val="1"/>
      <w:numFmt w:val="lowerRoman"/>
      <w:lvlText w:val="(%1)"/>
      <w:lvlJc w:val="left"/>
      <w:pPr>
        <w:ind w:left="720" w:hanging="360"/>
      </w:pPr>
      <w:rPr>
        <w:rFonts w:asciiTheme="majorHAnsi" w:hAnsiTheme="majorHAnsi" w:cstheme="minorBidi"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6D078D1"/>
    <w:multiLevelType w:val="multilevel"/>
    <w:tmpl w:val="01E885AE"/>
    <w:lvl w:ilvl="0">
      <w:start w:val="1"/>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6A1168DB"/>
    <w:multiLevelType w:val="hybridMultilevel"/>
    <w:tmpl w:val="1F3A4610"/>
    <w:lvl w:ilvl="0" w:tplc="12C6BAF8">
      <w:start w:val="1"/>
      <w:numFmt w:val="lowerRoman"/>
      <w:lvlText w:val="(%1)"/>
      <w:lvlJc w:val="left"/>
      <w:pPr>
        <w:ind w:left="1440" w:hanging="360"/>
      </w:pPr>
      <w:rPr>
        <w:rFonts w:asciiTheme="minorBidi" w:hAnsiTheme="minorBidi" w:cstheme="minorBidi" w:hint="default"/>
        <w:b w:val="0"/>
        <w:bCs w:val="0"/>
        <w:sz w:val="20"/>
        <w:szCs w:val="20"/>
      </w:rPr>
    </w:lvl>
    <w:lvl w:ilvl="1" w:tplc="12C6BAF8">
      <w:start w:val="1"/>
      <w:numFmt w:val="lowerRoman"/>
      <w:lvlText w:val="(%2)"/>
      <w:lvlJc w:val="left"/>
      <w:pPr>
        <w:ind w:left="1080" w:hanging="360"/>
      </w:pPr>
      <w:rPr>
        <w:rFonts w:asciiTheme="minorBidi" w:hAnsiTheme="minorBidi" w:cstheme="minorBidi" w:hint="default"/>
        <w:b w:val="0"/>
        <w:bCs w:val="0"/>
        <w:sz w:val="20"/>
        <w:szCs w:val="20"/>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6A4070BD"/>
    <w:multiLevelType w:val="hybridMultilevel"/>
    <w:tmpl w:val="F10A9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EB32727"/>
    <w:multiLevelType w:val="hybridMultilevel"/>
    <w:tmpl w:val="8A4AC8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6F26650E"/>
    <w:multiLevelType w:val="hybridMultilevel"/>
    <w:tmpl w:val="B78631BC"/>
    <w:lvl w:ilvl="0" w:tplc="34D2E31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225506E"/>
    <w:multiLevelType w:val="multilevel"/>
    <w:tmpl w:val="A4527064"/>
    <w:lvl w:ilvl="0">
      <w:start w:val="1"/>
      <w:numFmt w:val="decimal"/>
      <w:lvlText w:val="%1"/>
      <w:lvlJc w:val="left"/>
      <w:pPr>
        <w:ind w:left="533" w:hanging="533"/>
      </w:pPr>
      <w:rPr>
        <w:rFonts w:hint="default"/>
      </w:rPr>
    </w:lvl>
    <w:lvl w:ilvl="1">
      <w:start w:val="8"/>
      <w:numFmt w:val="decimal"/>
      <w:lvlText w:val="%1.%2"/>
      <w:lvlJc w:val="left"/>
      <w:pPr>
        <w:ind w:left="533" w:hanging="533"/>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3E44D6A"/>
    <w:multiLevelType w:val="hybridMultilevel"/>
    <w:tmpl w:val="1EDEA356"/>
    <w:lvl w:ilvl="0" w:tplc="B8FC0F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ABC5AA5"/>
    <w:multiLevelType w:val="hybridMultilevel"/>
    <w:tmpl w:val="9FFAA374"/>
    <w:lvl w:ilvl="0" w:tplc="E462FFF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F0078E8"/>
    <w:multiLevelType w:val="multilevel"/>
    <w:tmpl w:val="7E168B6C"/>
    <w:lvl w:ilvl="0">
      <w:start w:val="1"/>
      <w:numFmt w:val="decimal"/>
      <w:lvlText w:val="%1"/>
      <w:lvlJc w:val="left"/>
      <w:pPr>
        <w:ind w:left="375" w:hanging="375"/>
      </w:pPr>
      <w:rPr>
        <w:rFonts w:hint="default"/>
      </w:rPr>
    </w:lvl>
    <w:lvl w:ilvl="1">
      <w:start w:val="1"/>
      <w:numFmt w:val="decimal"/>
      <w:lvlText w:val="%1.%2"/>
      <w:lvlJc w:val="left"/>
      <w:pPr>
        <w:ind w:left="2085" w:hanging="375"/>
      </w:pPr>
      <w:rPr>
        <w:rFonts w:hint="default"/>
      </w:rPr>
    </w:lvl>
    <w:lvl w:ilvl="2">
      <w:start w:val="1"/>
      <w:numFmt w:val="decimal"/>
      <w:lvlText w:val="%1.%2.%3"/>
      <w:lvlJc w:val="left"/>
      <w:pPr>
        <w:ind w:left="720" w:hanging="720"/>
      </w:pPr>
      <w:rPr>
        <w:rFonts w:hint="default"/>
        <w:i w:val="0"/>
        <w:i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F4D73AA"/>
    <w:multiLevelType w:val="multilevel"/>
    <w:tmpl w:val="DDBE528E"/>
    <w:lvl w:ilvl="0">
      <w:start w:val="1"/>
      <w:numFmt w:val="decimal"/>
      <w:lvlText w:val="%1"/>
      <w:lvlJc w:val="left"/>
      <w:pPr>
        <w:ind w:left="360" w:hanging="360"/>
      </w:pPr>
      <w:rPr>
        <w:rFonts w:hint="default"/>
      </w:rPr>
    </w:lvl>
    <w:lvl w:ilvl="1">
      <w:start w:val="1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7F7756AF"/>
    <w:multiLevelType w:val="hybridMultilevel"/>
    <w:tmpl w:val="EE34CF2C"/>
    <w:lvl w:ilvl="0" w:tplc="685C1694">
      <w:start w:val="1"/>
      <w:numFmt w:val="decimal"/>
      <w:lvlText w:val="iii.%1."/>
      <w:lvlJc w:val="left"/>
      <w:pPr>
        <w:ind w:left="720" w:hanging="360"/>
      </w:pPr>
      <w:rPr>
        <w:rFonts w:ascii="Arial" w:hAnsi="Arial" w:cs="Arial" w:hint="default"/>
        <w:b w:val="0"/>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FB516D8"/>
    <w:multiLevelType w:val="multilevel"/>
    <w:tmpl w:val="48BE2D26"/>
    <w:lvl w:ilvl="0">
      <w:start w:val="1"/>
      <w:numFmt w:val="decimal"/>
      <w:lvlText w:val="Capitolul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2.%1.%3."/>
      <w:lvlJc w:val="left"/>
      <w:pPr>
        <w:ind w:left="1080" w:hanging="360"/>
      </w:pPr>
      <w:rPr>
        <w:rFonts w:hint="default"/>
      </w:rPr>
    </w:lvl>
    <w:lvl w:ilvl="3">
      <w:start w:val="1"/>
      <w:numFmt w:val="decimal"/>
      <w:lvlText w:val="%3.%2.%1.%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6919658">
    <w:abstractNumId w:val="56"/>
  </w:num>
  <w:num w:numId="2" w16cid:durableId="1890145024">
    <w:abstractNumId w:val="49"/>
  </w:num>
  <w:num w:numId="3" w16cid:durableId="1670522096">
    <w:abstractNumId w:val="45"/>
  </w:num>
  <w:num w:numId="4" w16cid:durableId="2145151204">
    <w:abstractNumId w:val="44"/>
  </w:num>
  <w:num w:numId="5" w16cid:durableId="610169901">
    <w:abstractNumId w:val="60"/>
  </w:num>
  <w:num w:numId="6" w16cid:durableId="1868254148">
    <w:abstractNumId w:val="19"/>
  </w:num>
  <w:num w:numId="7" w16cid:durableId="2099134313">
    <w:abstractNumId w:val="24"/>
  </w:num>
  <w:num w:numId="8" w16cid:durableId="1724018144">
    <w:abstractNumId w:val="54"/>
  </w:num>
  <w:num w:numId="9" w16cid:durableId="495730608">
    <w:abstractNumId w:val="36"/>
  </w:num>
  <w:num w:numId="10" w16cid:durableId="84616171">
    <w:abstractNumId w:val="48"/>
  </w:num>
  <w:num w:numId="11" w16cid:durableId="1116019997">
    <w:abstractNumId w:val="6"/>
  </w:num>
  <w:num w:numId="12" w16cid:durableId="2010863407">
    <w:abstractNumId w:val="21"/>
  </w:num>
  <w:num w:numId="13" w16cid:durableId="1128354420">
    <w:abstractNumId w:val="18"/>
  </w:num>
  <w:num w:numId="14" w16cid:durableId="872882448">
    <w:abstractNumId w:val="25"/>
  </w:num>
  <w:num w:numId="15" w16cid:durableId="645934416">
    <w:abstractNumId w:val="32"/>
  </w:num>
  <w:num w:numId="16" w16cid:durableId="194543274">
    <w:abstractNumId w:val="57"/>
  </w:num>
  <w:num w:numId="17" w16cid:durableId="405692524">
    <w:abstractNumId w:val="35"/>
  </w:num>
  <w:num w:numId="18" w16cid:durableId="2123575289">
    <w:abstractNumId w:val="3"/>
  </w:num>
  <w:num w:numId="19" w16cid:durableId="1601714217">
    <w:abstractNumId w:val="1"/>
  </w:num>
  <w:num w:numId="20" w16cid:durableId="22751697">
    <w:abstractNumId w:val="59"/>
  </w:num>
  <w:num w:numId="21" w16cid:durableId="1175458280">
    <w:abstractNumId w:val="46"/>
  </w:num>
  <w:num w:numId="22" w16cid:durableId="1181894098">
    <w:abstractNumId w:val="58"/>
  </w:num>
  <w:num w:numId="23" w16cid:durableId="187068226">
    <w:abstractNumId w:val="63"/>
  </w:num>
  <w:num w:numId="24" w16cid:durableId="763838501">
    <w:abstractNumId w:val="17"/>
  </w:num>
  <w:num w:numId="25" w16cid:durableId="2049646725">
    <w:abstractNumId w:val="28"/>
  </w:num>
  <w:num w:numId="26" w16cid:durableId="912276813">
    <w:abstractNumId w:val="0"/>
  </w:num>
  <w:num w:numId="27" w16cid:durableId="341125946">
    <w:abstractNumId w:val="13"/>
  </w:num>
  <w:num w:numId="28" w16cid:durableId="1799060510">
    <w:abstractNumId w:val="37"/>
  </w:num>
  <w:num w:numId="29" w16cid:durableId="137647883">
    <w:abstractNumId w:val="5"/>
  </w:num>
  <w:num w:numId="30" w16cid:durableId="1310134526">
    <w:abstractNumId w:val="2"/>
  </w:num>
  <w:num w:numId="31" w16cid:durableId="865022008">
    <w:abstractNumId w:val="61"/>
  </w:num>
  <w:num w:numId="32" w16cid:durableId="571240931">
    <w:abstractNumId w:val="38"/>
  </w:num>
  <w:num w:numId="33" w16cid:durableId="1995253685">
    <w:abstractNumId w:val="8"/>
  </w:num>
  <w:num w:numId="34" w16cid:durableId="618296484">
    <w:abstractNumId w:val="10"/>
  </w:num>
  <w:num w:numId="35" w16cid:durableId="919363055">
    <w:abstractNumId w:val="29"/>
  </w:num>
  <w:num w:numId="36" w16cid:durableId="1035543284">
    <w:abstractNumId w:val="23"/>
  </w:num>
  <w:num w:numId="37" w16cid:durableId="1093357622">
    <w:abstractNumId w:val="14"/>
  </w:num>
  <w:num w:numId="38" w16cid:durableId="2033533481">
    <w:abstractNumId w:val="33"/>
  </w:num>
  <w:num w:numId="39" w16cid:durableId="9162665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49910812">
    <w:abstractNumId w:val="53"/>
  </w:num>
  <w:num w:numId="41" w16cid:durableId="1979920293">
    <w:abstractNumId w:val="62"/>
  </w:num>
  <w:num w:numId="42" w16cid:durableId="2073387988">
    <w:abstractNumId w:val="16"/>
  </w:num>
  <w:num w:numId="43" w16cid:durableId="1466122546">
    <w:abstractNumId w:val="34"/>
  </w:num>
  <w:num w:numId="44" w16cid:durableId="2130079313">
    <w:abstractNumId w:val="52"/>
  </w:num>
  <w:num w:numId="45" w16cid:durableId="1512069437">
    <w:abstractNumId w:val="41"/>
  </w:num>
  <w:num w:numId="46" w16cid:durableId="543910180">
    <w:abstractNumId w:val="51"/>
  </w:num>
  <w:num w:numId="47" w16cid:durableId="1616597041">
    <w:abstractNumId w:val="20"/>
  </w:num>
  <w:num w:numId="48" w16cid:durableId="867379186">
    <w:abstractNumId w:val="47"/>
  </w:num>
  <w:num w:numId="49" w16cid:durableId="2125270158">
    <w:abstractNumId w:val="43"/>
  </w:num>
  <w:num w:numId="50" w16cid:durableId="646788229">
    <w:abstractNumId w:val="9"/>
  </w:num>
  <w:num w:numId="51" w16cid:durableId="1081826875">
    <w:abstractNumId w:val="39"/>
  </w:num>
  <w:num w:numId="52" w16cid:durableId="805775116">
    <w:abstractNumId w:val="27"/>
  </w:num>
  <w:num w:numId="53" w16cid:durableId="1426882125">
    <w:abstractNumId w:val="15"/>
  </w:num>
  <w:num w:numId="54" w16cid:durableId="244655212">
    <w:abstractNumId w:val="11"/>
  </w:num>
  <w:num w:numId="55" w16cid:durableId="694113891">
    <w:abstractNumId w:val="7"/>
  </w:num>
  <w:num w:numId="56" w16cid:durableId="804931736">
    <w:abstractNumId w:val="12"/>
  </w:num>
  <w:num w:numId="57" w16cid:durableId="183323051">
    <w:abstractNumId w:val="55"/>
  </w:num>
  <w:num w:numId="58" w16cid:durableId="344675212">
    <w:abstractNumId w:val="4"/>
  </w:num>
  <w:num w:numId="59" w16cid:durableId="1097212741">
    <w:abstractNumId w:val="40"/>
  </w:num>
  <w:num w:numId="60" w16cid:durableId="1524516546">
    <w:abstractNumId w:val="42"/>
  </w:num>
  <w:num w:numId="61" w16cid:durableId="1840385773">
    <w:abstractNumId w:val="31"/>
  </w:num>
  <w:num w:numId="62" w16cid:durableId="1159809825">
    <w:abstractNumId w:val="30"/>
  </w:num>
  <w:num w:numId="63" w16cid:durableId="2037078723">
    <w:abstractNumId w:val="50"/>
  </w:num>
  <w:num w:numId="64" w16cid:durableId="122572015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B0D"/>
    <w:rsid w:val="000000F1"/>
    <w:rsid w:val="000016EC"/>
    <w:rsid w:val="00001D0E"/>
    <w:rsid w:val="00001F3D"/>
    <w:rsid w:val="00002115"/>
    <w:rsid w:val="00002401"/>
    <w:rsid w:val="0000373D"/>
    <w:rsid w:val="000060EF"/>
    <w:rsid w:val="000068DD"/>
    <w:rsid w:val="00006D10"/>
    <w:rsid w:val="000106F4"/>
    <w:rsid w:val="000109A4"/>
    <w:rsid w:val="00011AF1"/>
    <w:rsid w:val="000122E5"/>
    <w:rsid w:val="00013061"/>
    <w:rsid w:val="000136D9"/>
    <w:rsid w:val="00014ACC"/>
    <w:rsid w:val="00020727"/>
    <w:rsid w:val="00021050"/>
    <w:rsid w:val="00021900"/>
    <w:rsid w:val="00021917"/>
    <w:rsid w:val="00021E21"/>
    <w:rsid w:val="00022104"/>
    <w:rsid w:val="0002282B"/>
    <w:rsid w:val="00022D5B"/>
    <w:rsid w:val="00025E57"/>
    <w:rsid w:val="00026039"/>
    <w:rsid w:val="00026396"/>
    <w:rsid w:val="00027D48"/>
    <w:rsid w:val="00031B83"/>
    <w:rsid w:val="0003306E"/>
    <w:rsid w:val="00033BC5"/>
    <w:rsid w:val="00033F2F"/>
    <w:rsid w:val="00034349"/>
    <w:rsid w:val="00034E34"/>
    <w:rsid w:val="00037901"/>
    <w:rsid w:val="00037E4E"/>
    <w:rsid w:val="000400FB"/>
    <w:rsid w:val="000429D3"/>
    <w:rsid w:val="00043E24"/>
    <w:rsid w:val="00047492"/>
    <w:rsid w:val="000510FA"/>
    <w:rsid w:val="00051564"/>
    <w:rsid w:val="00051598"/>
    <w:rsid w:val="00052FAF"/>
    <w:rsid w:val="00053D74"/>
    <w:rsid w:val="00056582"/>
    <w:rsid w:val="0005754C"/>
    <w:rsid w:val="00057D24"/>
    <w:rsid w:val="00060AEB"/>
    <w:rsid w:val="000620FA"/>
    <w:rsid w:val="00064187"/>
    <w:rsid w:val="00064337"/>
    <w:rsid w:val="00064424"/>
    <w:rsid w:val="0006504B"/>
    <w:rsid w:val="00065322"/>
    <w:rsid w:val="00066687"/>
    <w:rsid w:val="00066B36"/>
    <w:rsid w:val="0006717F"/>
    <w:rsid w:val="00070D98"/>
    <w:rsid w:val="00071607"/>
    <w:rsid w:val="00072B8D"/>
    <w:rsid w:val="0007748A"/>
    <w:rsid w:val="00080C66"/>
    <w:rsid w:val="0008130C"/>
    <w:rsid w:val="000816BB"/>
    <w:rsid w:val="0008206C"/>
    <w:rsid w:val="00082BC5"/>
    <w:rsid w:val="00083E67"/>
    <w:rsid w:val="000845C4"/>
    <w:rsid w:val="00086588"/>
    <w:rsid w:val="00087DCB"/>
    <w:rsid w:val="000906D5"/>
    <w:rsid w:val="0009072A"/>
    <w:rsid w:val="0009087B"/>
    <w:rsid w:val="00091E5B"/>
    <w:rsid w:val="00092E47"/>
    <w:rsid w:val="000935B6"/>
    <w:rsid w:val="00093A36"/>
    <w:rsid w:val="00094E23"/>
    <w:rsid w:val="00095A75"/>
    <w:rsid w:val="00095E83"/>
    <w:rsid w:val="000965C0"/>
    <w:rsid w:val="00097122"/>
    <w:rsid w:val="000A0A47"/>
    <w:rsid w:val="000A1132"/>
    <w:rsid w:val="000A11DB"/>
    <w:rsid w:val="000A13BD"/>
    <w:rsid w:val="000A1E87"/>
    <w:rsid w:val="000A2C54"/>
    <w:rsid w:val="000A369A"/>
    <w:rsid w:val="000A4D84"/>
    <w:rsid w:val="000A63F6"/>
    <w:rsid w:val="000A7222"/>
    <w:rsid w:val="000B1CE7"/>
    <w:rsid w:val="000B2C01"/>
    <w:rsid w:val="000B305A"/>
    <w:rsid w:val="000B3448"/>
    <w:rsid w:val="000B3A8E"/>
    <w:rsid w:val="000B4AF5"/>
    <w:rsid w:val="000B5456"/>
    <w:rsid w:val="000B586F"/>
    <w:rsid w:val="000B5DCD"/>
    <w:rsid w:val="000B6AE7"/>
    <w:rsid w:val="000C0371"/>
    <w:rsid w:val="000C0B42"/>
    <w:rsid w:val="000C1F99"/>
    <w:rsid w:val="000C2AE9"/>
    <w:rsid w:val="000C520B"/>
    <w:rsid w:val="000C5DB5"/>
    <w:rsid w:val="000C6003"/>
    <w:rsid w:val="000C6AA8"/>
    <w:rsid w:val="000C761C"/>
    <w:rsid w:val="000D0C9B"/>
    <w:rsid w:val="000D2109"/>
    <w:rsid w:val="000D2239"/>
    <w:rsid w:val="000D237C"/>
    <w:rsid w:val="000D3080"/>
    <w:rsid w:val="000D39C9"/>
    <w:rsid w:val="000D4B0D"/>
    <w:rsid w:val="000D4C58"/>
    <w:rsid w:val="000D6F3B"/>
    <w:rsid w:val="000D75AA"/>
    <w:rsid w:val="000E1877"/>
    <w:rsid w:val="000E279B"/>
    <w:rsid w:val="000E44F9"/>
    <w:rsid w:val="000E4FA0"/>
    <w:rsid w:val="000E7305"/>
    <w:rsid w:val="000E76D0"/>
    <w:rsid w:val="000E7B1F"/>
    <w:rsid w:val="000F041D"/>
    <w:rsid w:val="000F0E4D"/>
    <w:rsid w:val="000F1C64"/>
    <w:rsid w:val="000F2035"/>
    <w:rsid w:val="000F28B0"/>
    <w:rsid w:val="000F3303"/>
    <w:rsid w:val="000F3A13"/>
    <w:rsid w:val="000F3B2B"/>
    <w:rsid w:val="000F418E"/>
    <w:rsid w:val="000F6CFD"/>
    <w:rsid w:val="001002D8"/>
    <w:rsid w:val="00101039"/>
    <w:rsid w:val="00102496"/>
    <w:rsid w:val="00102759"/>
    <w:rsid w:val="00102815"/>
    <w:rsid w:val="00102A2D"/>
    <w:rsid w:val="00102A3E"/>
    <w:rsid w:val="00103C35"/>
    <w:rsid w:val="00103D74"/>
    <w:rsid w:val="00104516"/>
    <w:rsid w:val="00104E6C"/>
    <w:rsid w:val="00105806"/>
    <w:rsid w:val="001058AA"/>
    <w:rsid w:val="00105F87"/>
    <w:rsid w:val="001064AD"/>
    <w:rsid w:val="001064FA"/>
    <w:rsid w:val="00106BFE"/>
    <w:rsid w:val="00107CA4"/>
    <w:rsid w:val="00111909"/>
    <w:rsid w:val="001126C0"/>
    <w:rsid w:val="001136C4"/>
    <w:rsid w:val="00113A96"/>
    <w:rsid w:val="00113D60"/>
    <w:rsid w:val="001160F1"/>
    <w:rsid w:val="001163D1"/>
    <w:rsid w:val="00117451"/>
    <w:rsid w:val="0011780C"/>
    <w:rsid w:val="00121B04"/>
    <w:rsid w:val="00121B23"/>
    <w:rsid w:val="00122751"/>
    <w:rsid w:val="00122DA6"/>
    <w:rsid w:val="0012366C"/>
    <w:rsid w:val="00123C24"/>
    <w:rsid w:val="00124269"/>
    <w:rsid w:val="00124AFD"/>
    <w:rsid w:val="00124B42"/>
    <w:rsid w:val="00125228"/>
    <w:rsid w:val="00125E2A"/>
    <w:rsid w:val="00126C1B"/>
    <w:rsid w:val="0012712E"/>
    <w:rsid w:val="00127853"/>
    <w:rsid w:val="00130725"/>
    <w:rsid w:val="00130B83"/>
    <w:rsid w:val="00131C08"/>
    <w:rsid w:val="00131D79"/>
    <w:rsid w:val="00131E52"/>
    <w:rsid w:val="0013233E"/>
    <w:rsid w:val="00135134"/>
    <w:rsid w:val="00136880"/>
    <w:rsid w:val="00141B25"/>
    <w:rsid w:val="001427F2"/>
    <w:rsid w:val="00145D68"/>
    <w:rsid w:val="001471B2"/>
    <w:rsid w:val="0014791D"/>
    <w:rsid w:val="00147BF1"/>
    <w:rsid w:val="001511F2"/>
    <w:rsid w:val="00151A77"/>
    <w:rsid w:val="00151E3D"/>
    <w:rsid w:val="0015201F"/>
    <w:rsid w:val="0015271E"/>
    <w:rsid w:val="00153376"/>
    <w:rsid w:val="00155983"/>
    <w:rsid w:val="00156585"/>
    <w:rsid w:val="00157323"/>
    <w:rsid w:val="00157374"/>
    <w:rsid w:val="00157D73"/>
    <w:rsid w:val="00160844"/>
    <w:rsid w:val="0016163D"/>
    <w:rsid w:val="00161B92"/>
    <w:rsid w:val="001624BA"/>
    <w:rsid w:val="00162E6E"/>
    <w:rsid w:val="00163A80"/>
    <w:rsid w:val="001661E4"/>
    <w:rsid w:val="001662A0"/>
    <w:rsid w:val="00166301"/>
    <w:rsid w:val="0016631D"/>
    <w:rsid w:val="001665C9"/>
    <w:rsid w:val="0016716D"/>
    <w:rsid w:val="00167212"/>
    <w:rsid w:val="00167AC6"/>
    <w:rsid w:val="00170E7B"/>
    <w:rsid w:val="00171EDA"/>
    <w:rsid w:val="00173122"/>
    <w:rsid w:val="00173448"/>
    <w:rsid w:val="00174170"/>
    <w:rsid w:val="0017594A"/>
    <w:rsid w:val="00176936"/>
    <w:rsid w:val="00176D44"/>
    <w:rsid w:val="001801AA"/>
    <w:rsid w:val="00180336"/>
    <w:rsid w:val="00180E3C"/>
    <w:rsid w:val="00181E7C"/>
    <w:rsid w:val="00182C82"/>
    <w:rsid w:val="00183275"/>
    <w:rsid w:val="001834CF"/>
    <w:rsid w:val="00184037"/>
    <w:rsid w:val="00185088"/>
    <w:rsid w:val="00185857"/>
    <w:rsid w:val="001873B2"/>
    <w:rsid w:val="00187785"/>
    <w:rsid w:val="00187882"/>
    <w:rsid w:val="001900E8"/>
    <w:rsid w:val="00192B1C"/>
    <w:rsid w:val="001962ED"/>
    <w:rsid w:val="00196691"/>
    <w:rsid w:val="00196791"/>
    <w:rsid w:val="00196E0E"/>
    <w:rsid w:val="00197111"/>
    <w:rsid w:val="001973DD"/>
    <w:rsid w:val="00197436"/>
    <w:rsid w:val="001A0304"/>
    <w:rsid w:val="001A0E95"/>
    <w:rsid w:val="001A1B8C"/>
    <w:rsid w:val="001A1CB7"/>
    <w:rsid w:val="001A26EF"/>
    <w:rsid w:val="001A4E56"/>
    <w:rsid w:val="001A4EAD"/>
    <w:rsid w:val="001A71C5"/>
    <w:rsid w:val="001A71FB"/>
    <w:rsid w:val="001A75F0"/>
    <w:rsid w:val="001B0EB8"/>
    <w:rsid w:val="001B2220"/>
    <w:rsid w:val="001B34A8"/>
    <w:rsid w:val="001B3A3D"/>
    <w:rsid w:val="001B3BA4"/>
    <w:rsid w:val="001B3EF7"/>
    <w:rsid w:val="001B5150"/>
    <w:rsid w:val="001B52AE"/>
    <w:rsid w:val="001B5345"/>
    <w:rsid w:val="001B55EC"/>
    <w:rsid w:val="001B5B85"/>
    <w:rsid w:val="001B6D0D"/>
    <w:rsid w:val="001C021D"/>
    <w:rsid w:val="001C052A"/>
    <w:rsid w:val="001C1507"/>
    <w:rsid w:val="001C1D5D"/>
    <w:rsid w:val="001C2A2A"/>
    <w:rsid w:val="001C2E2B"/>
    <w:rsid w:val="001C44F6"/>
    <w:rsid w:val="001C45E1"/>
    <w:rsid w:val="001C6370"/>
    <w:rsid w:val="001C65B5"/>
    <w:rsid w:val="001C6A84"/>
    <w:rsid w:val="001D128F"/>
    <w:rsid w:val="001D1A55"/>
    <w:rsid w:val="001D1D4B"/>
    <w:rsid w:val="001D30AA"/>
    <w:rsid w:val="001D342D"/>
    <w:rsid w:val="001D3DA8"/>
    <w:rsid w:val="001D42C2"/>
    <w:rsid w:val="001D700D"/>
    <w:rsid w:val="001E0DCF"/>
    <w:rsid w:val="001E14A6"/>
    <w:rsid w:val="001E20CC"/>
    <w:rsid w:val="001E2AB0"/>
    <w:rsid w:val="001E3D8A"/>
    <w:rsid w:val="001E4786"/>
    <w:rsid w:val="001E5B60"/>
    <w:rsid w:val="001E78BB"/>
    <w:rsid w:val="001F00A5"/>
    <w:rsid w:val="001F013F"/>
    <w:rsid w:val="001F2898"/>
    <w:rsid w:val="001F29DF"/>
    <w:rsid w:val="001F2C35"/>
    <w:rsid w:val="001F3E40"/>
    <w:rsid w:val="001F6588"/>
    <w:rsid w:val="001F7C1C"/>
    <w:rsid w:val="00200461"/>
    <w:rsid w:val="002008F4"/>
    <w:rsid w:val="002013B4"/>
    <w:rsid w:val="00201A98"/>
    <w:rsid w:val="002026FF"/>
    <w:rsid w:val="00202727"/>
    <w:rsid w:val="00202AEB"/>
    <w:rsid w:val="00203202"/>
    <w:rsid w:val="00203D94"/>
    <w:rsid w:val="00204DA2"/>
    <w:rsid w:val="00204F00"/>
    <w:rsid w:val="002055F3"/>
    <w:rsid w:val="0020628A"/>
    <w:rsid w:val="00206480"/>
    <w:rsid w:val="00207640"/>
    <w:rsid w:val="00211006"/>
    <w:rsid w:val="002110CB"/>
    <w:rsid w:val="00212A37"/>
    <w:rsid w:val="00212B4D"/>
    <w:rsid w:val="00213A33"/>
    <w:rsid w:val="00214973"/>
    <w:rsid w:val="00214C10"/>
    <w:rsid w:val="00215A2B"/>
    <w:rsid w:val="002177EA"/>
    <w:rsid w:val="00220CD9"/>
    <w:rsid w:val="00221196"/>
    <w:rsid w:val="00221780"/>
    <w:rsid w:val="002217C7"/>
    <w:rsid w:val="00223F27"/>
    <w:rsid w:val="00225250"/>
    <w:rsid w:val="00226F25"/>
    <w:rsid w:val="002300ED"/>
    <w:rsid w:val="00233664"/>
    <w:rsid w:val="00234476"/>
    <w:rsid w:val="0023575C"/>
    <w:rsid w:val="00240162"/>
    <w:rsid w:val="00240EBC"/>
    <w:rsid w:val="00242C4F"/>
    <w:rsid w:val="00244B08"/>
    <w:rsid w:val="002473B9"/>
    <w:rsid w:val="00247AB6"/>
    <w:rsid w:val="00251DA3"/>
    <w:rsid w:val="002529F5"/>
    <w:rsid w:val="00253C1D"/>
    <w:rsid w:val="00256D17"/>
    <w:rsid w:val="002573DD"/>
    <w:rsid w:val="002615EB"/>
    <w:rsid w:val="00264003"/>
    <w:rsid w:val="002646D9"/>
    <w:rsid w:val="00265509"/>
    <w:rsid w:val="002660C6"/>
    <w:rsid w:val="00266C54"/>
    <w:rsid w:val="0026790C"/>
    <w:rsid w:val="00267B7D"/>
    <w:rsid w:val="00267FBC"/>
    <w:rsid w:val="00270165"/>
    <w:rsid w:val="00270ED6"/>
    <w:rsid w:val="00271C37"/>
    <w:rsid w:val="00271E4C"/>
    <w:rsid w:val="00272048"/>
    <w:rsid w:val="0027212A"/>
    <w:rsid w:val="00272F73"/>
    <w:rsid w:val="0027457E"/>
    <w:rsid w:val="00275A66"/>
    <w:rsid w:val="0027724D"/>
    <w:rsid w:val="00280322"/>
    <w:rsid w:val="002806E7"/>
    <w:rsid w:val="002810B8"/>
    <w:rsid w:val="0028154E"/>
    <w:rsid w:val="00282967"/>
    <w:rsid w:val="00282ED6"/>
    <w:rsid w:val="002851F1"/>
    <w:rsid w:val="00285F1A"/>
    <w:rsid w:val="00286B77"/>
    <w:rsid w:val="002909CB"/>
    <w:rsid w:val="00290CA0"/>
    <w:rsid w:val="0029122C"/>
    <w:rsid w:val="0029130B"/>
    <w:rsid w:val="0029144C"/>
    <w:rsid w:val="00291645"/>
    <w:rsid w:val="002919DA"/>
    <w:rsid w:val="00291DD8"/>
    <w:rsid w:val="0029275C"/>
    <w:rsid w:val="002929AB"/>
    <w:rsid w:val="002936EE"/>
    <w:rsid w:val="00294B62"/>
    <w:rsid w:val="00294FEC"/>
    <w:rsid w:val="002961F3"/>
    <w:rsid w:val="002964B2"/>
    <w:rsid w:val="00297280"/>
    <w:rsid w:val="00297DA5"/>
    <w:rsid w:val="002A0E24"/>
    <w:rsid w:val="002A1982"/>
    <w:rsid w:val="002A1FD2"/>
    <w:rsid w:val="002A220C"/>
    <w:rsid w:val="002A2CDF"/>
    <w:rsid w:val="002A3405"/>
    <w:rsid w:val="002A34D1"/>
    <w:rsid w:val="002A3631"/>
    <w:rsid w:val="002A39BC"/>
    <w:rsid w:val="002A3B77"/>
    <w:rsid w:val="002A49DB"/>
    <w:rsid w:val="002A53C4"/>
    <w:rsid w:val="002A53D0"/>
    <w:rsid w:val="002A5539"/>
    <w:rsid w:val="002A648F"/>
    <w:rsid w:val="002A6BC3"/>
    <w:rsid w:val="002A6DFB"/>
    <w:rsid w:val="002B089C"/>
    <w:rsid w:val="002B1025"/>
    <w:rsid w:val="002B15F3"/>
    <w:rsid w:val="002B2D6F"/>
    <w:rsid w:val="002B3730"/>
    <w:rsid w:val="002B4F5E"/>
    <w:rsid w:val="002B5149"/>
    <w:rsid w:val="002B6307"/>
    <w:rsid w:val="002B6AE4"/>
    <w:rsid w:val="002C016C"/>
    <w:rsid w:val="002C034F"/>
    <w:rsid w:val="002C06EF"/>
    <w:rsid w:val="002C1ADD"/>
    <w:rsid w:val="002C223C"/>
    <w:rsid w:val="002C23DC"/>
    <w:rsid w:val="002C4D58"/>
    <w:rsid w:val="002C4F3D"/>
    <w:rsid w:val="002C63C7"/>
    <w:rsid w:val="002C7A66"/>
    <w:rsid w:val="002C7B03"/>
    <w:rsid w:val="002D0EB8"/>
    <w:rsid w:val="002D1264"/>
    <w:rsid w:val="002D1A37"/>
    <w:rsid w:val="002D44A2"/>
    <w:rsid w:val="002D47DA"/>
    <w:rsid w:val="002D57BE"/>
    <w:rsid w:val="002D6A62"/>
    <w:rsid w:val="002D756A"/>
    <w:rsid w:val="002D7B9D"/>
    <w:rsid w:val="002E0DF0"/>
    <w:rsid w:val="002E100D"/>
    <w:rsid w:val="002E25B2"/>
    <w:rsid w:val="002E27D6"/>
    <w:rsid w:val="002E2FE4"/>
    <w:rsid w:val="002E3499"/>
    <w:rsid w:val="002E355D"/>
    <w:rsid w:val="002E377F"/>
    <w:rsid w:val="002E3EC0"/>
    <w:rsid w:val="002E556F"/>
    <w:rsid w:val="002E634D"/>
    <w:rsid w:val="002E73DC"/>
    <w:rsid w:val="002E7B5B"/>
    <w:rsid w:val="002F0FDD"/>
    <w:rsid w:val="002F2777"/>
    <w:rsid w:val="002F2CB9"/>
    <w:rsid w:val="002F5B1C"/>
    <w:rsid w:val="002F783D"/>
    <w:rsid w:val="002F7BA9"/>
    <w:rsid w:val="00300E57"/>
    <w:rsid w:val="003018E6"/>
    <w:rsid w:val="00301E2A"/>
    <w:rsid w:val="00302274"/>
    <w:rsid w:val="00302D30"/>
    <w:rsid w:val="003032C2"/>
    <w:rsid w:val="00303D11"/>
    <w:rsid w:val="003040FE"/>
    <w:rsid w:val="00304B04"/>
    <w:rsid w:val="00305ED8"/>
    <w:rsid w:val="00305EFD"/>
    <w:rsid w:val="00306FFA"/>
    <w:rsid w:val="003106B5"/>
    <w:rsid w:val="00310FA7"/>
    <w:rsid w:val="0031108C"/>
    <w:rsid w:val="00311894"/>
    <w:rsid w:val="003121A2"/>
    <w:rsid w:val="00312884"/>
    <w:rsid w:val="003139CC"/>
    <w:rsid w:val="00314C7D"/>
    <w:rsid w:val="00315830"/>
    <w:rsid w:val="00316E70"/>
    <w:rsid w:val="00316E7A"/>
    <w:rsid w:val="003175BC"/>
    <w:rsid w:val="003210EE"/>
    <w:rsid w:val="00321149"/>
    <w:rsid w:val="003223C4"/>
    <w:rsid w:val="003226F0"/>
    <w:rsid w:val="00324B14"/>
    <w:rsid w:val="00324B71"/>
    <w:rsid w:val="00325212"/>
    <w:rsid w:val="0032534D"/>
    <w:rsid w:val="0032642A"/>
    <w:rsid w:val="00326477"/>
    <w:rsid w:val="00327513"/>
    <w:rsid w:val="003307C5"/>
    <w:rsid w:val="003330E0"/>
    <w:rsid w:val="00334719"/>
    <w:rsid w:val="00334C26"/>
    <w:rsid w:val="00335098"/>
    <w:rsid w:val="00335159"/>
    <w:rsid w:val="0033591C"/>
    <w:rsid w:val="00335B44"/>
    <w:rsid w:val="00336202"/>
    <w:rsid w:val="00336242"/>
    <w:rsid w:val="00336E4B"/>
    <w:rsid w:val="00337997"/>
    <w:rsid w:val="00341EE0"/>
    <w:rsid w:val="0034212F"/>
    <w:rsid w:val="00342A0A"/>
    <w:rsid w:val="00343A17"/>
    <w:rsid w:val="003443DC"/>
    <w:rsid w:val="00344DEB"/>
    <w:rsid w:val="00345082"/>
    <w:rsid w:val="0034528A"/>
    <w:rsid w:val="00345366"/>
    <w:rsid w:val="00345A90"/>
    <w:rsid w:val="00346AB7"/>
    <w:rsid w:val="0035044C"/>
    <w:rsid w:val="00351112"/>
    <w:rsid w:val="0035196D"/>
    <w:rsid w:val="0035391D"/>
    <w:rsid w:val="003541F7"/>
    <w:rsid w:val="00354B43"/>
    <w:rsid w:val="0035516D"/>
    <w:rsid w:val="00360079"/>
    <w:rsid w:val="003603E7"/>
    <w:rsid w:val="00361A8B"/>
    <w:rsid w:val="00364BCA"/>
    <w:rsid w:val="00364F55"/>
    <w:rsid w:val="00371325"/>
    <w:rsid w:val="0037207E"/>
    <w:rsid w:val="003739A6"/>
    <w:rsid w:val="00373A83"/>
    <w:rsid w:val="00373C84"/>
    <w:rsid w:val="00373DFD"/>
    <w:rsid w:val="0037450C"/>
    <w:rsid w:val="00374520"/>
    <w:rsid w:val="00374782"/>
    <w:rsid w:val="00375120"/>
    <w:rsid w:val="003755EC"/>
    <w:rsid w:val="003757ED"/>
    <w:rsid w:val="00375FA1"/>
    <w:rsid w:val="00376DA8"/>
    <w:rsid w:val="003776E4"/>
    <w:rsid w:val="00377AB8"/>
    <w:rsid w:val="003812D9"/>
    <w:rsid w:val="00382B5A"/>
    <w:rsid w:val="003831BD"/>
    <w:rsid w:val="00383303"/>
    <w:rsid w:val="00383572"/>
    <w:rsid w:val="00383B6E"/>
    <w:rsid w:val="00383F99"/>
    <w:rsid w:val="003840C7"/>
    <w:rsid w:val="003841BD"/>
    <w:rsid w:val="003843F1"/>
    <w:rsid w:val="003856D9"/>
    <w:rsid w:val="00385F1C"/>
    <w:rsid w:val="00387CA5"/>
    <w:rsid w:val="00390652"/>
    <w:rsid w:val="0039116A"/>
    <w:rsid w:val="003921B3"/>
    <w:rsid w:val="00392208"/>
    <w:rsid w:val="00392B65"/>
    <w:rsid w:val="00394F68"/>
    <w:rsid w:val="0039531C"/>
    <w:rsid w:val="00395408"/>
    <w:rsid w:val="0039567C"/>
    <w:rsid w:val="003977A7"/>
    <w:rsid w:val="003A0F07"/>
    <w:rsid w:val="003A1B12"/>
    <w:rsid w:val="003A201D"/>
    <w:rsid w:val="003A2E54"/>
    <w:rsid w:val="003A311E"/>
    <w:rsid w:val="003A3EE4"/>
    <w:rsid w:val="003A56A8"/>
    <w:rsid w:val="003A5A3E"/>
    <w:rsid w:val="003A7609"/>
    <w:rsid w:val="003B0966"/>
    <w:rsid w:val="003B19D4"/>
    <w:rsid w:val="003B2093"/>
    <w:rsid w:val="003B25A6"/>
    <w:rsid w:val="003B27E0"/>
    <w:rsid w:val="003B3A7F"/>
    <w:rsid w:val="003B479D"/>
    <w:rsid w:val="003B5D85"/>
    <w:rsid w:val="003B6104"/>
    <w:rsid w:val="003B76C9"/>
    <w:rsid w:val="003C0ABC"/>
    <w:rsid w:val="003C0C83"/>
    <w:rsid w:val="003C0DF9"/>
    <w:rsid w:val="003C1CD4"/>
    <w:rsid w:val="003C20A0"/>
    <w:rsid w:val="003C31CF"/>
    <w:rsid w:val="003C4E0A"/>
    <w:rsid w:val="003C6705"/>
    <w:rsid w:val="003C69C9"/>
    <w:rsid w:val="003C7253"/>
    <w:rsid w:val="003D0D5B"/>
    <w:rsid w:val="003D1CA8"/>
    <w:rsid w:val="003D2DD9"/>
    <w:rsid w:val="003D422E"/>
    <w:rsid w:val="003D4558"/>
    <w:rsid w:val="003D4E97"/>
    <w:rsid w:val="003D65BD"/>
    <w:rsid w:val="003E040E"/>
    <w:rsid w:val="003E0FC5"/>
    <w:rsid w:val="003E14B2"/>
    <w:rsid w:val="003E1C47"/>
    <w:rsid w:val="003E1F56"/>
    <w:rsid w:val="003E26F2"/>
    <w:rsid w:val="003E4346"/>
    <w:rsid w:val="003E448B"/>
    <w:rsid w:val="003E46DE"/>
    <w:rsid w:val="003E5EA6"/>
    <w:rsid w:val="003E5F22"/>
    <w:rsid w:val="003E7392"/>
    <w:rsid w:val="003E7A00"/>
    <w:rsid w:val="003E7AAC"/>
    <w:rsid w:val="003F0204"/>
    <w:rsid w:val="003F2518"/>
    <w:rsid w:val="003F43E5"/>
    <w:rsid w:val="003F46F3"/>
    <w:rsid w:val="003F652C"/>
    <w:rsid w:val="003F780A"/>
    <w:rsid w:val="003F7C7F"/>
    <w:rsid w:val="00402791"/>
    <w:rsid w:val="0040371B"/>
    <w:rsid w:val="00403A93"/>
    <w:rsid w:val="00404002"/>
    <w:rsid w:val="00405673"/>
    <w:rsid w:val="004064AC"/>
    <w:rsid w:val="00407A75"/>
    <w:rsid w:val="00407CFD"/>
    <w:rsid w:val="004131E2"/>
    <w:rsid w:val="00416BF2"/>
    <w:rsid w:val="0041709D"/>
    <w:rsid w:val="00421244"/>
    <w:rsid w:val="00421532"/>
    <w:rsid w:val="004219CE"/>
    <w:rsid w:val="00421E42"/>
    <w:rsid w:val="00421F16"/>
    <w:rsid w:val="004244A3"/>
    <w:rsid w:val="00424626"/>
    <w:rsid w:val="00425614"/>
    <w:rsid w:val="004261B8"/>
    <w:rsid w:val="0042634F"/>
    <w:rsid w:val="00426DCE"/>
    <w:rsid w:val="00427EA3"/>
    <w:rsid w:val="00431A22"/>
    <w:rsid w:val="0043279B"/>
    <w:rsid w:val="00432A27"/>
    <w:rsid w:val="00435B9B"/>
    <w:rsid w:val="004366F5"/>
    <w:rsid w:val="00440DB0"/>
    <w:rsid w:val="00441837"/>
    <w:rsid w:val="004423AC"/>
    <w:rsid w:val="00442892"/>
    <w:rsid w:val="004432A0"/>
    <w:rsid w:val="004433BD"/>
    <w:rsid w:val="00443C87"/>
    <w:rsid w:val="004449BB"/>
    <w:rsid w:val="00445976"/>
    <w:rsid w:val="004471C3"/>
    <w:rsid w:val="00447E7D"/>
    <w:rsid w:val="00451186"/>
    <w:rsid w:val="0045155F"/>
    <w:rsid w:val="00451590"/>
    <w:rsid w:val="004525DC"/>
    <w:rsid w:val="004527E6"/>
    <w:rsid w:val="004532FA"/>
    <w:rsid w:val="004557DF"/>
    <w:rsid w:val="00455A89"/>
    <w:rsid w:val="004565FB"/>
    <w:rsid w:val="00460567"/>
    <w:rsid w:val="00460E7B"/>
    <w:rsid w:val="004615BA"/>
    <w:rsid w:val="0046236C"/>
    <w:rsid w:val="00463E6D"/>
    <w:rsid w:val="004645A4"/>
    <w:rsid w:val="00465856"/>
    <w:rsid w:val="004660C7"/>
    <w:rsid w:val="00466B62"/>
    <w:rsid w:val="0047193F"/>
    <w:rsid w:val="0047250B"/>
    <w:rsid w:val="00472788"/>
    <w:rsid w:val="00473080"/>
    <w:rsid w:val="0047481D"/>
    <w:rsid w:val="00474A05"/>
    <w:rsid w:val="004753CF"/>
    <w:rsid w:val="0047626F"/>
    <w:rsid w:val="004764E0"/>
    <w:rsid w:val="004803D8"/>
    <w:rsid w:val="00482539"/>
    <w:rsid w:val="004862E9"/>
    <w:rsid w:val="00487B0F"/>
    <w:rsid w:val="004901E1"/>
    <w:rsid w:val="004904D7"/>
    <w:rsid w:val="00490E98"/>
    <w:rsid w:val="00493B65"/>
    <w:rsid w:val="00495FA3"/>
    <w:rsid w:val="00496F01"/>
    <w:rsid w:val="004A08B8"/>
    <w:rsid w:val="004A17FD"/>
    <w:rsid w:val="004A1A6E"/>
    <w:rsid w:val="004A1E3B"/>
    <w:rsid w:val="004A355E"/>
    <w:rsid w:val="004A3806"/>
    <w:rsid w:val="004A5FBF"/>
    <w:rsid w:val="004B0D63"/>
    <w:rsid w:val="004B113D"/>
    <w:rsid w:val="004B1B44"/>
    <w:rsid w:val="004B2CA4"/>
    <w:rsid w:val="004B5FDA"/>
    <w:rsid w:val="004B77CA"/>
    <w:rsid w:val="004B7FBA"/>
    <w:rsid w:val="004C0A28"/>
    <w:rsid w:val="004C17F9"/>
    <w:rsid w:val="004C1823"/>
    <w:rsid w:val="004C55D4"/>
    <w:rsid w:val="004C68CF"/>
    <w:rsid w:val="004C69D8"/>
    <w:rsid w:val="004C6CCD"/>
    <w:rsid w:val="004C7028"/>
    <w:rsid w:val="004C7EC4"/>
    <w:rsid w:val="004D091A"/>
    <w:rsid w:val="004D0F0C"/>
    <w:rsid w:val="004D309C"/>
    <w:rsid w:val="004D3405"/>
    <w:rsid w:val="004D3A41"/>
    <w:rsid w:val="004D3F94"/>
    <w:rsid w:val="004D3F9A"/>
    <w:rsid w:val="004D6A68"/>
    <w:rsid w:val="004E05AA"/>
    <w:rsid w:val="004E13C9"/>
    <w:rsid w:val="004E1AFE"/>
    <w:rsid w:val="004E20FC"/>
    <w:rsid w:val="004E2219"/>
    <w:rsid w:val="004E2909"/>
    <w:rsid w:val="004E2CAA"/>
    <w:rsid w:val="004E37BC"/>
    <w:rsid w:val="004E4818"/>
    <w:rsid w:val="004E4A35"/>
    <w:rsid w:val="004E5173"/>
    <w:rsid w:val="004E6072"/>
    <w:rsid w:val="004E60E9"/>
    <w:rsid w:val="004E6125"/>
    <w:rsid w:val="004F0064"/>
    <w:rsid w:val="004F0233"/>
    <w:rsid w:val="004F0A6D"/>
    <w:rsid w:val="004F1785"/>
    <w:rsid w:val="004F1EAE"/>
    <w:rsid w:val="004F2EAD"/>
    <w:rsid w:val="004F3409"/>
    <w:rsid w:val="004F37EA"/>
    <w:rsid w:val="004F3C2A"/>
    <w:rsid w:val="004F4114"/>
    <w:rsid w:val="004F664D"/>
    <w:rsid w:val="004F6E31"/>
    <w:rsid w:val="004F7188"/>
    <w:rsid w:val="004F783A"/>
    <w:rsid w:val="005007B9"/>
    <w:rsid w:val="00500AAC"/>
    <w:rsid w:val="00502CD9"/>
    <w:rsid w:val="00502EE8"/>
    <w:rsid w:val="005030D8"/>
    <w:rsid w:val="0050342C"/>
    <w:rsid w:val="00503845"/>
    <w:rsid w:val="005041A8"/>
    <w:rsid w:val="0050493A"/>
    <w:rsid w:val="00505209"/>
    <w:rsid w:val="0050524B"/>
    <w:rsid w:val="00506335"/>
    <w:rsid w:val="0050698B"/>
    <w:rsid w:val="00506B5A"/>
    <w:rsid w:val="00506BCA"/>
    <w:rsid w:val="00506E42"/>
    <w:rsid w:val="00511702"/>
    <w:rsid w:val="0051198E"/>
    <w:rsid w:val="00511CEA"/>
    <w:rsid w:val="005124E4"/>
    <w:rsid w:val="005154F6"/>
    <w:rsid w:val="0051561B"/>
    <w:rsid w:val="005166B9"/>
    <w:rsid w:val="00516D9C"/>
    <w:rsid w:val="00517747"/>
    <w:rsid w:val="00517C9B"/>
    <w:rsid w:val="00520570"/>
    <w:rsid w:val="005205D1"/>
    <w:rsid w:val="00520955"/>
    <w:rsid w:val="005221C9"/>
    <w:rsid w:val="00522686"/>
    <w:rsid w:val="0052348B"/>
    <w:rsid w:val="0052351F"/>
    <w:rsid w:val="005239FB"/>
    <w:rsid w:val="0052445A"/>
    <w:rsid w:val="0052479E"/>
    <w:rsid w:val="005258B4"/>
    <w:rsid w:val="005260FA"/>
    <w:rsid w:val="005262B8"/>
    <w:rsid w:val="005268B5"/>
    <w:rsid w:val="00526D5C"/>
    <w:rsid w:val="00527ECB"/>
    <w:rsid w:val="00527F64"/>
    <w:rsid w:val="00531627"/>
    <w:rsid w:val="0053227E"/>
    <w:rsid w:val="00532C96"/>
    <w:rsid w:val="00534CD2"/>
    <w:rsid w:val="00534DB8"/>
    <w:rsid w:val="00534F1A"/>
    <w:rsid w:val="00535241"/>
    <w:rsid w:val="00542E8A"/>
    <w:rsid w:val="005431FD"/>
    <w:rsid w:val="00543897"/>
    <w:rsid w:val="00543937"/>
    <w:rsid w:val="00543AD2"/>
    <w:rsid w:val="00543B54"/>
    <w:rsid w:val="00546222"/>
    <w:rsid w:val="00546B35"/>
    <w:rsid w:val="0054767F"/>
    <w:rsid w:val="00550228"/>
    <w:rsid w:val="00551B4E"/>
    <w:rsid w:val="00552347"/>
    <w:rsid w:val="00552E20"/>
    <w:rsid w:val="005537B4"/>
    <w:rsid w:val="00553B54"/>
    <w:rsid w:val="005545C5"/>
    <w:rsid w:val="00554E27"/>
    <w:rsid w:val="00555D3C"/>
    <w:rsid w:val="00556EF7"/>
    <w:rsid w:val="00556FFD"/>
    <w:rsid w:val="0055770E"/>
    <w:rsid w:val="00557786"/>
    <w:rsid w:val="005602C1"/>
    <w:rsid w:val="00560C7F"/>
    <w:rsid w:val="00560D62"/>
    <w:rsid w:val="00560F63"/>
    <w:rsid w:val="00561547"/>
    <w:rsid w:val="00561810"/>
    <w:rsid w:val="0056182D"/>
    <w:rsid w:val="00561D19"/>
    <w:rsid w:val="00561DE2"/>
    <w:rsid w:val="00562CD4"/>
    <w:rsid w:val="005632CE"/>
    <w:rsid w:val="00563539"/>
    <w:rsid w:val="00563AF1"/>
    <w:rsid w:val="00564AF3"/>
    <w:rsid w:val="00564BE1"/>
    <w:rsid w:val="005708BD"/>
    <w:rsid w:val="00570A27"/>
    <w:rsid w:val="005714F9"/>
    <w:rsid w:val="00571E62"/>
    <w:rsid w:val="00573B57"/>
    <w:rsid w:val="00574D81"/>
    <w:rsid w:val="005752DC"/>
    <w:rsid w:val="005761BE"/>
    <w:rsid w:val="0057642C"/>
    <w:rsid w:val="0057690D"/>
    <w:rsid w:val="00576C4E"/>
    <w:rsid w:val="00577508"/>
    <w:rsid w:val="0058041D"/>
    <w:rsid w:val="005813C1"/>
    <w:rsid w:val="00581DA4"/>
    <w:rsid w:val="005825F8"/>
    <w:rsid w:val="00582769"/>
    <w:rsid w:val="0058303F"/>
    <w:rsid w:val="00585CAA"/>
    <w:rsid w:val="00586331"/>
    <w:rsid w:val="00586864"/>
    <w:rsid w:val="0059015D"/>
    <w:rsid w:val="005907E8"/>
    <w:rsid w:val="00591F72"/>
    <w:rsid w:val="00591FE5"/>
    <w:rsid w:val="00592258"/>
    <w:rsid w:val="00593023"/>
    <w:rsid w:val="0059322A"/>
    <w:rsid w:val="005932C5"/>
    <w:rsid w:val="00593A91"/>
    <w:rsid w:val="00594355"/>
    <w:rsid w:val="00594682"/>
    <w:rsid w:val="00595D65"/>
    <w:rsid w:val="00596227"/>
    <w:rsid w:val="00596A24"/>
    <w:rsid w:val="005977D3"/>
    <w:rsid w:val="005A0696"/>
    <w:rsid w:val="005A0897"/>
    <w:rsid w:val="005A08D9"/>
    <w:rsid w:val="005A1A15"/>
    <w:rsid w:val="005A1FA7"/>
    <w:rsid w:val="005A2B88"/>
    <w:rsid w:val="005A376E"/>
    <w:rsid w:val="005A417D"/>
    <w:rsid w:val="005A468F"/>
    <w:rsid w:val="005A4A6F"/>
    <w:rsid w:val="005A4C69"/>
    <w:rsid w:val="005A5491"/>
    <w:rsid w:val="005A70E8"/>
    <w:rsid w:val="005A7462"/>
    <w:rsid w:val="005A77DF"/>
    <w:rsid w:val="005B111B"/>
    <w:rsid w:val="005B30D4"/>
    <w:rsid w:val="005B3194"/>
    <w:rsid w:val="005B4B3D"/>
    <w:rsid w:val="005B4C00"/>
    <w:rsid w:val="005B6AE2"/>
    <w:rsid w:val="005B6EBE"/>
    <w:rsid w:val="005B7443"/>
    <w:rsid w:val="005B7CD1"/>
    <w:rsid w:val="005C0924"/>
    <w:rsid w:val="005C0B34"/>
    <w:rsid w:val="005C0EE8"/>
    <w:rsid w:val="005C1207"/>
    <w:rsid w:val="005C22C8"/>
    <w:rsid w:val="005C2A1F"/>
    <w:rsid w:val="005C2DA6"/>
    <w:rsid w:val="005C54CB"/>
    <w:rsid w:val="005C6364"/>
    <w:rsid w:val="005C76F6"/>
    <w:rsid w:val="005C7A8E"/>
    <w:rsid w:val="005D051A"/>
    <w:rsid w:val="005D1343"/>
    <w:rsid w:val="005D3466"/>
    <w:rsid w:val="005D47E3"/>
    <w:rsid w:val="005D74E8"/>
    <w:rsid w:val="005E334A"/>
    <w:rsid w:val="005E3584"/>
    <w:rsid w:val="005E3B99"/>
    <w:rsid w:val="005E3FFC"/>
    <w:rsid w:val="005E4DA7"/>
    <w:rsid w:val="005E642D"/>
    <w:rsid w:val="005F0760"/>
    <w:rsid w:val="005F13AC"/>
    <w:rsid w:val="005F15FE"/>
    <w:rsid w:val="005F1C68"/>
    <w:rsid w:val="005F26AF"/>
    <w:rsid w:val="005F294E"/>
    <w:rsid w:val="005F5837"/>
    <w:rsid w:val="005F67FA"/>
    <w:rsid w:val="005F6C4A"/>
    <w:rsid w:val="005F72ED"/>
    <w:rsid w:val="005F73DC"/>
    <w:rsid w:val="005F74D1"/>
    <w:rsid w:val="00600497"/>
    <w:rsid w:val="00600C88"/>
    <w:rsid w:val="00601482"/>
    <w:rsid w:val="00602584"/>
    <w:rsid w:val="0060272C"/>
    <w:rsid w:val="006040B1"/>
    <w:rsid w:val="00604AAC"/>
    <w:rsid w:val="00604B7F"/>
    <w:rsid w:val="00605124"/>
    <w:rsid w:val="00605C32"/>
    <w:rsid w:val="00607609"/>
    <w:rsid w:val="006108B0"/>
    <w:rsid w:val="006109AC"/>
    <w:rsid w:val="00610B4A"/>
    <w:rsid w:val="00611CBC"/>
    <w:rsid w:val="00611E27"/>
    <w:rsid w:val="006121B2"/>
    <w:rsid w:val="00612AC3"/>
    <w:rsid w:val="00612F7B"/>
    <w:rsid w:val="0061346D"/>
    <w:rsid w:val="00614DB6"/>
    <w:rsid w:val="00615314"/>
    <w:rsid w:val="00616A9E"/>
    <w:rsid w:val="00617DAE"/>
    <w:rsid w:val="00617DD8"/>
    <w:rsid w:val="00620D58"/>
    <w:rsid w:val="00620D68"/>
    <w:rsid w:val="00622957"/>
    <w:rsid w:val="00622B76"/>
    <w:rsid w:val="00622F20"/>
    <w:rsid w:val="00623523"/>
    <w:rsid w:val="006252B4"/>
    <w:rsid w:val="00625D3F"/>
    <w:rsid w:val="00627478"/>
    <w:rsid w:val="006306BC"/>
    <w:rsid w:val="006313D9"/>
    <w:rsid w:val="00631BB4"/>
    <w:rsid w:val="00631FB8"/>
    <w:rsid w:val="00632A55"/>
    <w:rsid w:val="00632DD2"/>
    <w:rsid w:val="00636FEF"/>
    <w:rsid w:val="00637D3F"/>
    <w:rsid w:val="006410E9"/>
    <w:rsid w:val="0064120C"/>
    <w:rsid w:val="006414D8"/>
    <w:rsid w:val="006445F5"/>
    <w:rsid w:val="00644FBE"/>
    <w:rsid w:val="0064649E"/>
    <w:rsid w:val="00646930"/>
    <w:rsid w:val="00647E16"/>
    <w:rsid w:val="00650D09"/>
    <w:rsid w:val="00652FDB"/>
    <w:rsid w:val="00653FDE"/>
    <w:rsid w:val="00655403"/>
    <w:rsid w:val="00655557"/>
    <w:rsid w:val="006564D3"/>
    <w:rsid w:val="00656D60"/>
    <w:rsid w:val="00657B79"/>
    <w:rsid w:val="00657FF3"/>
    <w:rsid w:val="00664E36"/>
    <w:rsid w:val="0066529C"/>
    <w:rsid w:val="00665A15"/>
    <w:rsid w:val="00666E3A"/>
    <w:rsid w:val="00670BE4"/>
    <w:rsid w:val="0067278F"/>
    <w:rsid w:val="00672A18"/>
    <w:rsid w:val="00673201"/>
    <w:rsid w:val="00673798"/>
    <w:rsid w:val="00674662"/>
    <w:rsid w:val="00674B0A"/>
    <w:rsid w:val="00676767"/>
    <w:rsid w:val="00680313"/>
    <w:rsid w:val="00680AFD"/>
    <w:rsid w:val="006811FD"/>
    <w:rsid w:val="0068317E"/>
    <w:rsid w:val="00684B87"/>
    <w:rsid w:val="006851E0"/>
    <w:rsid w:val="00685651"/>
    <w:rsid w:val="006869F4"/>
    <w:rsid w:val="0068768F"/>
    <w:rsid w:val="006908AA"/>
    <w:rsid w:val="00691B98"/>
    <w:rsid w:val="00692789"/>
    <w:rsid w:val="00692B8D"/>
    <w:rsid w:val="00693105"/>
    <w:rsid w:val="00694752"/>
    <w:rsid w:val="006948A1"/>
    <w:rsid w:val="00694DF4"/>
    <w:rsid w:val="00696B15"/>
    <w:rsid w:val="006A1534"/>
    <w:rsid w:val="006A1904"/>
    <w:rsid w:val="006A1B2E"/>
    <w:rsid w:val="006A1B8B"/>
    <w:rsid w:val="006A2F80"/>
    <w:rsid w:val="006A3C1A"/>
    <w:rsid w:val="006A3D7F"/>
    <w:rsid w:val="006A440A"/>
    <w:rsid w:val="006A50DB"/>
    <w:rsid w:val="006A6A99"/>
    <w:rsid w:val="006A6F6C"/>
    <w:rsid w:val="006B08D6"/>
    <w:rsid w:val="006B19DC"/>
    <w:rsid w:val="006B23B8"/>
    <w:rsid w:val="006B291F"/>
    <w:rsid w:val="006B2DCA"/>
    <w:rsid w:val="006B3B8C"/>
    <w:rsid w:val="006B54EA"/>
    <w:rsid w:val="006B5840"/>
    <w:rsid w:val="006B5C7D"/>
    <w:rsid w:val="006B73A8"/>
    <w:rsid w:val="006C0640"/>
    <w:rsid w:val="006C11DA"/>
    <w:rsid w:val="006C2301"/>
    <w:rsid w:val="006C2E6C"/>
    <w:rsid w:val="006C3274"/>
    <w:rsid w:val="006C3CC1"/>
    <w:rsid w:val="006C5B85"/>
    <w:rsid w:val="006C5C00"/>
    <w:rsid w:val="006C5D50"/>
    <w:rsid w:val="006D2171"/>
    <w:rsid w:val="006D2925"/>
    <w:rsid w:val="006D2B6B"/>
    <w:rsid w:val="006D3797"/>
    <w:rsid w:val="006D4CEA"/>
    <w:rsid w:val="006D5AD8"/>
    <w:rsid w:val="006D619A"/>
    <w:rsid w:val="006D6BD5"/>
    <w:rsid w:val="006D6C66"/>
    <w:rsid w:val="006D7418"/>
    <w:rsid w:val="006E092A"/>
    <w:rsid w:val="006E19A8"/>
    <w:rsid w:val="006E3D0F"/>
    <w:rsid w:val="006E4D0C"/>
    <w:rsid w:val="006E500B"/>
    <w:rsid w:val="006E5386"/>
    <w:rsid w:val="006E538C"/>
    <w:rsid w:val="006E56B6"/>
    <w:rsid w:val="006E5D11"/>
    <w:rsid w:val="006E61CD"/>
    <w:rsid w:val="006E6D4D"/>
    <w:rsid w:val="006F02C6"/>
    <w:rsid w:val="006F0F88"/>
    <w:rsid w:val="006F168D"/>
    <w:rsid w:val="006F20E6"/>
    <w:rsid w:val="006F29EF"/>
    <w:rsid w:val="006F2A68"/>
    <w:rsid w:val="006F2F3C"/>
    <w:rsid w:val="006F4685"/>
    <w:rsid w:val="006F47E2"/>
    <w:rsid w:val="006F491A"/>
    <w:rsid w:val="006F530C"/>
    <w:rsid w:val="006F55F0"/>
    <w:rsid w:val="006F6FB3"/>
    <w:rsid w:val="006F7E22"/>
    <w:rsid w:val="00700310"/>
    <w:rsid w:val="00701406"/>
    <w:rsid w:val="00702779"/>
    <w:rsid w:val="00703E5F"/>
    <w:rsid w:val="0070407C"/>
    <w:rsid w:val="0070437F"/>
    <w:rsid w:val="0070483C"/>
    <w:rsid w:val="00704B3C"/>
    <w:rsid w:val="00705179"/>
    <w:rsid w:val="00706EC4"/>
    <w:rsid w:val="00707096"/>
    <w:rsid w:val="0071000A"/>
    <w:rsid w:val="00710087"/>
    <w:rsid w:val="007109AF"/>
    <w:rsid w:val="00714842"/>
    <w:rsid w:val="00714844"/>
    <w:rsid w:val="00715384"/>
    <w:rsid w:val="00715EED"/>
    <w:rsid w:val="00716F13"/>
    <w:rsid w:val="00717C2B"/>
    <w:rsid w:val="0072289E"/>
    <w:rsid w:val="00722916"/>
    <w:rsid w:val="00723CF2"/>
    <w:rsid w:val="00724D7F"/>
    <w:rsid w:val="00725FF5"/>
    <w:rsid w:val="007270BA"/>
    <w:rsid w:val="00727B88"/>
    <w:rsid w:val="007306F6"/>
    <w:rsid w:val="00730B3C"/>
    <w:rsid w:val="00730E97"/>
    <w:rsid w:val="00734233"/>
    <w:rsid w:val="00734B99"/>
    <w:rsid w:val="00737F9F"/>
    <w:rsid w:val="007400EC"/>
    <w:rsid w:val="00741107"/>
    <w:rsid w:val="00742D14"/>
    <w:rsid w:val="00742FD9"/>
    <w:rsid w:val="007435A6"/>
    <w:rsid w:val="00743769"/>
    <w:rsid w:val="00743D43"/>
    <w:rsid w:val="00744D0F"/>
    <w:rsid w:val="0074522C"/>
    <w:rsid w:val="00745964"/>
    <w:rsid w:val="00747465"/>
    <w:rsid w:val="00750FE6"/>
    <w:rsid w:val="007521BA"/>
    <w:rsid w:val="0075240D"/>
    <w:rsid w:val="00752CEF"/>
    <w:rsid w:val="007543A9"/>
    <w:rsid w:val="007549FF"/>
    <w:rsid w:val="00754D62"/>
    <w:rsid w:val="00755ED1"/>
    <w:rsid w:val="007565BF"/>
    <w:rsid w:val="00756F34"/>
    <w:rsid w:val="00760E55"/>
    <w:rsid w:val="0076100A"/>
    <w:rsid w:val="00761761"/>
    <w:rsid w:val="00761F94"/>
    <w:rsid w:val="00763459"/>
    <w:rsid w:val="00764973"/>
    <w:rsid w:val="00764BA9"/>
    <w:rsid w:val="00765FFE"/>
    <w:rsid w:val="007664D2"/>
    <w:rsid w:val="00767607"/>
    <w:rsid w:val="007704E8"/>
    <w:rsid w:val="00770A5E"/>
    <w:rsid w:val="0077223A"/>
    <w:rsid w:val="007724AE"/>
    <w:rsid w:val="00776341"/>
    <w:rsid w:val="00777060"/>
    <w:rsid w:val="00777BDB"/>
    <w:rsid w:val="00777E0E"/>
    <w:rsid w:val="00780A61"/>
    <w:rsid w:val="00781E78"/>
    <w:rsid w:val="00782D34"/>
    <w:rsid w:val="0078377C"/>
    <w:rsid w:val="00783EDE"/>
    <w:rsid w:val="00783F1F"/>
    <w:rsid w:val="007849A3"/>
    <w:rsid w:val="00785257"/>
    <w:rsid w:val="0078525B"/>
    <w:rsid w:val="00785953"/>
    <w:rsid w:val="00785EC9"/>
    <w:rsid w:val="007862FF"/>
    <w:rsid w:val="0078713C"/>
    <w:rsid w:val="00790169"/>
    <w:rsid w:val="00790174"/>
    <w:rsid w:val="007901F3"/>
    <w:rsid w:val="00790202"/>
    <w:rsid w:val="0079074F"/>
    <w:rsid w:val="00790875"/>
    <w:rsid w:val="007908A2"/>
    <w:rsid w:val="00792754"/>
    <w:rsid w:val="007931F1"/>
    <w:rsid w:val="00793484"/>
    <w:rsid w:val="007942E7"/>
    <w:rsid w:val="007A0B99"/>
    <w:rsid w:val="007A2DA4"/>
    <w:rsid w:val="007A4169"/>
    <w:rsid w:val="007A5272"/>
    <w:rsid w:val="007A61D3"/>
    <w:rsid w:val="007A7D5D"/>
    <w:rsid w:val="007B02D1"/>
    <w:rsid w:val="007B11E8"/>
    <w:rsid w:val="007B12B3"/>
    <w:rsid w:val="007B33BA"/>
    <w:rsid w:val="007B3556"/>
    <w:rsid w:val="007B534B"/>
    <w:rsid w:val="007B64AA"/>
    <w:rsid w:val="007C0A2E"/>
    <w:rsid w:val="007C0A4B"/>
    <w:rsid w:val="007C106B"/>
    <w:rsid w:val="007C16F8"/>
    <w:rsid w:val="007C1CD2"/>
    <w:rsid w:val="007C23EB"/>
    <w:rsid w:val="007C2E9B"/>
    <w:rsid w:val="007C37A0"/>
    <w:rsid w:val="007C488E"/>
    <w:rsid w:val="007C4969"/>
    <w:rsid w:val="007C5887"/>
    <w:rsid w:val="007C62D3"/>
    <w:rsid w:val="007C723C"/>
    <w:rsid w:val="007C74D8"/>
    <w:rsid w:val="007D00A0"/>
    <w:rsid w:val="007D022E"/>
    <w:rsid w:val="007D0381"/>
    <w:rsid w:val="007D1237"/>
    <w:rsid w:val="007D41D6"/>
    <w:rsid w:val="007D6369"/>
    <w:rsid w:val="007D70EC"/>
    <w:rsid w:val="007D74B1"/>
    <w:rsid w:val="007E0485"/>
    <w:rsid w:val="007E16BF"/>
    <w:rsid w:val="007E20E9"/>
    <w:rsid w:val="007E3F1D"/>
    <w:rsid w:val="007E6241"/>
    <w:rsid w:val="007E6B52"/>
    <w:rsid w:val="007E6CF2"/>
    <w:rsid w:val="007E7361"/>
    <w:rsid w:val="007F00A9"/>
    <w:rsid w:val="007F1061"/>
    <w:rsid w:val="007F1291"/>
    <w:rsid w:val="007F22AE"/>
    <w:rsid w:val="007F38A1"/>
    <w:rsid w:val="007F3A92"/>
    <w:rsid w:val="007F4B89"/>
    <w:rsid w:val="007F5830"/>
    <w:rsid w:val="007F716E"/>
    <w:rsid w:val="0080004A"/>
    <w:rsid w:val="00800291"/>
    <w:rsid w:val="0080263B"/>
    <w:rsid w:val="00802A13"/>
    <w:rsid w:val="00802D01"/>
    <w:rsid w:val="008033B1"/>
    <w:rsid w:val="00803E2B"/>
    <w:rsid w:val="008058EB"/>
    <w:rsid w:val="00805C3F"/>
    <w:rsid w:val="00810045"/>
    <w:rsid w:val="00810ED6"/>
    <w:rsid w:val="00813732"/>
    <w:rsid w:val="008140BB"/>
    <w:rsid w:val="00814F35"/>
    <w:rsid w:val="00815481"/>
    <w:rsid w:val="008176E3"/>
    <w:rsid w:val="00820B27"/>
    <w:rsid w:val="00820E6B"/>
    <w:rsid w:val="00820F33"/>
    <w:rsid w:val="00821229"/>
    <w:rsid w:val="00822BCB"/>
    <w:rsid w:val="008239EA"/>
    <w:rsid w:val="008247BC"/>
    <w:rsid w:val="00824AD3"/>
    <w:rsid w:val="0082533B"/>
    <w:rsid w:val="0083044B"/>
    <w:rsid w:val="008314C9"/>
    <w:rsid w:val="0083273F"/>
    <w:rsid w:val="0083328B"/>
    <w:rsid w:val="00833619"/>
    <w:rsid w:val="00834B27"/>
    <w:rsid w:val="00835222"/>
    <w:rsid w:val="00835867"/>
    <w:rsid w:val="008361BF"/>
    <w:rsid w:val="00836C56"/>
    <w:rsid w:val="00836DB0"/>
    <w:rsid w:val="00836FC0"/>
    <w:rsid w:val="008407B4"/>
    <w:rsid w:val="00841680"/>
    <w:rsid w:val="00842466"/>
    <w:rsid w:val="008424F5"/>
    <w:rsid w:val="00842C80"/>
    <w:rsid w:val="00842FE7"/>
    <w:rsid w:val="00843333"/>
    <w:rsid w:val="00843608"/>
    <w:rsid w:val="008436EF"/>
    <w:rsid w:val="00843E42"/>
    <w:rsid w:val="00844FE7"/>
    <w:rsid w:val="00846445"/>
    <w:rsid w:val="0084717A"/>
    <w:rsid w:val="008510B0"/>
    <w:rsid w:val="008519BB"/>
    <w:rsid w:val="00851D5C"/>
    <w:rsid w:val="008542B0"/>
    <w:rsid w:val="0085451D"/>
    <w:rsid w:val="00854521"/>
    <w:rsid w:val="00854D1F"/>
    <w:rsid w:val="00854DB3"/>
    <w:rsid w:val="0085590B"/>
    <w:rsid w:val="00856D8A"/>
    <w:rsid w:val="00857E32"/>
    <w:rsid w:val="00860850"/>
    <w:rsid w:val="00861BEA"/>
    <w:rsid w:val="00861C33"/>
    <w:rsid w:val="0086244B"/>
    <w:rsid w:val="00862D61"/>
    <w:rsid w:val="00863F99"/>
    <w:rsid w:val="00865761"/>
    <w:rsid w:val="0086619A"/>
    <w:rsid w:val="00871B7C"/>
    <w:rsid w:val="00872DEA"/>
    <w:rsid w:val="00873EDF"/>
    <w:rsid w:val="0087431B"/>
    <w:rsid w:val="00874895"/>
    <w:rsid w:val="00876618"/>
    <w:rsid w:val="00876C6B"/>
    <w:rsid w:val="00881115"/>
    <w:rsid w:val="00882105"/>
    <w:rsid w:val="0088251B"/>
    <w:rsid w:val="0088679C"/>
    <w:rsid w:val="00886AEE"/>
    <w:rsid w:val="0089030F"/>
    <w:rsid w:val="00890C64"/>
    <w:rsid w:val="00890D02"/>
    <w:rsid w:val="00890D04"/>
    <w:rsid w:val="00890DED"/>
    <w:rsid w:val="00892E34"/>
    <w:rsid w:val="00893E27"/>
    <w:rsid w:val="00895232"/>
    <w:rsid w:val="008952C3"/>
    <w:rsid w:val="00895659"/>
    <w:rsid w:val="00896A6F"/>
    <w:rsid w:val="008A09E2"/>
    <w:rsid w:val="008A2202"/>
    <w:rsid w:val="008A2AB7"/>
    <w:rsid w:val="008A414B"/>
    <w:rsid w:val="008A4715"/>
    <w:rsid w:val="008A4851"/>
    <w:rsid w:val="008A49CC"/>
    <w:rsid w:val="008A673F"/>
    <w:rsid w:val="008A7189"/>
    <w:rsid w:val="008B012E"/>
    <w:rsid w:val="008B1A46"/>
    <w:rsid w:val="008B2A22"/>
    <w:rsid w:val="008B4161"/>
    <w:rsid w:val="008B44A3"/>
    <w:rsid w:val="008B5175"/>
    <w:rsid w:val="008B51BD"/>
    <w:rsid w:val="008B62F4"/>
    <w:rsid w:val="008B6E36"/>
    <w:rsid w:val="008B7E97"/>
    <w:rsid w:val="008C0450"/>
    <w:rsid w:val="008C1C33"/>
    <w:rsid w:val="008C462E"/>
    <w:rsid w:val="008C46B4"/>
    <w:rsid w:val="008C4E3B"/>
    <w:rsid w:val="008C5A69"/>
    <w:rsid w:val="008C60B0"/>
    <w:rsid w:val="008C6B9B"/>
    <w:rsid w:val="008C7003"/>
    <w:rsid w:val="008C7A15"/>
    <w:rsid w:val="008C7C59"/>
    <w:rsid w:val="008C7F03"/>
    <w:rsid w:val="008D015C"/>
    <w:rsid w:val="008D1064"/>
    <w:rsid w:val="008D1745"/>
    <w:rsid w:val="008D1A7F"/>
    <w:rsid w:val="008D20EE"/>
    <w:rsid w:val="008D224A"/>
    <w:rsid w:val="008D2670"/>
    <w:rsid w:val="008D385F"/>
    <w:rsid w:val="008D3901"/>
    <w:rsid w:val="008D4DAC"/>
    <w:rsid w:val="008D600F"/>
    <w:rsid w:val="008D7215"/>
    <w:rsid w:val="008D725E"/>
    <w:rsid w:val="008D7DC6"/>
    <w:rsid w:val="008E364B"/>
    <w:rsid w:val="008E40B4"/>
    <w:rsid w:val="008E4491"/>
    <w:rsid w:val="008E5946"/>
    <w:rsid w:val="008E5CC6"/>
    <w:rsid w:val="008E5FDB"/>
    <w:rsid w:val="008E7967"/>
    <w:rsid w:val="008F2879"/>
    <w:rsid w:val="008F479D"/>
    <w:rsid w:val="008F5948"/>
    <w:rsid w:val="008F60B0"/>
    <w:rsid w:val="008F6D99"/>
    <w:rsid w:val="009002D4"/>
    <w:rsid w:val="00900C92"/>
    <w:rsid w:val="009019B7"/>
    <w:rsid w:val="00901F67"/>
    <w:rsid w:val="00902040"/>
    <w:rsid w:val="009031D1"/>
    <w:rsid w:val="00903331"/>
    <w:rsid w:val="00903442"/>
    <w:rsid w:val="00903728"/>
    <w:rsid w:val="00907CA9"/>
    <w:rsid w:val="00907D9F"/>
    <w:rsid w:val="00910BAE"/>
    <w:rsid w:val="00910EF8"/>
    <w:rsid w:val="0091106C"/>
    <w:rsid w:val="00912182"/>
    <w:rsid w:val="009123AC"/>
    <w:rsid w:val="009125AC"/>
    <w:rsid w:val="00912AF5"/>
    <w:rsid w:val="00912B80"/>
    <w:rsid w:val="009142FD"/>
    <w:rsid w:val="00914B68"/>
    <w:rsid w:val="00914E1E"/>
    <w:rsid w:val="00914EE9"/>
    <w:rsid w:val="009151A4"/>
    <w:rsid w:val="00915627"/>
    <w:rsid w:val="009205D9"/>
    <w:rsid w:val="00921E41"/>
    <w:rsid w:val="00922F31"/>
    <w:rsid w:val="00923371"/>
    <w:rsid w:val="00923420"/>
    <w:rsid w:val="0092389E"/>
    <w:rsid w:val="00923CA2"/>
    <w:rsid w:val="00924DAC"/>
    <w:rsid w:val="00924F19"/>
    <w:rsid w:val="009260DD"/>
    <w:rsid w:val="009267FF"/>
    <w:rsid w:val="00927B1F"/>
    <w:rsid w:val="00931A34"/>
    <w:rsid w:val="009327A6"/>
    <w:rsid w:val="00932865"/>
    <w:rsid w:val="0093339F"/>
    <w:rsid w:val="009351A7"/>
    <w:rsid w:val="009353CA"/>
    <w:rsid w:val="009373C2"/>
    <w:rsid w:val="00937B50"/>
    <w:rsid w:val="009412DB"/>
    <w:rsid w:val="00942D84"/>
    <w:rsid w:val="0094354E"/>
    <w:rsid w:val="00945C70"/>
    <w:rsid w:val="00945EF2"/>
    <w:rsid w:val="00947CC1"/>
    <w:rsid w:val="00947CD7"/>
    <w:rsid w:val="00947ED5"/>
    <w:rsid w:val="00952883"/>
    <w:rsid w:val="00952B4D"/>
    <w:rsid w:val="009539A3"/>
    <w:rsid w:val="00953CCC"/>
    <w:rsid w:val="00953EC4"/>
    <w:rsid w:val="00953F04"/>
    <w:rsid w:val="009544A4"/>
    <w:rsid w:val="00954B76"/>
    <w:rsid w:val="009554F4"/>
    <w:rsid w:val="00956433"/>
    <w:rsid w:val="00956720"/>
    <w:rsid w:val="00957205"/>
    <w:rsid w:val="00957582"/>
    <w:rsid w:val="00960913"/>
    <w:rsid w:val="00961F2C"/>
    <w:rsid w:val="00962822"/>
    <w:rsid w:val="00964028"/>
    <w:rsid w:val="00966C1C"/>
    <w:rsid w:val="00967697"/>
    <w:rsid w:val="009678DB"/>
    <w:rsid w:val="00967BC7"/>
    <w:rsid w:val="00967BDB"/>
    <w:rsid w:val="009741C3"/>
    <w:rsid w:val="009748C9"/>
    <w:rsid w:val="009749D5"/>
    <w:rsid w:val="00976705"/>
    <w:rsid w:val="009769ED"/>
    <w:rsid w:val="00977828"/>
    <w:rsid w:val="00977C77"/>
    <w:rsid w:val="009812B1"/>
    <w:rsid w:val="009813C2"/>
    <w:rsid w:val="00981AD5"/>
    <w:rsid w:val="00984C76"/>
    <w:rsid w:val="00985CE7"/>
    <w:rsid w:val="009863D5"/>
    <w:rsid w:val="00987888"/>
    <w:rsid w:val="00990357"/>
    <w:rsid w:val="00990587"/>
    <w:rsid w:val="009905BB"/>
    <w:rsid w:val="00991C99"/>
    <w:rsid w:val="009926E9"/>
    <w:rsid w:val="00993412"/>
    <w:rsid w:val="00994421"/>
    <w:rsid w:val="00994B9D"/>
    <w:rsid w:val="00994DB2"/>
    <w:rsid w:val="0099505C"/>
    <w:rsid w:val="009965A9"/>
    <w:rsid w:val="00996930"/>
    <w:rsid w:val="009973FC"/>
    <w:rsid w:val="009A3387"/>
    <w:rsid w:val="009A4B71"/>
    <w:rsid w:val="009A53FD"/>
    <w:rsid w:val="009A5FE3"/>
    <w:rsid w:val="009A631A"/>
    <w:rsid w:val="009B0ADB"/>
    <w:rsid w:val="009B1CC5"/>
    <w:rsid w:val="009B2351"/>
    <w:rsid w:val="009B3516"/>
    <w:rsid w:val="009B3567"/>
    <w:rsid w:val="009B356A"/>
    <w:rsid w:val="009B5B1D"/>
    <w:rsid w:val="009B7B7D"/>
    <w:rsid w:val="009C169E"/>
    <w:rsid w:val="009C19BB"/>
    <w:rsid w:val="009C2C70"/>
    <w:rsid w:val="009C2DBE"/>
    <w:rsid w:val="009C684E"/>
    <w:rsid w:val="009C6B90"/>
    <w:rsid w:val="009C784F"/>
    <w:rsid w:val="009C789C"/>
    <w:rsid w:val="009C7D91"/>
    <w:rsid w:val="009C7F75"/>
    <w:rsid w:val="009D08EE"/>
    <w:rsid w:val="009D0A18"/>
    <w:rsid w:val="009D1849"/>
    <w:rsid w:val="009D2084"/>
    <w:rsid w:val="009D30CD"/>
    <w:rsid w:val="009D329A"/>
    <w:rsid w:val="009D3C30"/>
    <w:rsid w:val="009D4A3A"/>
    <w:rsid w:val="009D52FB"/>
    <w:rsid w:val="009D53CD"/>
    <w:rsid w:val="009D55F1"/>
    <w:rsid w:val="009E668A"/>
    <w:rsid w:val="009E7B9C"/>
    <w:rsid w:val="009F0AE2"/>
    <w:rsid w:val="009F13E3"/>
    <w:rsid w:val="009F1636"/>
    <w:rsid w:val="009F203F"/>
    <w:rsid w:val="009F27A1"/>
    <w:rsid w:val="009F2AA7"/>
    <w:rsid w:val="009F2FDA"/>
    <w:rsid w:val="009F44F4"/>
    <w:rsid w:val="009F50A7"/>
    <w:rsid w:val="009F51C2"/>
    <w:rsid w:val="009F5B0C"/>
    <w:rsid w:val="009F66F5"/>
    <w:rsid w:val="009F7732"/>
    <w:rsid w:val="00A006B5"/>
    <w:rsid w:val="00A02362"/>
    <w:rsid w:val="00A026AA"/>
    <w:rsid w:val="00A038DD"/>
    <w:rsid w:val="00A03EA5"/>
    <w:rsid w:val="00A05F80"/>
    <w:rsid w:val="00A06326"/>
    <w:rsid w:val="00A07AEC"/>
    <w:rsid w:val="00A11620"/>
    <w:rsid w:val="00A117B6"/>
    <w:rsid w:val="00A118C4"/>
    <w:rsid w:val="00A11EA2"/>
    <w:rsid w:val="00A1202C"/>
    <w:rsid w:val="00A12612"/>
    <w:rsid w:val="00A13989"/>
    <w:rsid w:val="00A142D6"/>
    <w:rsid w:val="00A1539E"/>
    <w:rsid w:val="00A1595F"/>
    <w:rsid w:val="00A170CC"/>
    <w:rsid w:val="00A224BB"/>
    <w:rsid w:val="00A2390C"/>
    <w:rsid w:val="00A23DEE"/>
    <w:rsid w:val="00A24CA3"/>
    <w:rsid w:val="00A25BF0"/>
    <w:rsid w:val="00A25ECE"/>
    <w:rsid w:val="00A302AA"/>
    <w:rsid w:val="00A306EE"/>
    <w:rsid w:val="00A30C33"/>
    <w:rsid w:val="00A327B3"/>
    <w:rsid w:val="00A32828"/>
    <w:rsid w:val="00A32B41"/>
    <w:rsid w:val="00A332DC"/>
    <w:rsid w:val="00A33EB6"/>
    <w:rsid w:val="00A34524"/>
    <w:rsid w:val="00A34687"/>
    <w:rsid w:val="00A36FE2"/>
    <w:rsid w:val="00A4093A"/>
    <w:rsid w:val="00A41378"/>
    <w:rsid w:val="00A41B4B"/>
    <w:rsid w:val="00A42ADC"/>
    <w:rsid w:val="00A42CA7"/>
    <w:rsid w:val="00A446B9"/>
    <w:rsid w:val="00A45352"/>
    <w:rsid w:val="00A45A64"/>
    <w:rsid w:val="00A45C0E"/>
    <w:rsid w:val="00A45DB7"/>
    <w:rsid w:val="00A45FD1"/>
    <w:rsid w:val="00A50DE9"/>
    <w:rsid w:val="00A513F3"/>
    <w:rsid w:val="00A522DA"/>
    <w:rsid w:val="00A53A41"/>
    <w:rsid w:val="00A53AFA"/>
    <w:rsid w:val="00A55427"/>
    <w:rsid w:val="00A5582C"/>
    <w:rsid w:val="00A560DC"/>
    <w:rsid w:val="00A60108"/>
    <w:rsid w:val="00A6469B"/>
    <w:rsid w:val="00A64ADE"/>
    <w:rsid w:val="00A65DE3"/>
    <w:rsid w:val="00A66220"/>
    <w:rsid w:val="00A6652D"/>
    <w:rsid w:val="00A66DD1"/>
    <w:rsid w:val="00A67D8E"/>
    <w:rsid w:val="00A712FD"/>
    <w:rsid w:val="00A71645"/>
    <w:rsid w:val="00A7178A"/>
    <w:rsid w:val="00A71895"/>
    <w:rsid w:val="00A71CC7"/>
    <w:rsid w:val="00A721BB"/>
    <w:rsid w:val="00A725E0"/>
    <w:rsid w:val="00A72B8C"/>
    <w:rsid w:val="00A734E0"/>
    <w:rsid w:val="00A75698"/>
    <w:rsid w:val="00A75F89"/>
    <w:rsid w:val="00A76417"/>
    <w:rsid w:val="00A76895"/>
    <w:rsid w:val="00A77710"/>
    <w:rsid w:val="00A835D5"/>
    <w:rsid w:val="00A842F6"/>
    <w:rsid w:val="00A84BC1"/>
    <w:rsid w:val="00A861CC"/>
    <w:rsid w:val="00A874C9"/>
    <w:rsid w:val="00A91637"/>
    <w:rsid w:val="00A91641"/>
    <w:rsid w:val="00A92410"/>
    <w:rsid w:val="00A9312A"/>
    <w:rsid w:val="00A932DC"/>
    <w:rsid w:val="00A93B3C"/>
    <w:rsid w:val="00A942C5"/>
    <w:rsid w:val="00A95213"/>
    <w:rsid w:val="00AA0CE7"/>
    <w:rsid w:val="00AA15F6"/>
    <w:rsid w:val="00AA2BF5"/>
    <w:rsid w:val="00AA3B84"/>
    <w:rsid w:val="00AA4635"/>
    <w:rsid w:val="00AA4689"/>
    <w:rsid w:val="00AA7914"/>
    <w:rsid w:val="00AA7F1E"/>
    <w:rsid w:val="00AB00BF"/>
    <w:rsid w:val="00AB0225"/>
    <w:rsid w:val="00AB0EBC"/>
    <w:rsid w:val="00AB18FC"/>
    <w:rsid w:val="00AB2FF8"/>
    <w:rsid w:val="00AB3E8B"/>
    <w:rsid w:val="00AB4D4F"/>
    <w:rsid w:val="00AB5581"/>
    <w:rsid w:val="00AB5F8F"/>
    <w:rsid w:val="00AB6F9A"/>
    <w:rsid w:val="00AB701F"/>
    <w:rsid w:val="00AB77CB"/>
    <w:rsid w:val="00AB7EBA"/>
    <w:rsid w:val="00AC0578"/>
    <w:rsid w:val="00AC65B4"/>
    <w:rsid w:val="00AC67E6"/>
    <w:rsid w:val="00AC6CE3"/>
    <w:rsid w:val="00AD34FB"/>
    <w:rsid w:val="00AD555D"/>
    <w:rsid w:val="00AD58B3"/>
    <w:rsid w:val="00AD5D70"/>
    <w:rsid w:val="00AD674C"/>
    <w:rsid w:val="00AD6BEC"/>
    <w:rsid w:val="00AE0CA0"/>
    <w:rsid w:val="00AE23E3"/>
    <w:rsid w:val="00AE29BB"/>
    <w:rsid w:val="00AE2D7C"/>
    <w:rsid w:val="00AE3A28"/>
    <w:rsid w:val="00AE416A"/>
    <w:rsid w:val="00AE417C"/>
    <w:rsid w:val="00AE643D"/>
    <w:rsid w:val="00AE6440"/>
    <w:rsid w:val="00AF0163"/>
    <w:rsid w:val="00AF2D76"/>
    <w:rsid w:val="00AF4792"/>
    <w:rsid w:val="00B00556"/>
    <w:rsid w:val="00B00B1B"/>
    <w:rsid w:val="00B02313"/>
    <w:rsid w:val="00B03601"/>
    <w:rsid w:val="00B039EB"/>
    <w:rsid w:val="00B03A0E"/>
    <w:rsid w:val="00B03BA3"/>
    <w:rsid w:val="00B04B56"/>
    <w:rsid w:val="00B050C0"/>
    <w:rsid w:val="00B06046"/>
    <w:rsid w:val="00B079E5"/>
    <w:rsid w:val="00B10304"/>
    <w:rsid w:val="00B11069"/>
    <w:rsid w:val="00B11316"/>
    <w:rsid w:val="00B12241"/>
    <w:rsid w:val="00B14962"/>
    <w:rsid w:val="00B14C8E"/>
    <w:rsid w:val="00B16370"/>
    <w:rsid w:val="00B16EB2"/>
    <w:rsid w:val="00B1792A"/>
    <w:rsid w:val="00B2050E"/>
    <w:rsid w:val="00B21F6D"/>
    <w:rsid w:val="00B21FE1"/>
    <w:rsid w:val="00B220EF"/>
    <w:rsid w:val="00B23AF4"/>
    <w:rsid w:val="00B24A46"/>
    <w:rsid w:val="00B24DA0"/>
    <w:rsid w:val="00B257FA"/>
    <w:rsid w:val="00B25B20"/>
    <w:rsid w:val="00B27811"/>
    <w:rsid w:val="00B27EC1"/>
    <w:rsid w:val="00B309D0"/>
    <w:rsid w:val="00B30D9B"/>
    <w:rsid w:val="00B31B4A"/>
    <w:rsid w:val="00B32659"/>
    <w:rsid w:val="00B32B95"/>
    <w:rsid w:val="00B32D2B"/>
    <w:rsid w:val="00B34017"/>
    <w:rsid w:val="00B34108"/>
    <w:rsid w:val="00B343EA"/>
    <w:rsid w:val="00B36622"/>
    <w:rsid w:val="00B367D2"/>
    <w:rsid w:val="00B36A60"/>
    <w:rsid w:val="00B36A7D"/>
    <w:rsid w:val="00B37B49"/>
    <w:rsid w:val="00B40197"/>
    <w:rsid w:val="00B404A8"/>
    <w:rsid w:val="00B41FCD"/>
    <w:rsid w:val="00B43347"/>
    <w:rsid w:val="00B43D36"/>
    <w:rsid w:val="00B44069"/>
    <w:rsid w:val="00B45A9E"/>
    <w:rsid w:val="00B46536"/>
    <w:rsid w:val="00B470B0"/>
    <w:rsid w:val="00B47BF2"/>
    <w:rsid w:val="00B5016E"/>
    <w:rsid w:val="00B518A4"/>
    <w:rsid w:val="00B51B46"/>
    <w:rsid w:val="00B5240C"/>
    <w:rsid w:val="00B52FAD"/>
    <w:rsid w:val="00B54CB3"/>
    <w:rsid w:val="00B55CAF"/>
    <w:rsid w:val="00B55D9B"/>
    <w:rsid w:val="00B56688"/>
    <w:rsid w:val="00B56B25"/>
    <w:rsid w:val="00B57184"/>
    <w:rsid w:val="00B605EC"/>
    <w:rsid w:val="00B60A21"/>
    <w:rsid w:val="00B61DD6"/>
    <w:rsid w:val="00B644D8"/>
    <w:rsid w:val="00B64DE4"/>
    <w:rsid w:val="00B650E5"/>
    <w:rsid w:val="00B65CF4"/>
    <w:rsid w:val="00B661F8"/>
    <w:rsid w:val="00B66341"/>
    <w:rsid w:val="00B66D9E"/>
    <w:rsid w:val="00B67E9B"/>
    <w:rsid w:val="00B70569"/>
    <w:rsid w:val="00B7094C"/>
    <w:rsid w:val="00B70AFB"/>
    <w:rsid w:val="00B70CE3"/>
    <w:rsid w:val="00B72372"/>
    <w:rsid w:val="00B72A14"/>
    <w:rsid w:val="00B72E63"/>
    <w:rsid w:val="00B73C6A"/>
    <w:rsid w:val="00B75CE8"/>
    <w:rsid w:val="00B7611B"/>
    <w:rsid w:val="00B80EFD"/>
    <w:rsid w:val="00B8211F"/>
    <w:rsid w:val="00B8222F"/>
    <w:rsid w:val="00B825D3"/>
    <w:rsid w:val="00B82EC6"/>
    <w:rsid w:val="00B831F7"/>
    <w:rsid w:val="00B86A05"/>
    <w:rsid w:val="00B90F61"/>
    <w:rsid w:val="00B918F2"/>
    <w:rsid w:val="00B91AA1"/>
    <w:rsid w:val="00B91E74"/>
    <w:rsid w:val="00B927AF"/>
    <w:rsid w:val="00B92FB3"/>
    <w:rsid w:val="00B94691"/>
    <w:rsid w:val="00B94AD1"/>
    <w:rsid w:val="00B94FD9"/>
    <w:rsid w:val="00B951CE"/>
    <w:rsid w:val="00B9590D"/>
    <w:rsid w:val="00B95B72"/>
    <w:rsid w:val="00B96138"/>
    <w:rsid w:val="00BA033F"/>
    <w:rsid w:val="00BA147F"/>
    <w:rsid w:val="00BA2F59"/>
    <w:rsid w:val="00BA5957"/>
    <w:rsid w:val="00BB0492"/>
    <w:rsid w:val="00BB0888"/>
    <w:rsid w:val="00BB185E"/>
    <w:rsid w:val="00BB5B34"/>
    <w:rsid w:val="00BB608D"/>
    <w:rsid w:val="00BB7C1C"/>
    <w:rsid w:val="00BC1FCD"/>
    <w:rsid w:val="00BC25D7"/>
    <w:rsid w:val="00BC2CE1"/>
    <w:rsid w:val="00BC3742"/>
    <w:rsid w:val="00BC507A"/>
    <w:rsid w:val="00BC5BFD"/>
    <w:rsid w:val="00BC69BF"/>
    <w:rsid w:val="00BC7854"/>
    <w:rsid w:val="00BD0066"/>
    <w:rsid w:val="00BD08EE"/>
    <w:rsid w:val="00BD0AE4"/>
    <w:rsid w:val="00BD0C3D"/>
    <w:rsid w:val="00BD18A0"/>
    <w:rsid w:val="00BD258C"/>
    <w:rsid w:val="00BD3B85"/>
    <w:rsid w:val="00BD3EBC"/>
    <w:rsid w:val="00BD4FCE"/>
    <w:rsid w:val="00BD587B"/>
    <w:rsid w:val="00BD737D"/>
    <w:rsid w:val="00BE0F71"/>
    <w:rsid w:val="00BE1AC9"/>
    <w:rsid w:val="00BE22B5"/>
    <w:rsid w:val="00BE36D6"/>
    <w:rsid w:val="00BE38AE"/>
    <w:rsid w:val="00BE49C9"/>
    <w:rsid w:val="00BE5A0F"/>
    <w:rsid w:val="00BE672D"/>
    <w:rsid w:val="00BE7C9F"/>
    <w:rsid w:val="00BE7EA6"/>
    <w:rsid w:val="00BF0468"/>
    <w:rsid w:val="00BF0894"/>
    <w:rsid w:val="00BF0AB4"/>
    <w:rsid w:val="00BF0E1A"/>
    <w:rsid w:val="00BF1261"/>
    <w:rsid w:val="00BF14D7"/>
    <w:rsid w:val="00BF2638"/>
    <w:rsid w:val="00BF2D4D"/>
    <w:rsid w:val="00BF69B8"/>
    <w:rsid w:val="00BF7552"/>
    <w:rsid w:val="00BF7E7A"/>
    <w:rsid w:val="00C01918"/>
    <w:rsid w:val="00C01924"/>
    <w:rsid w:val="00C02096"/>
    <w:rsid w:val="00C02A0B"/>
    <w:rsid w:val="00C035A1"/>
    <w:rsid w:val="00C037A0"/>
    <w:rsid w:val="00C04768"/>
    <w:rsid w:val="00C047AF"/>
    <w:rsid w:val="00C04D79"/>
    <w:rsid w:val="00C057B1"/>
    <w:rsid w:val="00C068C9"/>
    <w:rsid w:val="00C068D7"/>
    <w:rsid w:val="00C06FC1"/>
    <w:rsid w:val="00C10595"/>
    <w:rsid w:val="00C11134"/>
    <w:rsid w:val="00C11E69"/>
    <w:rsid w:val="00C1395D"/>
    <w:rsid w:val="00C14086"/>
    <w:rsid w:val="00C17A5A"/>
    <w:rsid w:val="00C2019E"/>
    <w:rsid w:val="00C201BE"/>
    <w:rsid w:val="00C21317"/>
    <w:rsid w:val="00C21476"/>
    <w:rsid w:val="00C238E7"/>
    <w:rsid w:val="00C2492F"/>
    <w:rsid w:val="00C268E7"/>
    <w:rsid w:val="00C300B0"/>
    <w:rsid w:val="00C32045"/>
    <w:rsid w:val="00C34868"/>
    <w:rsid w:val="00C408DF"/>
    <w:rsid w:val="00C4107A"/>
    <w:rsid w:val="00C4131C"/>
    <w:rsid w:val="00C41520"/>
    <w:rsid w:val="00C41570"/>
    <w:rsid w:val="00C42A38"/>
    <w:rsid w:val="00C436B0"/>
    <w:rsid w:val="00C44596"/>
    <w:rsid w:val="00C4474D"/>
    <w:rsid w:val="00C449B4"/>
    <w:rsid w:val="00C45E69"/>
    <w:rsid w:val="00C469E9"/>
    <w:rsid w:val="00C47786"/>
    <w:rsid w:val="00C52DE5"/>
    <w:rsid w:val="00C5394A"/>
    <w:rsid w:val="00C54EEA"/>
    <w:rsid w:val="00C55DE8"/>
    <w:rsid w:val="00C56778"/>
    <w:rsid w:val="00C56DFC"/>
    <w:rsid w:val="00C56E52"/>
    <w:rsid w:val="00C60B57"/>
    <w:rsid w:val="00C61218"/>
    <w:rsid w:val="00C61908"/>
    <w:rsid w:val="00C61DFB"/>
    <w:rsid w:val="00C63469"/>
    <w:rsid w:val="00C640C0"/>
    <w:rsid w:val="00C64682"/>
    <w:rsid w:val="00C64779"/>
    <w:rsid w:val="00C65868"/>
    <w:rsid w:val="00C65C5F"/>
    <w:rsid w:val="00C660F0"/>
    <w:rsid w:val="00C66E71"/>
    <w:rsid w:val="00C70062"/>
    <w:rsid w:val="00C70CF7"/>
    <w:rsid w:val="00C70E04"/>
    <w:rsid w:val="00C70FA7"/>
    <w:rsid w:val="00C74717"/>
    <w:rsid w:val="00C74C5F"/>
    <w:rsid w:val="00C75F3E"/>
    <w:rsid w:val="00C76F75"/>
    <w:rsid w:val="00C77555"/>
    <w:rsid w:val="00C77994"/>
    <w:rsid w:val="00C80418"/>
    <w:rsid w:val="00C81716"/>
    <w:rsid w:val="00C81AB5"/>
    <w:rsid w:val="00C82234"/>
    <w:rsid w:val="00C822A7"/>
    <w:rsid w:val="00C85656"/>
    <w:rsid w:val="00C86E47"/>
    <w:rsid w:val="00C9037F"/>
    <w:rsid w:val="00C90E84"/>
    <w:rsid w:val="00C9216C"/>
    <w:rsid w:val="00C92B72"/>
    <w:rsid w:val="00C93CCF"/>
    <w:rsid w:val="00C952F1"/>
    <w:rsid w:val="00C97826"/>
    <w:rsid w:val="00C979CF"/>
    <w:rsid w:val="00CA0828"/>
    <w:rsid w:val="00CA098E"/>
    <w:rsid w:val="00CA1C3C"/>
    <w:rsid w:val="00CA280D"/>
    <w:rsid w:val="00CA33DE"/>
    <w:rsid w:val="00CA5523"/>
    <w:rsid w:val="00CA6FFD"/>
    <w:rsid w:val="00CA7817"/>
    <w:rsid w:val="00CA7A6F"/>
    <w:rsid w:val="00CB04CB"/>
    <w:rsid w:val="00CB2448"/>
    <w:rsid w:val="00CB24AF"/>
    <w:rsid w:val="00CB25CA"/>
    <w:rsid w:val="00CB289F"/>
    <w:rsid w:val="00CB3328"/>
    <w:rsid w:val="00CB3599"/>
    <w:rsid w:val="00CB5BEC"/>
    <w:rsid w:val="00CB694B"/>
    <w:rsid w:val="00CC2ABF"/>
    <w:rsid w:val="00CC2B31"/>
    <w:rsid w:val="00CC34AD"/>
    <w:rsid w:val="00CC46D0"/>
    <w:rsid w:val="00CC4DD8"/>
    <w:rsid w:val="00CC6874"/>
    <w:rsid w:val="00CD02C3"/>
    <w:rsid w:val="00CD053C"/>
    <w:rsid w:val="00CD2282"/>
    <w:rsid w:val="00CD26DA"/>
    <w:rsid w:val="00CD2A92"/>
    <w:rsid w:val="00CD32AF"/>
    <w:rsid w:val="00CD41FA"/>
    <w:rsid w:val="00CD6696"/>
    <w:rsid w:val="00CD72A7"/>
    <w:rsid w:val="00CD75FB"/>
    <w:rsid w:val="00CE01AF"/>
    <w:rsid w:val="00CE30AD"/>
    <w:rsid w:val="00CE3714"/>
    <w:rsid w:val="00CE7385"/>
    <w:rsid w:val="00CE78BA"/>
    <w:rsid w:val="00CF1A3B"/>
    <w:rsid w:val="00CF3AEE"/>
    <w:rsid w:val="00CF510A"/>
    <w:rsid w:val="00CF5437"/>
    <w:rsid w:val="00CF5DB7"/>
    <w:rsid w:val="00CF653D"/>
    <w:rsid w:val="00CF68F2"/>
    <w:rsid w:val="00D013FB"/>
    <w:rsid w:val="00D01899"/>
    <w:rsid w:val="00D01D28"/>
    <w:rsid w:val="00D03965"/>
    <w:rsid w:val="00D03971"/>
    <w:rsid w:val="00D03D86"/>
    <w:rsid w:val="00D03EB5"/>
    <w:rsid w:val="00D0488C"/>
    <w:rsid w:val="00D04DB2"/>
    <w:rsid w:val="00D07393"/>
    <w:rsid w:val="00D07612"/>
    <w:rsid w:val="00D10069"/>
    <w:rsid w:val="00D10303"/>
    <w:rsid w:val="00D107B7"/>
    <w:rsid w:val="00D1225E"/>
    <w:rsid w:val="00D135FA"/>
    <w:rsid w:val="00D13EC6"/>
    <w:rsid w:val="00D14AED"/>
    <w:rsid w:val="00D150E5"/>
    <w:rsid w:val="00D1647E"/>
    <w:rsid w:val="00D168F6"/>
    <w:rsid w:val="00D17731"/>
    <w:rsid w:val="00D20110"/>
    <w:rsid w:val="00D21003"/>
    <w:rsid w:val="00D21097"/>
    <w:rsid w:val="00D21BD8"/>
    <w:rsid w:val="00D24188"/>
    <w:rsid w:val="00D24F05"/>
    <w:rsid w:val="00D257EC"/>
    <w:rsid w:val="00D26DC2"/>
    <w:rsid w:val="00D277C7"/>
    <w:rsid w:val="00D3093F"/>
    <w:rsid w:val="00D309FE"/>
    <w:rsid w:val="00D30DC6"/>
    <w:rsid w:val="00D30F3C"/>
    <w:rsid w:val="00D3202F"/>
    <w:rsid w:val="00D334E9"/>
    <w:rsid w:val="00D3472B"/>
    <w:rsid w:val="00D34BC0"/>
    <w:rsid w:val="00D35927"/>
    <w:rsid w:val="00D366FB"/>
    <w:rsid w:val="00D36EC6"/>
    <w:rsid w:val="00D37143"/>
    <w:rsid w:val="00D40BF3"/>
    <w:rsid w:val="00D41548"/>
    <w:rsid w:val="00D41A5C"/>
    <w:rsid w:val="00D41B2F"/>
    <w:rsid w:val="00D41C29"/>
    <w:rsid w:val="00D42592"/>
    <w:rsid w:val="00D42B63"/>
    <w:rsid w:val="00D42DC7"/>
    <w:rsid w:val="00D43C2C"/>
    <w:rsid w:val="00D44C65"/>
    <w:rsid w:val="00D44DB8"/>
    <w:rsid w:val="00D45877"/>
    <w:rsid w:val="00D46D81"/>
    <w:rsid w:val="00D471B9"/>
    <w:rsid w:val="00D4735C"/>
    <w:rsid w:val="00D506F8"/>
    <w:rsid w:val="00D50F2F"/>
    <w:rsid w:val="00D518D0"/>
    <w:rsid w:val="00D51A7E"/>
    <w:rsid w:val="00D52112"/>
    <w:rsid w:val="00D523B0"/>
    <w:rsid w:val="00D52ACD"/>
    <w:rsid w:val="00D53973"/>
    <w:rsid w:val="00D554E3"/>
    <w:rsid w:val="00D55C43"/>
    <w:rsid w:val="00D5700E"/>
    <w:rsid w:val="00D609BA"/>
    <w:rsid w:val="00D609C8"/>
    <w:rsid w:val="00D61068"/>
    <w:rsid w:val="00D61452"/>
    <w:rsid w:val="00D62076"/>
    <w:rsid w:val="00D62344"/>
    <w:rsid w:val="00D6247C"/>
    <w:rsid w:val="00D62A9A"/>
    <w:rsid w:val="00D62F7C"/>
    <w:rsid w:val="00D63BFF"/>
    <w:rsid w:val="00D64765"/>
    <w:rsid w:val="00D64BE9"/>
    <w:rsid w:val="00D6707D"/>
    <w:rsid w:val="00D679EA"/>
    <w:rsid w:val="00D67E03"/>
    <w:rsid w:val="00D71399"/>
    <w:rsid w:val="00D724FF"/>
    <w:rsid w:val="00D72CE6"/>
    <w:rsid w:val="00D72D6C"/>
    <w:rsid w:val="00D738F7"/>
    <w:rsid w:val="00D73F6A"/>
    <w:rsid w:val="00D74FA9"/>
    <w:rsid w:val="00D760D7"/>
    <w:rsid w:val="00D77261"/>
    <w:rsid w:val="00D77C4B"/>
    <w:rsid w:val="00D80118"/>
    <w:rsid w:val="00D8195C"/>
    <w:rsid w:val="00D81DF2"/>
    <w:rsid w:val="00D8291C"/>
    <w:rsid w:val="00D8324E"/>
    <w:rsid w:val="00D8335C"/>
    <w:rsid w:val="00D84482"/>
    <w:rsid w:val="00D849A8"/>
    <w:rsid w:val="00D84F6D"/>
    <w:rsid w:val="00D84F83"/>
    <w:rsid w:val="00D8622C"/>
    <w:rsid w:val="00D86EC5"/>
    <w:rsid w:val="00D874ED"/>
    <w:rsid w:val="00D90FDD"/>
    <w:rsid w:val="00D91397"/>
    <w:rsid w:val="00D9164E"/>
    <w:rsid w:val="00D91EDE"/>
    <w:rsid w:val="00DA0E05"/>
    <w:rsid w:val="00DA1FC6"/>
    <w:rsid w:val="00DA4B6B"/>
    <w:rsid w:val="00DA50A9"/>
    <w:rsid w:val="00DA5143"/>
    <w:rsid w:val="00DA51DF"/>
    <w:rsid w:val="00DA6901"/>
    <w:rsid w:val="00DA7550"/>
    <w:rsid w:val="00DB213F"/>
    <w:rsid w:val="00DB40A2"/>
    <w:rsid w:val="00DB632C"/>
    <w:rsid w:val="00DB6C78"/>
    <w:rsid w:val="00DB799C"/>
    <w:rsid w:val="00DC09CD"/>
    <w:rsid w:val="00DC0E45"/>
    <w:rsid w:val="00DC1707"/>
    <w:rsid w:val="00DC211D"/>
    <w:rsid w:val="00DC213D"/>
    <w:rsid w:val="00DC2608"/>
    <w:rsid w:val="00DC2788"/>
    <w:rsid w:val="00DC3D6F"/>
    <w:rsid w:val="00DC41F2"/>
    <w:rsid w:val="00DC4296"/>
    <w:rsid w:val="00DC4CC7"/>
    <w:rsid w:val="00DC51D5"/>
    <w:rsid w:val="00DC569A"/>
    <w:rsid w:val="00DC56D2"/>
    <w:rsid w:val="00DC5EE2"/>
    <w:rsid w:val="00DD03BF"/>
    <w:rsid w:val="00DD2E1D"/>
    <w:rsid w:val="00DD6108"/>
    <w:rsid w:val="00DD6A20"/>
    <w:rsid w:val="00DD73B7"/>
    <w:rsid w:val="00DD781E"/>
    <w:rsid w:val="00DD78EC"/>
    <w:rsid w:val="00DD7E25"/>
    <w:rsid w:val="00DE09FD"/>
    <w:rsid w:val="00DE0D6A"/>
    <w:rsid w:val="00DE242F"/>
    <w:rsid w:val="00DE24F6"/>
    <w:rsid w:val="00DE2828"/>
    <w:rsid w:val="00DE368B"/>
    <w:rsid w:val="00DE52F2"/>
    <w:rsid w:val="00DE554D"/>
    <w:rsid w:val="00DE7AA5"/>
    <w:rsid w:val="00DE7D3E"/>
    <w:rsid w:val="00DE7D8B"/>
    <w:rsid w:val="00DF0A8F"/>
    <w:rsid w:val="00DF24DA"/>
    <w:rsid w:val="00DF2900"/>
    <w:rsid w:val="00DF2ACF"/>
    <w:rsid w:val="00DF2DDF"/>
    <w:rsid w:val="00DF3F32"/>
    <w:rsid w:val="00DF4C13"/>
    <w:rsid w:val="00DF5520"/>
    <w:rsid w:val="00DF65DB"/>
    <w:rsid w:val="00DF73A3"/>
    <w:rsid w:val="00DF7594"/>
    <w:rsid w:val="00DF79DB"/>
    <w:rsid w:val="00E02DEF"/>
    <w:rsid w:val="00E04013"/>
    <w:rsid w:val="00E0437F"/>
    <w:rsid w:val="00E0499B"/>
    <w:rsid w:val="00E05659"/>
    <w:rsid w:val="00E06016"/>
    <w:rsid w:val="00E078FC"/>
    <w:rsid w:val="00E07A7B"/>
    <w:rsid w:val="00E1023F"/>
    <w:rsid w:val="00E102A7"/>
    <w:rsid w:val="00E1077F"/>
    <w:rsid w:val="00E10A16"/>
    <w:rsid w:val="00E124B4"/>
    <w:rsid w:val="00E128A2"/>
    <w:rsid w:val="00E13DC6"/>
    <w:rsid w:val="00E14879"/>
    <w:rsid w:val="00E15A3A"/>
    <w:rsid w:val="00E20F86"/>
    <w:rsid w:val="00E21800"/>
    <w:rsid w:val="00E21F55"/>
    <w:rsid w:val="00E23425"/>
    <w:rsid w:val="00E2366D"/>
    <w:rsid w:val="00E24B75"/>
    <w:rsid w:val="00E24E97"/>
    <w:rsid w:val="00E25F4D"/>
    <w:rsid w:val="00E262F0"/>
    <w:rsid w:val="00E26C73"/>
    <w:rsid w:val="00E31994"/>
    <w:rsid w:val="00E31E63"/>
    <w:rsid w:val="00E32A7C"/>
    <w:rsid w:val="00E34AC2"/>
    <w:rsid w:val="00E353CA"/>
    <w:rsid w:val="00E35B25"/>
    <w:rsid w:val="00E36C80"/>
    <w:rsid w:val="00E37975"/>
    <w:rsid w:val="00E4153C"/>
    <w:rsid w:val="00E41AFF"/>
    <w:rsid w:val="00E41B9C"/>
    <w:rsid w:val="00E424BD"/>
    <w:rsid w:val="00E433C7"/>
    <w:rsid w:val="00E443F9"/>
    <w:rsid w:val="00E4466E"/>
    <w:rsid w:val="00E469EB"/>
    <w:rsid w:val="00E5225D"/>
    <w:rsid w:val="00E527AB"/>
    <w:rsid w:val="00E52A8B"/>
    <w:rsid w:val="00E52B0D"/>
    <w:rsid w:val="00E53616"/>
    <w:rsid w:val="00E540F8"/>
    <w:rsid w:val="00E541F4"/>
    <w:rsid w:val="00E5474C"/>
    <w:rsid w:val="00E55166"/>
    <w:rsid w:val="00E561D1"/>
    <w:rsid w:val="00E5799A"/>
    <w:rsid w:val="00E6003A"/>
    <w:rsid w:val="00E60466"/>
    <w:rsid w:val="00E60C41"/>
    <w:rsid w:val="00E61CC5"/>
    <w:rsid w:val="00E62BA6"/>
    <w:rsid w:val="00E62D43"/>
    <w:rsid w:val="00E6325B"/>
    <w:rsid w:val="00E633B8"/>
    <w:rsid w:val="00E639D0"/>
    <w:rsid w:val="00E63A1A"/>
    <w:rsid w:val="00E63D21"/>
    <w:rsid w:val="00E657C8"/>
    <w:rsid w:val="00E6649F"/>
    <w:rsid w:val="00E66A6B"/>
    <w:rsid w:val="00E676AC"/>
    <w:rsid w:val="00E6777D"/>
    <w:rsid w:val="00E67792"/>
    <w:rsid w:val="00E7183F"/>
    <w:rsid w:val="00E727EC"/>
    <w:rsid w:val="00E72BB0"/>
    <w:rsid w:val="00E73815"/>
    <w:rsid w:val="00E7430A"/>
    <w:rsid w:val="00E75234"/>
    <w:rsid w:val="00E752CA"/>
    <w:rsid w:val="00E753DE"/>
    <w:rsid w:val="00E75B4B"/>
    <w:rsid w:val="00E76123"/>
    <w:rsid w:val="00E76AF1"/>
    <w:rsid w:val="00E77D9B"/>
    <w:rsid w:val="00E8138D"/>
    <w:rsid w:val="00E81B80"/>
    <w:rsid w:val="00E81BB8"/>
    <w:rsid w:val="00E81C7E"/>
    <w:rsid w:val="00E81F4F"/>
    <w:rsid w:val="00E81F9A"/>
    <w:rsid w:val="00E821B2"/>
    <w:rsid w:val="00E82313"/>
    <w:rsid w:val="00E831DC"/>
    <w:rsid w:val="00E835DC"/>
    <w:rsid w:val="00E83ACB"/>
    <w:rsid w:val="00E83E39"/>
    <w:rsid w:val="00E8436D"/>
    <w:rsid w:val="00E85A52"/>
    <w:rsid w:val="00E8619B"/>
    <w:rsid w:val="00E86FFF"/>
    <w:rsid w:val="00E9126C"/>
    <w:rsid w:val="00E91CBC"/>
    <w:rsid w:val="00E91D96"/>
    <w:rsid w:val="00E92E5B"/>
    <w:rsid w:val="00E932B6"/>
    <w:rsid w:val="00E93748"/>
    <w:rsid w:val="00E93D0C"/>
    <w:rsid w:val="00E9416A"/>
    <w:rsid w:val="00E94FE5"/>
    <w:rsid w:val="00E95970"/>
    <w:rsid w:val="00E95A99"/>
    <w:rsid w:val="00E95E91"/>
    <w:rsid w:val="00E97D1F"/>
    <w:rsid w:val="00EA1EB6"/>
    <w:rsid w:val="00EA2263"/>
    <w:rsid w:val="00EA2AF2"/>
    <w:rsid w:val="00EA2F53"/>
    <w:rsid w:val="00EA30E1"/>
    <w:rsid w:val="00EA40B7"/>
    <w:rsid w:val="00EA6CC4"/>
    <w:rsid w:val="00EA6CE0"/>
    <w:rsid w:val="00EA712F"/>
    <w:rsid w:val="00EA72DA"/>
    <w:rsid w:val="00EA7C97"/>
    <w:rsid w:val="00EB0109"/>
    <w:rsid w:val="00EB0597"/>
    <w:rsid w:val="00EB231A"/>
    <w:rsid w:val="00EB350B"/>
    <w:rsid w:val="00EB3925"/>
    <w:rsid w:val="00EB4A70"/>
    <w:rsid w:val="00EB4A98"/>
    <w:rsid w:val="00EB4A9D"/>
    <w:rsid w:val="00EB4B46"/>
    <w:rsid w:val="00EB5044"/>
    <w:rsid w:val="00EB5A3C"/>
    <w:rsid w:val="00EB5B26"/>
    <w:rsid w:val="00EB692D"/>
    <w:rsid w:val="00EB7732"/>
    <w:rsid w:val="00EC03AD"/>
    <w:rsid w:val="00EC0C95"/>
    <w:rsid w:val="00EC1A91"/>
    <w:rsid w:val="00EC1C16"/>
    <w:rsid w:val="00EC391E"/>
    <w:rsid w:val="00EC4287"/>
    <w:rsid w:val="00EC4C30"/>
    <w:rsid w:val="00EC4C55"/>
    <w:rsid w:val="00EC4D78"/>
    <w:rsid w:val="00EC56DF"/>
    <w:rsid w:val="00EC5AFB"/>
    <w:rsid w:val="00EC79BF"/>
    <w:rsid w:val="00ED009B"/>
    <w:rsid w:val="00ED0B8B"/>
    <w:rsid w:val="00ED129B"/>
    <w:rsid w:val="00ED1620"/>
    <w:rsid w:val="00ED201D"/>
    <w:rsid w:val="00ED296A"/>
    <w:rsid w:val="00ED2B7E"/>
    <w:rsid w:val="00ED602C"/>
    <w:rsid w:val="00ED74B8"/>
    <w:rsid w:val="00EE193A"/>
    <w:rsid w:val="00EE1F76"/>
    <w:rsid w:val="00EE3228"/>
    <w:rsid w:val="00EE36FC"/>
    <w:rsid w:val="00EE3917"/>
    <w:rsid w:val="00EE3F0F"/>
    <w:rsid w:val="00EE42EE"/>
    <w:rsid w:val="00EE6552"/>
    <w:rsid w:val="00EE79BE"/>
    <w:rsid w:val="00EF003A"/>
    <w:rsid w:val="00EF0CF5"/>
    <w:rsid w:val="00EF2832"/>
    <w:rsid w:val="00EF2EA7"/>
    <w:rsid w:val="00EF34DB"/>
    <w:rsid w:val="00EF487E"/>
    <w:rsid w:val="00EF526E"/>
    <w:rsid w:val="00EF563B"/>
    <w:rsid w:val="00EF5713"/>
    <w:rsid w:val="00EF6259"/>
    <w:rsid w:val="00EF7F23"/>
    <w:rsid w:val="00F00BDC"/>
    <w:rsid w:val="00F01176"/>
    <w:rsid w:val="00F01717"/>
    <w:rsid w:val="00F019CC"/>
    <w:rsid w:val="00F01B2D"/>
    <w:rsid w:val="00F02879"/>
    <w:rsid w:val="00F04B7E"/>
    <w:rsid w:val="00F0598A"/>
    <w:rsid w:val="00F068B7"/>
    <w:rsid w:val="00F06B05"/>
    <w:rsid w:val="00F071EF"/>
    <w:rsid w:val="00F1073D"/>
    <w:rsid w:val="00F10A80"/>
    <w:rsid w:val="00F12227"/>
    <w:rsid w:val="00F12A07"/>
    <w:rsid w:val="00F12A73"/>
    <w:rsid w:val="00F13AAA"/>
    <w:rsid w:val="00F14468"/>
    <w:rsid w:val="00F15DFD"/>
    <w:rsid w:val="00F16692"/>
    <w:rsid w:val="00F16B65"/>
    <w:rsid w:val="00F16BB0"/>
    <w:rsid w:val="00F172EA"/>
    <w:rsid w:val="00F17BA3"/>
    <w:rsid w:val="00F20303"/>
    <w:rsid w:val="00F20C8E"/>
    <w:rsid w:val="00F21007"/>
    <w:rsid w:val="00F21165"/>
    <w:rsid w:val="00F222CE"/>
    <w:rsid w:val="00F231BA"/>
    <w:rsid w:val="00F239B1"/>
    <w:rsid w:val="00F23A5C"/>
    <w:rsid w:val="00F24070"/>
    <w:rsid w:val="00F24B4A"/>
    <w:rsid w:val="00F24FE7"/>
    <w:rsid w:val="00F25D87"/>
    <w:rsid w:val="00F272D0"/>
    <w:rsid w:val="00F30261"/>
    <w:rsid w:val="00F331E1"/>
    <w:rsid w:val="00F3322B"/>
    <w:rsid w:val="00F33AA4"/>
    <w:rsid w:val="00F349BA"/>
    <w:rsid w:val="00F36B33"/>
    <w:rsid w:val="00F36C14"/>
    <w:rsid w:val="00F372D3"/>
    <w:rsid w:val="00F37322"/>
    <w:rsid w:val="00F37497"/>
    <w:rsid w:val="00F37ABF"/>
    <w:rsid w:val="00F407AC"/>
    <w:rsid w:val="00F409D8"/>
    <w:rsid w:val="00F41187"/>
    <w:rsid w:val="00F41762"/>
    <w:rsid w:val="00F42C7F"/>
    <w:rsid w:val="00F43E11"/>
    <w:rsid w:val="00F43EE7"/>
    <w:rsid w:val="00F445B3"/>
    <w:rsid w:val="00F45006"/>
    <w:rsid w:val="00F46344"/>
    <w:rsid w:val="00F47C78"/>
    <w:rsid w:val="00F47D11"/>
    <w:rsid w:val="00F51C2B"/>
    <w:rsid w:val="00F533BB"/>
    <w:rsid w:val="00F53511"/>
    <w:rsid w:val="00F539EA"/>
    <w:rsid w:val="00F54995"/>
    <w:rsid w:val="00F554E6"/>
    <w:rsid w:val="00F55796"/>
    <w:rsid w:val="00F55B5D"/>
    <w:rsid w:val="00F56454"/>
    <w:rsid w:val="00F607F7"/>
    <w:rsid w:val="00F60DF7"/>
    <w:rsid w:val="00F60EED"/>
    <w:rsid w:val="00F618BF"/>
    <w:rsid w:val="00F636CC"/>
    <w:rsid w:val="00F6423A"/>
    <w:rsid w:val="00F6589A"/>
    <w:rsid w:val="00F65D17"/>
    <w:rsid w:val="00F65FC6"/>
    <w:rsid w:val="00F665EB"/>
    <w:rsid w:val="00F7055C"/>
    <w:rsid w:val="00F70B18"/>
    <w:rsid w:val="00F73565"/>
    <w:rsid w:val="00F7371B"/>
    <w:rsid w:val="00F74871"/>
    <w:rsid w:val="00F755EF"/>
    <w:rsid w:val="00F75BC1"/>
    <w:rsid w:val="00F76CB1"/>
    <w:rsid w:val="00F76DF9"/>
    <w:rsid w:val="00F80245"/>
    <w:rsid w:val="00F820FA"/>
    <w:rsid w:val="00F86FEF"/>
    <w:rsid w:val="00F87CBF"/>
    <w:rsid w:val="00F901A2"/>
    <w:rsid w:val="00F907C5"/>
    <w:rsid w:val="00F90E21"/>
    <w:rsid w:val="00F91966"/>
    <w:rsid w:val="00F93FFF"/>
    <w:rsid w:val="00F94253"/>
    <w:rsid w:val="00F9553A"/>
    <w:rsid w:val="00F969D3"/>
    <w:rsid w:val="00FA09CA"/>
    <w:rsid w:val="00FA0DAD"/>
    <w:rsid w:val="00FA2EB8"/>
    <w:rsid w:val="00FA4CE8"/>
    <w:rsid w:val="00FA68DC"/>
    <w:rsid w:val="00FB0E4B"/>
    <w:rsid w:val="00FB1838"/>
    <w:rsid w:val="00FB2018"/>
    <w:rsid w:val="00FB3247"/>
    <w:rsid w:val="00FB4DDE"/>
    <w:rsid w:val="00FB70F2"/>
    <w:rsid w:val="00FB77DC"/>
    <w:rsid w:val="00FC0228"/>
    <w:rsid w:val="00FC10A4"/>
    <w:rsid w:val="00FC1181"/>
    <w:rsid w:val="00FC1794"/>
    <w:rsid w:val="00FC26E3"/>
    <w:rsid w:val="00FC27F0"/>
    <w:rsid w:val="00FC33EA"/>
    <w:rsid w:val="00FC4095"/>
    <w:rsid w:val="00FC52C4"/>
    <w:rsid w:val="00FC54E1"/>
    <w:rsid w:val="00FC6B9C"/>
    <w:rsid w:val="00FD145A"/>
    <w:rsid w:val="00FD164C"/>
    <w:rsid w:val="00FD198A"/>
    <w:rsid w:val="00FD20CF"/>
    <w:rsid w:val="00FD2AD2"/>
    <w:rsid w:val="00FD3A22"/>
    <w:rsid w:val="00FD4689"/>
    <w:rsid w:val="00FD5677"/>
    <w:rsid w:val="00FD7829"/>
    <w:rsid w:val="00FE053D"/>
    <w:rsid w:val="00FE114B"/>
    <w:rsid w:val="00FE15AD"/>
    <w:rsid w:val="00FE4EB0"/>
    <w:rsid w:val="00FE4ECB"/>
    <w:rsid w:val="00FE4F49"/>
    <w:rsid w:val="00FF070F"/>
    <w:rsid w:val="00FF08A3"/>
    <w:rsid w:val="00FF1A42"/>
    <w:rsid w:val="00FF4154"/>
    <w:rsid w:val="00FF4241"/>
    <w:rsid w:val="00FF4B1D"/>
    <w:rsid w:val="00FF4F40"/>
    <w:rsid w:val="00FF5927"/>
    <w:rsid w:val="00FF6119"/>
    <w:rsid w:val="00FF6152"/>
    <w:rsid w:val="00FF75C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04E02"/>
  <w15:chartTrackingRefBased/>
  <w15:docId w15:val="{E2D7748D-BCE0-4EE7-B08D-F8F115FA4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A8B"/>
  </w:style>
  <w:style w:type="paragraph" w:styleId="Titlu1">
    <w:name w:val="heading 1"/>
    <w:basedOn w:val="Normal"/>
    <w:next w:val="Normal"/>
    <w:link w:val="Titlu1Caracter"/>
    <w:uiPriority w:val="9"/>
    <w:qFormat/>
    <w:rsid w:val="000D4B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0D4B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0D4B0D"/>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0D4B0D"/>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0D4B0D"/>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0D4B0D"/>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0D4B0D"/>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0D4B0D"/>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0D4B0D"/>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0D4B0D"/>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0D4B0D"/>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0D4B0D"/>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0D4B0D"/>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0D4B0D"/>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0D4B0D"/>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0D4B0D"/>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0D4B0D"/>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0D4B0D"/>
    <w:rPr>
      <w:rFonts w:eastAsiaTheme="majorEastAsia" w:cstheme="majorBidi"/>
      <w:color w:val="272727" w:themeColor="text1" w:themeTint="D8"/>
    </w:rPr>
  </w:style>
  <w:style w:type="paragraph" w:styleId="Titlu">
    <w:name w:val="Title"/>
    <w:basedOn w:val="Normal"/>
    <w:next w:val="Normal"/>
    <w:link w:val="TitluCaracter"/>
    <w:uiPriority w:val="10"/>
    <w:qFormat/>
    <w:rsid w:val="000D4B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0D4B0D"/>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0D4B0D"/>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0D4B0D"/>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0D4B0D"/>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0D4B0D"/>
    <w:rPr>
      <w:i/>
      <w:iCs/>
      <w:color w:val="404040" w:themeColor="text1" w:themeTint="BF"/>
    </w:rPr>
  </w:style>
  <w:style w:type="paragraph" w:styleId="Listparagraf">
    <w:name w:val="List Paragraph"/>
    <w:basedOn w:val="Normal"/>
    <w:uiPriority w:val="34"/>
    <w:qFormat/>
    <w:rsid w:val="000D4B0D"/>
    <w:pPr>
      <w:ind w:left="720"/>
      <w:contextualSpacing/>
    </w:pPr>
  </w:style>
  <w:style w:type="character" w:styleId="Accentuareintens">
    <w:name w:val="Intense Emphasis"/>
    <w:basedOn w:val="Fontdeparagrafimplicit"/>
    <w:uiPriority w:val="21"/>
    <w:qFormat/>
    <w:rsid w:val="000D4B0D"/>
    <w:rPr>
      <w:i/>
      <w:iCs/>
      <w:color w:val="0F4761" w:themeColor="accent1" w:themeShade="BF"/>
    </w:rPr>
  </w:style>
  <w:style w:type="paragraph" w:styleId="Citatintens">
    <w:name w:val="Intense Quote"/>
    <w:basedOn w:val="Normal"/>
    <w:next w:val="Normal"/>
    <w:link w:val="CitatintensCaracter"/>
    <w:uiPriority w:val="30"/>
    <w:qFormat/>
    <w:rsid w:val="000D4B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0D4B0D"/>
    <w:rPr>
      <w:i/>
      <w:iCs/>
      <w:color w:val="0F4761" w:themeColor="accent1" w:themeShade="BF"/>
    </w:rPr>
  </w:style>
  <w:style w:type="character" w:styleId="Referireintens">
    <w:name w:val="Intense Reference"/>
    <w:basedOn w:val="Fontdeparagrafimplicit"/>
    <w:uiPriority w:val="32"/>
    <w:qFormat/>
    <w:rsid w:val="000D4B0D"/>
    <w:rPr>
      <w:b/>
      <w:bCs/>
      <w:smallCaps/>
      <w:color w:val="0F4761" w:themeColor="accent1" w:themeShade="BF"/>
      <w:spacing w:val="5"/>
    </w:rPr>
  </w:style>
  <w:style w:type="character" w:styleId="Hyperlink">
    <w:name w:val="Hyperlink"/>
    <w:basedOn w:val="Fontdeparagrafimplicit"/>
    <w:uiPriority w:val="99"/>
    <w:unhideWhenUsed/>
    <w:rsid w:val="00E8619B"/>
    <w:rPr>
      <w:color w:val="467886" w:themeColor="hyperlink"/>
      <w:u w:val="single"/>
    </w:rPr>
  </w:style>
  <w:style w:type="character" w:styleId="MeniuneNerezolvat">
    <w:name w:val="Unresolved Mention"/>
    <w:basedOn w:val="Fontdeparagrafimplicit"/>
    <w:uiPriority w:val="99"/>
    <w:semiHidden/>
    <w:unhideWhenUsed/>
    <w:rsid w:val="00E8619B"/>
    <w:rPr>
      <w:color w:val="605E5C"/>
      <w:shd w:val="clear" w:color="auto" w:fill="E1DFDD"/>
    </w:rPr>
  </w:style>
  <w:style w:type="paragraph" w:styleId="Antet">
    <w:name w:val="header"/>
    <w:basedOn w:val="Normal"/>
    <w:link w:val="AntetCaracter"/>
    <w:uiPriority w:val="99"/>
    <w:unhideWhenUsed/>
    <w:rsid w:val="00E821B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E821B2"/>
  </w:style>
  <w:style w:type="paragraph" w:styleId="Subsol">
    <w:name w:val="footer"/>
    <w:basedOn w:val="Normal"/>
    <w:link w:val="SubsolCaracter"/>
    <w:uiPriority w:val="99"/>
    <w:unhideWhenUsed/>
    <w:rsid w:val="00E821B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E821B2"/>
  </w:style>
  <w:style w:type="table" w:styleId="Tabelgril">
    <w:name w:val="Table Grid"/>
    <w:basedOn w:val="TabelNormal"/>
    <w:uiPriority w:val="39"/>
    <w:rsid w:val="001832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incomentariu">
    <w:name w:val="annotation reference"/>
    <w:basedOn w:val="Fontdeparagrafimplicit"/>
    <w:uiPriority w:val="99"/>
    <w:semiHidden/>
    <w:unhideWhenUsed/>
    <w:rsid w:val="00183275"/>
    <w:rPr>
      <w:sz w:val="16"/>
      <w:szCs w:val="16"/>
    </w:rPr>
  </w:style>
  <w:style w:type="paragraph" w:styleId="Textcomentariu">
    <w:name w:val="annotation text"/>
    <w:basedOn w:val="Normal"/>
    <w:link w:val="TextcomentariuCaracter"/>
    <w:uiPriority w:val="99"/>
    <w:unhideWhenUsed/>
    <w:rsid w:val="00183275"/>
    <w:pPr>
      <w:spacing w:line="240" w:lineRule="auto"/>
    </w:pPr>
    <w:rPr>
      <w:sz w:val="20"/>
      <w:szCs w:val="20"/>
    </w:rPr>
  </w:style>
  <w:style w:type="character" w:customStyle="1" w:styleId="TextcomentariuCaracter">
    <w:name w:val="Text comentariu Caracter"/>
    <w:basedOn w:val="Fontdeparagrafimplicit"/>
    <w:link w:val="Textcomentariu"/>
    <w:uiPriority w:val="99"/>
    <w:rsid w:val="00183275"/>
    <w:rPr>
      <w:sz w:val="20"/>
      <w:szCs w:val="20"/>
    </w:rPr>
  </w:style>
  <w:style w:type="paragraph" w:styleId="SubiectComentariu">
    <w:name w:val="annotation subject"/>
    <w:basedOn w:val="Textcomentariu"/>
    <w:next w:val="Textcomentariu"/>
    <w:link w:val="SubiectComentariuCaracter"/>
    <w:uiPriority w:val="99"/>
    <w:semiHidden/>
    <w:unhideWhenUsed/>
    <w:rsid w:val="00183275"/>
    <w:rPr>
      <w:b/>
      <w:bCs/>
    </w:rPr>
  </w:style>
  <w:style w:type="character" w:customStyle="1" w:styleId="SubiectComentariuCaracter">
    <w:name w:val="Subiect Comentariu Caracter"/>
    <w:basedOn w:val="TextcomentariuCaracter"/>
    <w:link w:val="SubiectComentariu"/>
    <w:uiPriority w:val="99"/>
    <w:semiHidden/>
    <w:rsid w:val="00183275"/>
    <w:rPr>
      <w:b/>
      <w:bCs/>
      <w:sz w:val="20"/>
      <w:szCs w:val="20"/>
    </w:rPr>
  </w:style>
  <w:style w:type="paragraph" w:styleId="Textnotdesubsol">
    <w:name w:val="footnote text"/>
    <w:basedOn w:val="Normal"/>
    <w:link w:val="TextnotdesubsolCaracter"/>
    <w:uiPriority w:val="99"/>
    <w:semiHidden/>
    <w:unhideWhenUsed/>
    <w:rsid w:val="00294B62"/>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294B62"/>
    <w:rPr>
      <w:sz w:val="20"/>
      <w:szCs w:val="20"/>
    </w:rPr>
  </w:style>
  <w:style w:type="character" w:styleId="Referinnotdesubsol">
    <w:name w:val="footnote reference"/>
    <w:basedOn w:val="Fontdeparagrafimplicit"/>
    <w:uiPriority w:val="99"/>
    <w:semiHidden/>
    <w:unhideWhenUsed/>
    <w:rsid w:val="00294B62"/>
    <w:rPr>
      <w:vertAlign w:val="superscript"/>
    </w:rPr>
  </w:style>
  <w:style w:type="paragraph" w:styleId="Titlucuprins">
    <w:name w:val="TOC Heading"/>
    <w:basedOn w:val="Titlu1"/>
    <w:next w:val="Normal"/>
    <w:uiPriority w:val="39"/>
    <w:unhideWhenUsed/>
    <w:qFormat/>
    <w:rsid w:val="009F2FDA"/>
    <w:pPr>
      <w:spacing w:before="240" w:after="0" w:line="259" w:lineRule="auto"/>
      <w:outlineLvl w:val="9"/>
    </w:pPr>
    <w:rPr>
      <w:kern w:val="0"/>
      <w:sz w:val="32"/>
      <w:szCs w:val="32"/>
      <w14:ligatures w14:val="none"/>
    </w:rPr>
  </w:style>
  <w:style w:type="paragraph" w:styleId="Cuprins1">
    <w:name w:val="toc 1"/>
    <w:basedOn w:val="Normal"/>
    <w:next w:val="Normal"/>
    <w:autoRedefine/>
    <w:uiPriority w:val="39"/>
    <w:unhideWhenUsed/>
    <w:rsid w:val="009F2FDA"/>
    <w:pPr>
      <w:spacing w:before="120" w:after="0"/>
    </w:pPr>
    <w:rPr>
      <w:b/>
      <w:bCs/>
      <w:i/>
      <w:iCs/>
    </w:rPr>
  </w:style>
  <w:style w:type="paragraph" w:styleId="Cuprins2">
    <w:name w:val="toc 2"/>
    <w:basedOn w:val="Normal"/>
    <w:next w:val="Normal"/>
    <w:autoRedefine/>
    <w:uiPriority w:val="39"/>
    <w:unhideWhenUsed/>
    <w:rsid w:val="009F2FDA"/>
    <w:pPr>
      <w:spacing w:before="120" w:after="0"/>
      <w:ind w:left="240"/>
    </w:pPr>
    <w:rPr>
      <w:b/>
      <w:bCs/>
      <w:sz w:val="22"/>
      <w:szCs w:val="22"/>
    </w:rPr>
  </w:style>
  <w:style w:type="paragraph" w:styleId="Revizuire">
    <w:name w:val="Revision"/>
    <w:hidden/>
    <w:uiPriority w:val="99"/>
    <w:semiHidden/>
    <w:rsid w:val="00722916"/>
    <w:pPr>
      <w:spacing w:after="0" w:line="240" w:lineRule="auto"/>
    </w:pPr>
  </w:style>
  <w:style w:type="character" w:customStyle="1" w:styleId="relative">
    <w:name w:val="relative"/>
    <w:basedOn w:val="Fontdeparagrafimplicit"/>
    <w:rsid w:val="003A5A3E"/>
  </w:style>
  <w:style w:type="paragraph" w:customStyle="1" w:styleId="not-prose">
    <w:name w:val="not-prose"/>
    <w:basedOn w:val="Normal"/>
    <w:rsid w:val="003A5A3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font-claude-response-body">
    <w:name w:val="font-claude-response-body"/>
    <w:basedOn w:val="Normal"/>
    <w:rsid w:val="00FC33E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Robust">
    <w:name w:val="Strong"/>
    <w:basedOn w:val="Fontdeparagrafimplicit"/>
    <w:uiPriority w:val="22"/>
    <w:qFormat/>
    <w:rsid w:val="008058EB"/>
    <w:rPr>
      <w:b/>
      <w:bCs/>
    </w:rPr>
  </w:style>
  <w:style w:type="paragraph" w:styleId="NormalWeb">
    <w:name w:val="Normal (Web)"/>
    <w:basedOn w:val="Normal"/>
    <w:uiPriority w:val="99"/>
    <w:unhideWhenUsed/>
    <w:rsid w:val="008058EB"/>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inline-flex">
    <w:name w:val="inline-flex"/>
    <w:basedOn w:val="Fontdeparagrafimplicit"/>
    <w:rsid w:val="00A170CC"/>
  </w:style>
  <w:style w:type="character" w:customStyle="1" w:styleId="text-nowrap">
    <w:name w:val="text-nowrap"/>
    <w:basedOn w:val="Fontdeparagrafimplicit"/>
    <w:rsid w:val="00A170CC"/>
  </w:style>
  <w:style w:type="paragraph" w:styleId="Cuprins3">
    <w:name w:val="toc 3"/>
    <w:basedOn w:val="Normal"/>
    <w:next w:val="Normal"/>
    <w:autoRedefine/>
    <w:uiPriority w:val="39"/>
    <w:unhideWhenUsed/>
    <w:rsid w:val="00957582"/>
    <w:pPr>
      <w:spacing w:after="0"/>
      <w:ind w:left="480"/>
    </w:pPr>
    <w:rPr>
      <w:sz w:val="20"/>
      <w:szCs w:val="20"/>
    </w:rPr>
  </w:style>
  <w:style w:type="paragraph" w:styleId="Cuprins4">
    <w:name w:val="toc 4"/>
    <w:basedOn w:val="Normal"/>
    <w:next w:val="Normal"/>
    <w:autoRedefine/>
    <w:uiPriority w:val="39"/>
    <w:unhideWhenUsed/>
    <w:rsid w:val="00957582"/>
    <w:pPr>
      <w:spacing w:after="0"/>
      <w:ind w:left="720"/>
    </w:pPr>
    <w:rPr>
      <w:sz w:val="20"/>
      <w:szCs w:val="20"/>
    </w:rPr>
  </w:style>
  <w:style w:type="paragraph" w:styleId="Cuprins5">
    <w:name w:val="toc 5"/>
    <w:basedOn w:val="Normal"/>
    <w:next w:val="Normal"/>
    <w:autoRedefine/>
    <w:uiPriority w:val="39"/>
    <w:unhideWhenUsed/>
    <w:rsid w:val="00957582"/>
    <w:pPr>
      <w:spacing w:after="0"/>
      <w:ind w:left="960"/>
    </w:pPr>
    <w:rPr>
      <w:sz w:val="20"/>
      <w:szCs w:val="20"/>
    </w:rPr>
  </w:style>
  <w:style w:type="paragraph" w:styleId="Cuprins6">
    <w:name w:val="toc 6"/>
    <w:basedOn w:val="Normal"/>
    <w:next w:val="Normal"/>
    <w:autoRedefine/>
    <w:uiPriority w:val="39"/>
    <w:unhideWhenUsed/>
    <w:rsid w:val="00957582"/>
    <w:pPr>
      <w:spacing w:after="0"/>
      <w:ind w:left="1200"/>
    </w:pPr>
    <w:rPr>
      <w:sz w:val="20"/>
      <w:szCs w:val="20"/>
    </w:rPr>
  </w:style>
  <w:style w:type="paragraph" w:styleId="Cuprins7">
    <w:name w:val="toc 7"/>
    <w:basedOn w:val="Normal"/>
    <w:next w:val="Normal"/>
    <w:autoRedefine/>
    <w:uiPriority w:val="39"/>
    <w:unhideWhenUsed/>
    <w:rsid w:val="00957582"/>
    <w:pPr>
      <w:spacing w:after="0"/>
      <w:ind w:left="1440"/>
    </w:pPr>
    <w:rPr>
      <w:sz w:val="20"/>
      <w:szCs w:val="20"/>
    </w:rPr>
  </w:style>
  <w:style w:type="paragraph" w:styleId="Cuprins8">
    <w:name w:val="toc 8"/>
    <w:basedOn w:val="Normal"/>
    <w:next w:val="Normal"/>
    <w:autoRedefine/>
    <w:uiPriority w:val="39"/>
    <w:unhideWhenUsed/>
    <w:rsid w:val="00957582"/>
    <w:pPr>
      <w:spacing w:after="0"/>
      <w:ind w:left="1680"/>
    </w:pPr>
    <w:rPr>
      <w:sz w:val="20"/>
      <w:szCs w:val="20"/>
    </w:rPr>
  </w:style>
  <w:style w:type="paragraph" w:styleId="Cuprins9">
    <w:name w:val="toc 9"/>
    <w:basedOn w:val="Normal"/>
    <w:next w:val="Normal"/>
    <w:autoRedefine/>
    <w:uiPriority w:val="39"/>
    <w:unhideWhenUsed/>
    <w:rsid w:val="00957582"/>
    <w:pPr>
      <w:spacing w:after="0"/>
      <w:ind w:left="19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elastingdienst.nl/wps/wcm/connect/bldcontenten/belastingdienst/business/payroll_taxes/" TargetMode="External"/><Relationship Id="rId18" Type="http://schemas.openxmlformats.org/officeDocument/2006/relationships/hyperlink" Target="https://www.ecb.europa.eu/pub/pdf/other/mb200709_focus10.en.pdf" TargetMode="External"/><Relationship Id="rId26" Type="http://schemas.openxmlformats.org/officeDocument/2006/relationships/hyperlink" Target="https://www.vero.fi/en/individuals/property/investments/dividends/dividends-from-a-listed-company/" TargetMode="External"/><Relationship Id="rId39" Type="http://schemas.openxmlformats.org/officeDocument/2006/relationships/hyperlink" Target="https://www.pwc.nl/nl/actueel-publicaties/assets/pdfs/overview-of-the-implementation-of-the-atad.pdf" TargetMode="External"/><Relationship Id="rId21" Type="http://schemas.openxmlformats.org/officeDocument/2006/relationships/hyperlink" Target="https://www.oecd.org/en/publications/tax-administration-2025_cc015ce8-en.html" TargetMode="External"/><Relationship Id="rId34" Type="http://schemas.openxmlformats.org/officeDocument/2006/relationships/hyperlink" Target="https://eur-lex.europa.eu/EN/legal-content/summary/exit-taxation-and-the-need-for-co-ordination-of-member-states-tax-policies.html" TargetMode="External"/><Relationship Id="rId42" Type="http://schemas.openxmlformats.org/officeDocument/2006/relationships/hyperlink" Target="https://taxation-customs.ec.europa.eu/taxation/tax-transparency-cooperation/administrative-co-operation-and-mutual-assistance/dac7_en" TargetMode="External"/><Relationship Id="rId47" Type="http://schemas.openxmlformats.org/officeDocument/2006/relationships/hyperlink" Target="https://www.oecd.org/content/dam/oecd/en/publications/reports/2009/09/engaging-with-high-net-worth-individuals-on-tax-compliance_g1ghb3da/9789264068872-en.pdf" TargetMode="External"/><Relationship Id="rId50" Type="http://schemas.openxmlformats.org/officeDocument/2006/relationships/hyperlink" Target="https://www.oecd.org/content/dam/oecd/en/networks/global-forum-tax-transparency/crypto-asset-reporting-framework-monitoring-implementation-update-2025.pdf"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oecd.org/content/dam/oecd/en/topics/policy-issues/tax-policy/social-security-contributions-explanatory-annex.pdf" TargetMode="External"/><Relationship Id="rId29" Type="http://schemas.openxmlformats.org/officeDocument/2006/relationships/hyperlink" Target="https://taxfoundation.org/research/all/global/2025-international-tax-competitiveness-index/" TargetMode="External"/><Relationship Id="rId11" Type="http://schemas.openxmlformats.org/officeDocument/2006/relationships/hyperlink" Target="https://taxsummaries.pwc.com/germany/individual/significant-developments" TargetMode="External"/><Relationship Id="rId24" Type="http://schemas.openxmlformats.org/officeDocument/2006/relationships/hyperlink" Target="https://www.emta.ee/en/private-client/taxes-and-payment/declaration-income/income-tax-returns-2025" TargetMode="External"/><Relationship Id="rId32" Type="http://schemas.openxmlformats.org/officeDocument/2006/relationships/hyperlink" Target="https://eur-lex.europa.eu/legal-content/EN/TXT/HTML/?uri=CELEX:32016L1164" TargetMode="External"/><Relationship Id="rId37" Type="http://schemas.openxmlformats.org/officeDocument/2006/relationships/hyperlink" Target="https://www.oecd.org/content/dam/oecd/en/publications/reports/2015/10/designing-effective-controlled-foreign-company-rules-action-3-2015-final-report_g1g58ce1/9789264241152-en.pdf" TargetMode="External"/><Relationship Id="rId40" Type="http://schemas.openxmlformats.org/officeDocument/2006/relationships/hyperlink" Target="https://www.skatteverket.se/servicelankar/otherlanguages/englishengelska/individualsandemployees/declaringtaxesforindividuals/voluntarydisclosure.4.7be5268414bea064694c60b.html" TargetMode="External"/><Relationship Id="rId45" Type="http://schemas.openxmlformats.org/officeDocument/2006/relationships/hyperlink" Target="https://www.ela.europa.eu/sites/default/files/2021-10/Redditometro%20online%20tool.pdf" TargetMode="External"/><Relationship Id="rId53"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bmas.de/DE/Service/Gesetze-und-Gesetzesvorhaben/sozialversicherungs-rechengroessenverordnung-2025.html" TargetMode="External"/><Relationship Id="rId19" Type="http://schemas.openxmlformats.org/officeDocument/2006/relationships/hyperlink" Target="https://www.tandfonline.com/doi/full/10.1080/00128775.2019.1671201" TargetMode="External"/><Relationship Id="rId31" Type="http://schemas.openxmlformats.org/officeDocument/2006/relationships/hyperlink" Target="https://www.oecd.org/content/dam/oecd/en/publications/reports/2025/02/taxing-capital-gains_76a32327/9e33bd2b-en.pdf" TargetMode="External"/><Relationship Id="rId44" Type="http://schemas.openxmlformats.org/officeDocument/2006/relationships/hyperlink" Target="https://taxation-customs.ec.europa.eu/taxation/tax-transparency-cooperation/administrative-co-operation-and-mutual-assistance/directive-administrative-cooperation-dac/dac8_en" TargetMode="External"/><Relationship Id="rId52" Type="http://schemas.openxmlformats.org/officeDocument/2006/relationships/hyperlink" Target="https://taxation-customs.ec.europa.eu/taxation/tax-transparency-cooperation/administrative-co-operation-and-mutual-assistance/directive-administrative-cooperation-dac/dac8_en" TargetMode="External"/><Relationship Id="rId4" Type="http://schemas.openxmlformats.org/officeDocument/2006/relationships/settings" Target="settings.xml"/><Relationship Id="rId9" Type="http://schemas.openxmlformats.org/officeDocument/2006/relationships/hyperlink" Target="https://www.oecd.org/content/dam/oecd/en/publications/reports/2023/09/tax-administration-2023_87655bc9/900b6382-en.pdf" TargetMode="External"/><Relationship Id="rId14" Type="http://schemas.openxmlformats.org/officeDocument/2006/relationships/hyperlink" Target="https://www.gov.uk/guidance/rates-and-thresholds-for-employers-2025-to-2026" TargetMode="External"/><Relationship Id="rId22" Type="http://schemas.openxmlformats.org/officeDocument/2006/relationships/hyperlink" Target="https://www.skatteverket.se/servicelankar/otherlanguages/englishengelska/individualsandemployees/declaringtaxesforindividuals/howtofileyourtaxreturn.4.7be5268414bea064694c620.html" TargetMode="External"/><Relationship Id="rId27" Type="http://schemas.openxmlformats.org/officeDocument/2006/relationships/hyperlink" Target="https://www.impots.gouv.fr/particulier/les-revenus-mobiliers" TargetMode="External"/><Relationship Id="rId30" Type="http://schemas.openxmlformats.org/officeDocument/2006/relationships/hyperlink" Target="https://taxfoundation.org/data/all/eu/integrated-tax-rates-corporate-income-europe/" TargetMode="External"/><Relationship Id="rId35" Type="http://schemas.openxmlformats.org/officeDocument/2006/relationships/hyperlink" Target="https://syntaxe.com/en/the-french-exit-tax-in-a-nutshell/" TargetMode="External"/><Relationship Id="rId43" Type="http://schemas.openxmlformats.org/officeDocument/2006/relationships/hyperlink" Target="https://www.revenue.ie/en/companies-and-charities/international-tax/aeoi/dac7/reporting.aspx" TargetMode="External"/><Relationship Id="rId48" Type="http://schemas.openxmlformats.org/officeDocument/2006/relationships/hyperlink" Target="https://taxation-customs.ec.europa.eu/system/files/2024-01/2023_CRM_Guide.pdf" TargetMode="External"/><Relationship Id="rId8" Type="http://schemas.openxmlformats.org/officeDocument/2006/relationships/chart" Target="charts/chart1.xml"/><Relationship Id="rId51" Type="http://schemas.openxmlformats.org/officeDocument/2006/relationships/hyperlink" Target="https://www.oecd.org/content/dam/oecd/en/networks/global-forum-tax-transparency/carf-signatories-joint-statement.pdf" TargetMode="External"/><Relationship Id="rId3" Type="http://schemas.openxmlformats.org/officeDocument/2006/relationships/styles" Target="styles.xml"/><Relationship Id="rId12" Type="http://schemas.openxmlformats.org/officeDocument/2006/relationships/hyperlink" Target="https://www.bundesregierung.de/breg-de/aktuelles/beitragsgemessungsgrenzen-2386514" TargetMode="External"/><Relationship Id="rId17" Type="http://schemas.openxmlformats.org/officeDocument/2006/relationships/hyperlink" Target="https://www.oecd.org/en/publications/2025/04/taxing-wages-2025_20d1a01d.html" TargetMode="External"/><Relationship Id="rId25" Type="http://schemas.openxmlformats.org/officeDocument/2006/relationships/hyperlink" Target="https://www.oecd.org/content/dam/oecd/en/publications/reports/2018/02/statutory-tax-rates-on-dividends-interest-and-capital-gains_1746a468/1aa2825f-en.pdf" TargetMode="External"/><Relationship Id="rId33" Type="http://schemas.openxmlformats.org/officeDocument/2006/relationships/hyperlink" Target="https://eur-lex.europa.eu/legal-content/EN/TXT/HTML/?uri=CELEX:52020DC0383" TargetMode="External"/><Relationship Id="rId38" Type="http://schemas.openxmlformats.org/officeDocument/2006/relationships/hyperlink" Target="https://kpmg.com/xx/en/our-insights/eu-tax/eu-anti-tax-avoidance-directive.html" TargetMode="External"/><Relationship Id="rId46" Type="http://schemas.openxmlformats.org/officeDocument/2006/relationships/hyperlink" Target="https://sede.agenciatributaria.gob.es/Sede/en_gb/procedimientoini/GI34.shtml" TargetMode="External"/><Relationship Id="rId20" Type="http://schemas.openxmlformats.org/officeDocument/2006/relationships/hyperlink" Target="https://www.oecd.org/ctp/administration/36280368.pdf" TargetMode="External"/><Relationship Id="rId41" Type="http://schemas.openxmlformats.org/officeDocument/2006/relationships/hyperlink" Target="https://www.internationaltaxreview.com/article/2a68rfy5bw2ycq1wn3h3r/italy-amends-cfc-rules-in-corporate-tax-reform"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cleiss.fr/docs/regimes/regime_france/an_a2.html" TargetMode="External"/><Relationship Id="rId23" Type="http://schemas.openxmlformats.org/officeDocument/2006/relationships/hyperlink" Target="https://skatteverket.se/servicelankar/otherlanguages/englishengelska/businessesandemployers/startingandrunningaswedishbusiness/registeringabusiness/incomestatements.4.34a801ea1041d54f9e28000326.html" TargetMode="External"/><Relationship Id="rId28" Type="http://schemas.openxmlformats.org/officeDocument/2006/relationships/hyperlink" Target="https://www.economie.gouv.fr/particuliers/impots-et-fiscalite/gerer-mes-autres-impots-et-taxes/comment-fonctionne-le-prelevement" TargetMode="External"/><Relationship Id="rId36" Type="http://schemas.openxmlformats.org/officeDocument/2006/relationships/hyperlink" Target="https://kpmg.com/us/en/taxnewsflash/news/2025/08/poland-compatibility-exit-tax-eu-law-cjeu.html" TargetMode="External"/><Relationship Id="rId49" Type="http://schemas.openxmlformats.org/officeDocument/2006/relationships/hyperlink" Target="https://www.oecd.org/content/dam/oecd/en/networks/global-forum-tax-transparency/effective-beneficial-ownership-frameworks-toolkit-en.pdf"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RO"/>
        </a:p>
      </c:txPr>
    </c:title>
    <c:autoTitleDeleted val="0"/>
    <c:plotArea>
      <c:layout/>
      <c:lineChart>
        <c:grouping val="standard"/>
        <c:varyColors val="0"/>
        <c:ser>
          <c:idx val="0"/>
          <c:order val="0"/>
          <c:tx>
            <c:strRef>
              <c:f>Sursa!$C$1</c:f>
              <c:strCache>
                <c:ptCount val="1"/>
                <c:pt idx="0">
                  <c:v>(%) Impozit pe venit raportat la PIB</c:v>
                </c:pt>
              </c:strCache>
            </c:strRef>
          </c:tx>
          <c:spPr>
            <a:ln w="22225" cap="rnd">
              <a:solidFill>
                <a:schemeClr val="accent2"/>
              </a:solidFill>
              <a:round/>
            </a:ln>
            <a:effectLst/>
          </c:spPr>
          <c:marker>
            <c:symbol val="diamond"/>
            <c:size val="6"/>
            <c:spPr>
              <a:solidFill>
                <a:schemeClr val="accent2"/>
              </a:solidFill>
              <a:ln w="9525">
                <a:solidFill>
                  <a:schemeClr val="accent2"/>
                </a:solidFill>
                <a:round/>
              </a:ln>
              <a:effectLst/>
            </c:spPr>
          </c:marker>
          <c:dPt>
            <c:idx val="0"/>
            <c:marker>
              <c:symbol val="diamond"/>
              <c:size val="6"/>
              <c:spPr>
                <a:solidFill>
                  <a:schemeClr val="accent2"/>
                </a:solidFill>
                <a:ln w="9525">
                  <a:solidFill>
                    <a:schemeClr val="accent2"/>
                  </a:solidFill>
                  <a:round/>
                </a:ln>
                <a:effectLst/>
              </c:spPr>
            </c:marker>
            <c:bubble3D val="0"/>
            <c:spPr>
              <a:ln w="22225" cap="rnd">
                <a:solidFill>
                  <a:srgbClr val="0070C0"/>
                </a:solidFill>
                <a:prstDash val="dash"/>
                <a:round/>
              </a:ln>
              <a:effectLst/>
            </c:spPr>
            <c:extLst>
              <c:ext xmlns:c16="http://schemas.microsoft.com/office/drawing/2014/chart" uri="{C3380CC4-5D6E-409C-BE32-E72D297353CC}">
                <c16:uniqueId val="{00000001-1270-1543-995C-27CFFE7DD98A}"/>
              </c:ext>
            </c:extLst>
          </c:dPt>
          <c:dPt>
            <c:idx val="1"/>
            <c:marker>
              <c:symbol val="diamond"/>
              <c:size val="6"/>
              <c:spPr>
                <a:solidFill>
                  <a:schemeClr val="accent2"/>
                </a:solidFill>
                <a:ln w="9525">
                  <a:solidFill>
                    <a:schemeClr val="accent2"/>
                  </a:solidFill>
                  <a:round/>
                </a:ln>
                <a:effectLst/>
              </c:spPr>
            </c:marker>
            <c:bubble3D val="0"/>
            <c:spPr>
              <a:ln w="22225" cap="rnd">
                <a:solidFill>
                  <a:srgbClr val="0070C0"/>
                </a:solidFill>
                <a:prstDash val="sysDash"/>
                <a:round/>
              </a:ln>
              <a:effectLst/>
            </c:spPr>
            <c:extLst>
              <c:ext xmlns:c16="http://schemas.microsoft.com/office/drawing/2014/chart" uri="{C3380CC4-5D6E-409C-BE32-E72D297353CC}">
                <c16:uniqueId val="{00000003-1270-1543-995C-27CFFE7DD98A}"/>
              </c:ext>
            </c:extLst>
          </c:dPt>
          <c:dPt>
            <c:idx val="2"/>
            <c:marker>
              <c:symbol val="diamond"/>
              <c:size val="6"/>
              <c:spPr>
                <a:solidFill>
                  <a:schemeClr val="accent2"/>
                </a:solidFill>
                <a:ln w="9525">
                  <a:solidFill>
                    <a:schemeClr val="accent2"/>
                  </a:solidFill>
                  <a:round/>
                </a:ln>
                <a:effectLst/>
              </c:spPr>
            </c:marker>
            <c:bubble3D val="0"/>
            <c:spPr>
              <a:ln w="22225" cap="rnd">
                <a:solidFill>
                  <a:srgbClr val="0070C0"/>
                </a:solidFill>
                <a:prstDash val="sysDash"/>
                <a:round/>
              </a:ln>
              <a:effectLst/>
            </c:spPr>
            <c:extLst>
              <c:ext xmlns:c16="http://schemas.microsoft.com/office/drawing/2014/chart" uri="{C3380CC4-5D6E-409C-BE32-E72D297353CC}">
                <c16:uniqueId val="{00000005-1270-1543-995C-27CFFE7DD98A}"/>
              </c:ext>
            </c:extLst>
          </c:dPt>
          <c:dPt>
            <c:idx val="3"/>
            <c:marker>
              <c:symbol val="diamond"/>
              <c:size val="6"/>
              <c:spPr>
                <a:solidFill>
                  <a:schemeClr val="accent2"/>
                </a:solidFill>
                <a:ln w="9525">
                  <a:solidFill>
                    <a:schemeClr val="accent2"/>
                  </a:solidFill>
                  <a:round/>
                </a:ln>
                <a:effectLst/>
              </c:spPr>
            </c:marker>
            <c:bubble3D val="0"/>
            <c:spPr>
              <a:ln w="22225" cap="rnd">
                <a:solidFill>
                  <a:srgbClr val="0070C0"/>
                </a:solidFill>
                <a:prstDash val="sysDash"/>
                <a:round/>
              </a:ln>
              <a:effectLst/>
            </c:spPr>
            <c:extLst>
              <c:ext xmlns:c16="http://schemas.microsoft.com/office/drawing/2014/chart" uri="{C3380CC4-5D6E-409C-BE32-E72D297353CC}">
                <c16:uniqueId val="{00000007-1270-1543-995C-27CFFE7DD98A}"/>
              </c:ext>
            </c:extLst>
          </c:dPt>
          <c:dPt>
            <c:idx val="4"/>
            <c:marker>
              <c:symbol val="diamond"/>
              <c:size val="6"/>
              <c:spPr>
                <a:solidFill>
                  <a:schemeClr val="accent2"/>
                </a:solidFill>
                <a:ln w="9525">
                  <a:solidFill>
                    <a:schemeClr val="accent2"/>
                  </a:solidFill>
                  <a:round/>
                </a:ln>
                <a:effectLst/>
              </c:spPr>
            </c:marker>
            <c:bubble3D val="0"/>
            <c:spPr>
              <a:ln w="22225" cap="rnd">
                <a:solidFill>
                  <a:srgbClr val="0070C0"/>
                </a:solidFill>
                <a:prstDash val="sysDash"/>
                <a:round/>
              </a:ln>
              <a:effectLst/>
            </c:spPr>
            <c:extLst>
              <c:ext xmlns:c16="http://schemas.microsoft.com/office/drawing/2014/chart" uri="{C3380CC4-5D6E-409C-BE32-E72D297353CC}">
                <c16:uniqueId val="{00000009-1270-1543-995C-27CFFE7DD98A}"/>
              </c:ext>
            </c:extLst>
          </c:dPt>
          <c:dPt>
            <c:idx val="18"/>
            <c:marker>
              <c:symbol val="diamond"/>
              <c:size val="6"/>
              <c:spPr>
                <a:solidFill>
                  <a:schemeClr val="accent2"/>
                </a:solidFill>
                <a:ln w="9525">
                  <a:solidFill>
                    <a:schemeClr val="accent2"/>
                  </a:solidFill>
                  <a:round/>
                </a:ln>
                <a:effectLst/>
              </c:spPr>
            </c:marker>
            <c:bubble3D val="0"/>
            <c:spPr>
              <a:ln w="22225" cap="rnd">
                <a:solidFill>
                  <a:srgbClr val="00B050"/>
                </a:solidFill>
                <a:prstDash val="sysDot"/>
                <a:round/>
              </a:ln>
              <a:effectLst/>
            </c:spPr>
            <c:extLst>
              <c:ext xmlns:c16="http://schemas.microsoft.com/office/drawing/2014/chart" uri="{C3380CC4-5D6E-409C-BE32-E72D297353CC}">
                <c16:uniqueId val="{0000000B-1270-1543-995C-27CFFE7DD98A}"/>
              </c:ext>
            </c:extLst>
          </c:dPt>
          <c:dPt>
            <c:idx val="19"/>
            <c:marker>
              <c:symbol val="diamond"/>
              <c:size val="6"/>
              <c:spPr>
                <a:solidFill>
                  <a:schemeClr val="accent2"/>
                </a:solidFill>
                <a:ln w="9525">
                  <a:solidFill>
                    <a:schemeClr val="accent2"/>
                  </a:solidFill>
                  <a:round/>
                </a:ln>
                <a:effectLst/>
              </c:spPr>
            </c:marker>
            <c:bubble3D val="0"/>
            <c:spPr>
              <a:ln w="22225" cap="rnd">
                <a:solidFill>
                  <a:srgbClr val="00B050"/>
                </a:solidFill>
                <a:prstDash val="sysDot"/>
                <a:round/>
              </a:ln>
              <a:effectLst/>
            </c:spPr>
            <c:extLst>
              <c:ext xmlns:c16="http://schemas.microsoft.com/office/drawing/2014/chart" uri="{C3380CC4-5D6E-409C-BE32-E72D297353CC}">
                <c16:uniqueId val="{0000000D-1270-1543-995C-27CFFE7DD98A}"/>
              </c:ext>
            </c:extLst>
          </c:dPt>
          <c:dPt>
            <c:idx val="20"/>
            <c:marker>
              <c:symbol val="diamond"/>
              <c:size val="6"/>
              <c:spPr>
                <a:solidFill>
                  <a:schemeClr val="accent2"/>
                </a:solidFill>
                <a:ln w="9525">
                  <a:solidFill>
                    <a:schemeClr val="accent2"/>
                  </a:solidFill>
                  <a:round/>
                </a:ln>
                <a:effectLst/>
              </c:spPr>
            </c:marker>
            <c:bubble3D val="0"/>
            <c:spPr>
              <a:ln w="22225" cap="rnd">
                <a:solidFill>
                  <a:srgbClr val="00B050"/>
                </a:solidFill>
                <a:prstDash val="sysDot"/>
                <a:round/>
              </a:ln>
              <a:effectLst/>
            </c:spPr>
            <c:extLst>
              <c:ext xmlns:c16="http://schemas.microsoft.com/office/drawing/2014/chart" uri="{C3380CC4-5D6E-409C-BE32-E72D297353CC}">
                <c16:uniqueId val="{0000000F-1270-1543-995C-27CFFE7DD98A}"/>
              </c:ext>
            </c:extLst>
          </c:dPt>
          <c:dPt>
            <c:idx val="21"/>
            <c:marker>
              <c:symbol val="diamond"/>
              <c:size val="6"/>
              <c:spPr>
                <a:solidFill>
                  <a:schemeClr val="accent2"/>
                </a:solidFill>
                <a:ln w="9525">
                  <a:solidFill>
                    <a:schemeClr val="accent2"/>
                  </a:solidFill>
                  <a:round/>
                </a:ln>
                <a:effectLst/>
              </c:spPr>
            </c:marker>
            <c:bubble3D val="0"/>
            <c:spPr>
              <a:ln w="22225" cap="rnd">
                <a:solidFill>
                  <a:srgbClr val="00B050"/>
                </a:solidFill>
                <a:prstDash val="sysDot"/>
                <a:round/>
              </a:ln>
              <a:effectLst/>
            </c:spPr>
            <c:extLst>
              <c:ext xmlns:c16="http://schemas.microsoft.com/office/drawing/2014/chart" uri="{C3380CC4-5D6E-409C-BE32-E72D297353CC}">
                <c16:uniqueId val="{00000011-1270-1543-995C-27CFFE7DD98A}"/>
              </c:ext>
            </c:extLst>
          </c:dPt>
          <c:dPt>
            <c:idx val="22"/>
            <c:marker>
              <c:symbol val="diamond"/>
              <c:size val="6"/>
              <c:spPr>
                <a:solidFill>
                  <a:schemeClr val="accent2"/>
                </a:solidFill>
                <a:ln w="9525">
                  <a:solidFill>
                    <a:schemeClr val="accent2"/>
                  </a:solidFill>
                  <a:round/>
                </a:ln>
                <a:effectLst/>
              </c:spPr>
            </c:marker>
            <c:bubble3D val="0"/>
            <c:spPr>
              <a:ln w="22225" cap="rnd">
                <a:solidFill>
                  <a:srgbClr val="00B050"/>
                </a:solidFill>
                <a:prstDash val="sysDot"/>
                <a:round/>
              </a:ln>
              <a:effectLst/>
            </c:spPr>
            <c:extLst>
              <c:ext xmlns:c16="http://schemas.microsoft.com/office/drawing/2014/chart" uri="{C3380CC4-5D6E-409C-BE32-E72D297353CC}">
                <c16:uniqueId val="{00000013-1270-1543-995C-27CFFE7DD98A}"/>
              </c:ext>
            </c:extLst>
          </c:dPt>
          <c:dPt>
            <c:idx val="23"/>
            <c:marker>
              <c:symbol val="diamond"/>
              <c:size val="6"/>
              <c:spPr>
                <a:solidFill>
                  <a:schemeClr val="accent2"/>
                </a:solidFill>
                <a:ln w="9525">
                  <a:solidFill>
                    <a:schemeClr val="accent2"/>
                  </a:solidFill>
                  <a:round/>
                </a:ln>
                <a:effectLst/>
              </c:spPr>
            </c:marker>
            <c:bubble3D val="0"/>
            <c:spPr>
              <a:ln w="22225" cap="rnd">
                <a:solidFill>
                  <a:srgbClr val="00B050"/>
                </a:solidFill>
                <a:prstDash val="sysDot"/>
                <a:round/>
              </a:ln>
              <a:effectLst/>
            </c:spPr>
            <c:extLst>
              <c:ext xmlns:c16="http://schemas.microsoft.com/office/drawing/2014/chart" uri="{C3380CC4-5D6E-409C-BE32-E72D297353CC}">
                <c16:uniqueId val="{00000015-1270-1543-995C-27CFFE7DD98A}"/>
              </c:ext>
            </c:extLst>
          </c:dPt>
          <c:dPt>
            <c:idx val="24"/>
            <c:marker>
              <c:symbol val="diamond"/>
              <c:size val="6"/>
              <c:spPr>
                <a:solidFill>
                  <a:schemeClr val="accent2"/>
                </a:solidFill>
                <a:ln w="9525">
                  <a:solidFill>
                    <a:schemeClr val="accent2"/>
                  </a:solidFill>
                  <a:round/>
                </a:ln>
                <a:effectLst/>
              </c:spPr>
            </c:marker>
            <c:bubble3D val="0"/>
            <c:spPr>
              <a:ln w="22225" cap="rnd">
                <a:solidFill>
                  <a:srgbClr val="00B050"/>
                </a:solidFill>
                <a:prstDash val="sysDot"/>
                <a:round/>
              </a:ln>
              <a:effectLst/>
            </c:spPr>
            <c:extLst>
              <c:ext xmlns:c16="http://schemas.microsoft.com/office/drawing/2014/chart" uri="{C3380CC4-5D6E-409C-BE32-E72D297353CC}">
                <c16:uniqueId val="{00000017-1270-1543-995C-27CFFE7DD98A}"/>
              </c:ext>
            </c:extLst>
          </c:dPt>
          <c:dPt>
            <c:idx val="25"/>
            <c:marker>
              <c:symbol val="diamond"/>
              <c:size val="6"/>
              <c:spPr>
                <a:solidFill>
                  <a:schemeClr val="accent2"/>
                </a:solidFill>
                <a:ln w="9525">
                  <a:solidFill>
                    <a:schemeClr val="accent2"/>
                  </a:solidFill>
                  <a:round/>
                </a:ln>
                <a:effectLst/>
              </c:spPr>
            </c:marker>
            <c:bubble3D val="0"/>
            <c:spPr>
              <a:ln w="22225" cap="rnd">
                <a:solidFill>
                  <a:srgbClr val="00B050"/>
                </a:solidFill>
                <a:prstDash val="sysDot"/>
                <a:round/>
              </a:ln>
              <a:effectLst/>
            </c:spPr>
            <c:extLst>
              <c:ext xmlns:c16="http://schemas.microsoft.com/office/drawing/2014/chart" uri="{C3380CC4-5D6E-409C-BE32-E72D297353CC}">
                <c16:uniqueId val="{00000019-1270-1543-995C-27CFFE7DD98A}"/>
              </c:ext>
            </c:extLst>
          </c:dPt>
          <c:dLbls>
            <c:dLbl>
              <c:idx val="4"/>
              <c:layout>
                <c:manualLayout>
                  <c:x val="-7.0977690288713952E-2"/>
                  <c:y val="0.1037344398340249"/>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270-1543-995C-27CFFE7DD98A}"/>
                </c:ext>
              </c:extLst>
            </c:dLbl>
            <c:dLbl>
              <c:idx val="5"/>
              <c:layout>
                <c:manualLayout>
                  <c:x val="-1.9695639006662668E-2"/>
                  <c:y val="6.7427590093769404E-2"/>
                </c:manualLayout>
              </c:layout>
              <c:dLblPos val="r"/>
              <c:showLegendKey val="0"/>
              <c:showVal val="1"/>
              <c:showCatName val="0"/>
              <c:showSerName val="0"/>
              <c:showPercent val="0"/>
              <c:showBubbleSize val="0"/>
              <c:extLst>
                <c:ext xmlns:c15="http://schemas.microsoft.com/office/drawing/2012/chart" uri="{CE6537A1-D6FC-4f65-9D91-7224C49458BB}">
                  <c15:layout>
                    <c:manualLayout>
                      <c:w val="6.5032135406151159E-2"/>
                      <c:h val="7.2536511255595112E-2"/>
                    </c:manualLayout>
                  </c15:layout>
                </c:ext>
                <c:ext xmlns:c16="http://schemas.microsoft.com/office/drawing/2014/chart" uri="{C3380CC4-5D6E-409C-BE32-E72D297353CC}">
                  <c16:uniqueId val="{0000001A-1270-1543-995C-27CFFE7DD98A}"/>
                </c:ext>
              </c:extLst>
            </c:dLbl>
            <c:dLbl>
              <c:idx val="15"/>
              <c:layout>
                <c:manualLayout>
                  <c:x val="-3.8926408237431862E-2"/>
                  <c:y val="7.261410788381737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1270-1543-995C-27CFFE7DD98A}"/>
                </c:ext>
              </c:extLst>
            </c:dLbl>
            <c:dLbl>
              <c:idx val="17"/>
              <c:layout>
                <c:manualLayout>
                  <c:x val="-9.0118783229020238E-3"/>
                  <c:y val="-6.224066390041493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1270-1543-995C-27CFFE7DD98A}"/>
                </c:ext>
              </c:extLst>
            </c:dLbl>
            <c:dLbl>
              <c:idx val="18"/>
              <c:layout>
                <c:manualLayout>
                  <c:x val="-4.533666464768827E-2"/>
                  <c:y val="7.261410788381733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1270-1543-995C-27CFFE7DD98A}"/>
                </c:ext>
              </c:extLst>
            </c:dLbl>
            <c:dLbl>
              <c:idx val="25"/>
              <c:layout>
                <c:manualLayout>
                  <c:x val="-1.2427989770509613E-2"/>
                  <c:y val="-6.742738589211617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1270-1543-995C-27CFFE7DD98A}"/>
                </c:ext>
              </c:extLst>
            </c:dLbl>
            <c:spPr>
              <a:noFill/>
              <a:ln>
                <a:noFill/>
              </a:ln>
              <a:effectLst/>
            </c:spPr>
            <c:txPr>
              <a:bodyPr rot="0" spcFirstLastPara="1" vertOverflow="ellipsis" vert="horz" wrap="square" lIns="38100" tIns="19050" rIns="38100" bIns="19050" anchor="t" anchorCtr="0">
                <a:spAutoFit/>
              </a:bodyPr>
              <a:lstStyle/>
              <a:p>
                <a:pPr>
                  <a:defRPr sz="900" b="0" i="0" u="none" strike="noStrike" kern="1200" baseline="0">
                    <a:solidFill>
                      <a:schemeClr val="tx1">
                        <a:lumMod val="50000"/>
                        <a:lumOff val="50000"/>
                      </a:schemeClr>
                    </a:solidFill>
                    <a:latin typeface="+mn-lt"/>
                    <a:ea typeface="+mn-ea"/>
                    <a:cs typeface="+mn-cs"/>
                  </a:defRPr>
                </a:pPr>
                <a:endParaRPr lang="en-RO"/>
              </a:p>
            </c:txPr>
            <c:dLblPos val="ctr"/>
            <c:showLegendKey val="0"/>
            <c:showVal val="0"/>
            <c:showCatName val="0"/>
            <c:showSerName val="0"/>
            <c:showPercent val="0"/>
            <c:showBubbleSize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Sursa!$B$2:$B$27</c:f>
              <c:numCache>
                <c:formatCode>General</c:formatCode>
                <c:ptCount val="26"/>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c:v>
                </c:pt>
              </c:numCache>
            </c:numRef>
          </c:cat>
          <c:val>
            <c:numRef>
              <c:f>Sursa!$C$2:$C$27</c:f>
              <c:numCache>
                <c:formatCode>0.00%</c:formatCode>
                <c:ptCount val="26"/>
                <c:pt idx="0">
                  <c:v>3.0007115177691633E-2</c:v>
                </c:pt>
                <c:pt idx="1">
                  <c:v>2.9850754749450835E-2</c:v>
                </c:pt>
                <c:pt idx="2">
                  <c:v>2.600713716356344E-2</c:v>
                </c:pt>
                <c:pt idx="3">
                  <c:v>2.6649816954553766E-2</c:v>
                </c:pt>
                <c:pt idx="4">
                  <c:v>2.7511972159450712E-2</c:v>
                </c:pt>
                <c:pt idx="5">
                  <c:v>2.1687727618235616E-2</c:v>
                </c:pt>
                <c:pt idx="6">
                  <c:v>2.4774209743157052E-2</c:v>
                </c:pt>
                <c:pt idx="7">
                  <c:v>3.3291821921696843E-2</c:v>
                </c:pt>
                <c:pt idx="8">
                  <c:v>3.2452008307473378E-2</c:v>
                </c:pt>
                <c:pt idx="9">
                  <c:v>3.3565022826926402E-2</c:v>
                </c:pt>
                <c:pt idx="10">
                  <c:v>3.2312155101577485E-2</c:v>
                </c:pt>
                <c:pt idx="11">
                  <c:v>3.2256814586779578E-2</c:v>
                </c:pt>
                <c:pt idx="12">
                  <c:v>3.3438432793864062E-2</c:v>
                </c:pt>
                <c:pt idx="13">
                  <c:v>3.3938917390082993E-2</c:v>
                </c:pt>
                <c:pt idx="14">
                  <c:v>3.2717649764133258E-2</c:v>
                </c:pt>
                <c:pt idx="15">
                  <c:v>3.5058320766724931E-2</c:v>
                </c:pt>
                <c:pt idx="16">
                  <c:v>3.4476217591501261E-2</c:v>
                </c:pt>
                <c:pt idx="17">
                  <c:v>3.3997250236727908E-2</c:v>
                </c:pt>
                <c:pt idx="18">
                  <c:v>2.2369781040924006E-2</c:v>
                </c:pt>
                <c:pt idx="19">
                  <c:v>2.0641609909043214E-2</c:v>
                </c:pt>
                <c:pt idx="20">
                  <c:v>2.1813428325635157E-2</c:v>
                </c:pt>
                <c:pt idx="21">
                  <c:v>2.1698173031053217E-2</c:v>
                </c:pt>
                <c:pt idx="22">
                  <c:v>2.1508091203009064E-2</c:v>
                </c:pt>
                <c:pt idx="23">
                  <c:v>2.1446997191887078E-2</c:v>
                </c:pt>
                <c:pt idx="24">
                  <c:v>2.4390176103895021E-2</c:v>
                </c:pt>
                <c:pt idx="25">
                  <c:v>2.6769405729055566E-2</c:v>
                </c:pt>
              </c:numCache>
            </c:numRef>
          </c:val>
          <c:smooth val="0"/>
          <c:extLst>
            <c:ext xmlns:c16="http://schemas.microsoft.com/office/drawing/2014/chart" uri="{C3380CC4-5D6E-409C-BE32-E72D297353CC}">
              <c16:uniqueId val="{0000001D-1270-1543-995C-27CFFE7DD98A}"/>
            </c:ext>
          </c:extLst>
        </c:ser>
        <c:dLbls>
          <c:showLegendKey val="0"/>
          <c:showVal val="0"/>
          <c:showCatName val="0"/>
          <c:showSerName val="0"/>
          <c:showPercent val="0"/>
          <c:showBubbleSize val="0"/>
        </c:dLbls>
        <c:marker val="1"/>
        <c:smooth val="0"/>
        <c:axId val="2067833168"/>
        <c:axId val="2067813200"/>
      </c:lineChart>
      <c:catAx>
        <c:axId val="2067833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ro-RO"/>
          </a:p>
        </c:txPr>
        <c:crossAx val="2067813200"/>
        <c:crosses val="autoZero"/>
        <c:auto val="1"/>
        <c:lblAlgn val="ctr"/>
        <c:lblOffset val="100"/>
        <c:noMultiLvlLbl val="0"/>
      </c:catAx>
      <c:valAx>
        <c:axId val="206781320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RO"/>
          </a:p>
        </c:txPr>
        <c:crossAx val="206783316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ro-RO"/>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drawings/drawing1.xml><?xml version="1.0" encoding="utf-8"?>
<c:userShapes xmlns:c="http://schemas.openxmlformats.org/drawingml/2006/chart">
  <cdr:relSizeAnchor xmlns:cdr="http://schemas.openxmlformats.org/drawingml/2006/chartDrawing">
    <cdr:from>
      <cdr:x>0.6848</cdr:x>
      <cdr:y>0.20928</cdr:y>
    </cdr:from>
    <cdr:to>
      <cdr:x>0.6848</cdr:x>
      <cdr:y>0.82678</cdr:y>
    </cdr:to>
    <cdr:cxnSp macro="">
      <cdr:nvCxnSpPr>
        <cdr:cNvPr id="7" name="Straight Connector 6"/>
        <cdr:cNvCxnSpPr/>
      </cdr:nvCxnSpPr>
      <cdr:spPr>
        <a:xfrm xmlns:a="http://schemas.openxmlformats.org/drawingml/2006/main">
          <a:off x="4070203" y="512429"/>
          <a:ext cx="0" cy="1512000"/>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0.23757</cdr:x>
      <cdr:y>0.21012</cdr:y>
    </cdr:from>
    <cdr:to>
      <cdr:x>0.23757</cdr:x>
      <cdr:y>0.82763</cdr:y>
    </cdr:to>
    <cdr:cxnSp macro="">
      <cdr:nvCxnSpPr>
        <cdr:cNvPr id="3" name="Straight Connector 2"/>
        <cdr:cNvCxnSpPr/>
      </cdr:nvCxnSpPr>
      <cdr:spPr>
        <a:xfrm xmlns:a="http://schemas.openxmlformats.org/drawingml/2006/main" flipV="1">
          <a:off x="1412046" y="514498"/>
          <a:ext cx="0" cy="1512000"/>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94D58-8CCD-4493-AC23-33C33318A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76</Pages>
  <Words>22628</Words>
  <Characters>131473</Characters>
  <Application>Microsoft Office Word</Application>
  <DocSecurity>0</DocSecurity>
  <Lines>4695</Lines>
  <Paragraphs>2853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Biris</dc:creator>
  <cp:keywords/>
  <dc:description/>
  <cp:lastModifiedBy>dan popa</cp:lastModifiedBy>
  <cp:revision>2</cp:revision>
  <cp:lastPrinted>2026-03-16T16:00:00Z</cp:lastPrinted>
  <dcterms:created xsi:type="dcterms:W3CDTF">2026-03-19T07:32:00Z</dcterms:created>
  <dcterms:modified xsi:type="dcterms:W3CDTF">2026-03-19T07:32:00Z</dcterms:modified>
</cp:coreProperties>
</file>